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ksjmfa7dsra" w:id="0"/>
      <w:bookmarkEnd w:id="0"/>
      <w:r w:rsidDel="00000000" w:rsidR="00000000" w:rsidRPr="00000000">
        <w:rPr>
          <w:rFonts w:ascii="Inter" w:cs="Inter" w:eastAsia="Inter" w:hAnsi="Inter"/>
          <w:b w:val="1"/>
          <w:bCs w:val="1"/>
          <w:i w:val="0"/>
          <w:iCs w:val="0"/>
          <w:smallCaps w:val="0"/>
          <w:strike w:val="0"/>
          <w:color w:val="1a4b84"/>
          <w:sz w:val="56"/>
          <w:szCs w:val="56"/>
          <w:u w:val="none"/>
          <w:shd w:fill="auto" w:val="clear"/>
          <w:vertAlign w:val="baseline"/>
          <w:rtl w:val="0"/>
        </w:rPr>
        <w:t xml:space="preserve">Proposal</w:t>
      </w:r>
      <w:r w:rsidDel="00000000" w:rsidR="00000000" w:rsidRPr="00000000">
        <w:rPr>
          <w:rtl w:val="0"/>
        </w:rPr>
      </w:r>
    </w:p>
    <w:p w:rsidR="00000000" w:rsidDel="00000000" w:rsidP="00000000" w:rsidRDefault="00000000" w:rsidRPr="00000000" w14:paraId="00000002">
      <w:pPr>
        <w:pStyle w:val="Heading1"/>
        <w:rPr/>
      </w:pPr>
      <w:bookmarkStart w:colFirst="0" w:colLast="0" w:name="_c3a2kck3zspf" w:id="1"/>
      <w:bookmarkEnd w:id="1"/>
      <w:r w:rsidDel="00000000" w:rsidR="00000000" w:rsidRPr="00000000">
        <w:rPr>
          <w:rtl w:val="0"/>
        </w:rPr>
        <w:t xml:space="preserve">ARPA-H PROACTIVE HEALTH OFFICE (PHO) SOLUTION SUMMARY</w:t>
      </w:r>
    </w:p>
    <w:p w:rsidR="00000000" w:rsidDel="00000000" w:rsidP="00000000" w:rsidRDefault="00000000" w:rsidRPr="00000000" w14:paraId="00000003">
      <w:pPr>
        <w:pStyle w:val="Heading2"/>
        <w:rPr/>
      </w:pPr>
      <w:bookmarkStart w:colFirst="0" w:colLast="0" w:name="_oo7b9pp9z51y" w:id="2"/>
      <w:bookmarkEnd w:id="2"/>
      <w:r w:rsidDel="00000000" w:rsidR="00000000" w:rsidRPr="00000000">
        <w:rPr>
          <w:rtl w:val="0"/>
        </w:rPr>
        <w:t xml:space="preserve">Cytognosis: AI-Native Cellular Intelligence for Population-Scale Disease Prevention</w:t>
      </w:r>
    </w:p>
    <w:p w:rsidR="00000000" w:rsidDel="00000000" w:rsidP="00000000" w:rsidRDefault="00000000" w:rsidRPr="00000000" w14:paraId="00000004">
      <w:pPr>
        <w:rPr/>
      </w:pPr>
      <w:r w:rsidDel="00000000" w:rsidR="00000000" w:rsidRPr="00000000">
        <w:rPr>
          <w:b w:val="1"/>
          <w:bCs w:val="1"/>
          <w:rtl w:val="0"/>
        </w:rPr>
        <w:t xml:space="preserve">Prime Organization:</w:t>
      </w:r>
      <w:r w:rsidDel="00000000" w:rsidR="00000000" w:rsidRPr="00000000">
        <w:rPr>
          <w:rtl w:val="0"/>
        </w:rPr>
        <w:t xml:space="preserve"> Cytognosis Foundation</w:t>
        <w:br w:type="textWrapping"/>
      </w:r>
      <w:r w:rsidDel="00000000" w:rsidR="00000000" w:rsidRPr="00000000">
        <w:rPr>
          <w:b w:val="1"/>
          <w:bCs w:val="1"/>
          <w:rtl w:val="0"/>
        </w:rPr>
        <w:t xml:space="preserve">Type:</w:t>
      </w:r>
      <w:r w:rsidDel="00000000" w:rsidR="00000000" w:rsidRPr="00000000">
        <w:rPr>
          <w:rtl w:val="0"/>
        </w:rPr>
        <w:t xml:space="preserve"> Non-profit (501(c)(3) pending)</w:t>
        <w:br w:type="textWrapping"/>
      </w:r>
      <w:r w:rsidDel="00000000" w:rsidR="00000000" w:rsidRPr="00000000">
        <w:rPr>
          <w:b w:val="1"/>
          <w:bCs w:val="1"/>
          <w:rtl w:val="0"/>
        </w:rPr>
        <w:t xml:space="preserve">Duration:</w:t>
      </w:r>
      <w:r w:rsidDel="00000000" w:rsidR="00000000" w:rsidRPr="00000000">
        <w:rPr>
          <w:rtl w:val="0"/>
        </w:rPr>
        <w:t xml:space="preserve"> 60 Months</w:t>
        <w:br w:type="textWrapping"/>
      </w:r>
      <w:r w:rsidDel="00000000" w:rsidR="00000000" w:rsidRPr="00000000">
        <w:rPr>
          <w:b w:val="1"/>
          <w:bCs w:val="1"/>
          <w:rtl w:val="0"/>
        </w:rPr>
        <w:t xml:space="preserve">Total Basis of Estimate:</w:t>
      </w:r>
      <w:r w:rsidDel="00000000" w:rsidR="00000000" w:rsidRPr="00000000">
        <w:rPr>
          <w:rtl w:val="0"/>
        </w:rPr>
        <w:t xml:space="preserve"> $75,000,000</w:t>
        <w:br w:type="textWrapping"/>
      </w:r>
      <w:r w:rsidDel="00000000" w:rsidR="00000000" w:rsidRPr="00000000">
        <w:rPr>
          <w:b w:val="1"/>
          <w:bCs w:val="1"/>
          <w:rtl w:val="0"/>
        </w:rPr>
        <w:t xml:space="preserve">Resource Sharing:</w:t>
      </w:r>
      <w:r w:rsidDel="00000000" w:rsidR="00000000" w:rsidRPr="00000000">
        <w:rPr>
          <w:rtl w:val="0"/>
        </w:rPr>
        <w:t xml:space="preserve"> Government 70% ($52.5M), Performer 30% ($22.5M)</w:t>
      </w:r>
    </w:p>
    <w:p w:rsidR="00000000" w:rsidDel="00000000" w:rsidP="00000000" w:rsidRDefault="00000000" w:rsidRPr="00000000" w14:paraId="00000005">
      <w:pPr>
        <w:pStyle w:val="Heading2"/>
        <w:rPr/>
      </w:pPr>
      <w:bookmarkStart w:colFirst="0" w:colLast="0" w:name="_fiqu37qicnfr" w:id="3"/>
      <w:bookmarkEnd w:id="3"/>
      <w:r w:rsidDel="00000000" w:rsidR="00000000" w:rsidRPr="00000000">
        <w:rPr>
          <w:rtl w:val="0"/>
        </w:rPr>
        <w:t xml:space="preserve">1. CONCEPT SUMMARY</w:t>
      </w:r>
    </w:p>
    <w:p w:rsidR="00000000" w:rsidDel="00000000" w:rsidP="00000000" w:rsidRDefault="00000000" w:rsidRPr="00000000" w14:paraId="00000006">
      <w:pPr>
        <w:rPr/>
      </w:pPr>
      <w:r w:rsidDel="00000000" w:rsidR="00000000" w:rsidRPr="00000000">
        <w:rPr>
          <w:rtl w:val="0"/>
        </w:rPr>
        <w:t xml:space="preserve">Cytognosis addresses PHO's mission to "keep people from becoming patients" by developing the world's first AI-native infrastructure for continuous cellular health monitoring. Our platform detects molecular deviations years before symptoms emerge, transforming healthcare from treating late-stage disease to preventing it entirely.</w:t>
      </w:r>
    </w:p>
    <w:p w:rsidR="00000000" w:rsidDel="00000000" w:rsidP="00000000" w:rsidRDefault="00000000" w:rsidRPr="00000000" w14:paraId="00000007">
      <w:pPr>
        <w:rPr/>
      </w:pPr>
      <w:r w:rsidDel="00000000" w:rsidR="00000000" w:rsidRPr="00000000">
        <w:rPr>
          <w:rtl w:val="0"/>
        </w:rPr>
        <w:t xml:space="preserve">The system comprises two breakthrough technologies: </w:t>
      </w:r>
      <w:r w:rsidDel="00000000" w:rsidR="00000000" w:rsidRPr="00000000">
        <w:rPr>
          <w:b w:val="1"/>
          <w:bCs w:val="1"/>
          <w:rtl w:val="0"/>
        </w:rPr>
        <w:t xml:space="preserve">Cytoverse</w:t>
      </w:r>
      <w:r w:rsidDel="00000000" w:rsidR="00000000" w:rsidRPr="00000000">
        <w:rPr>
          <w:rtl w:val="0"/>
        </w:rPr>
        <w:t xml:space="preserve">, a multimodal foundation model mapping all human cellular states across health and disease, and </w:t>
      </w:r>
      <w:r w:rsidDel="00000000" w:rsidR="00000000" w:rsidRPr="00000000">
        <w:rPr>
          <w:b w:val="1"/>
          <w:bCs w:val="1"/>
          <w:rtl w:val="0"/>
        </w:rPr>
        <w:t xml:space="preserve">Cytoscope</w:t>
      </w:r>
      <w:r w:rsidDel="00000000" w:rsidR="00000000" w:rsidRPr="00000000">
        <w:rPr>
          <w:rtl w:val="0"/>
        </w:rPr>
        <w:t xml:space="preserve">, programmable biosensors that adapt to individual biology in real-time. Together, they enable personalized, predictive health monitoring at the population scale - making cellular intelligence accessible to all humanity, not just the privileged few.</w:t>
      </w:r>
    </w:p>
    <w:p w:rsidR="00000000" w:rsidDel="00000000" w:rsidP="00000000" w:rsidRDefault="00000000" w:rsidRPr="00000000" w14:paraId="00000008">
      <w:pPr>
        <w:rPr/>
      </w:pPr>
      <w:r w:rsidDel="00000000" w:rsidR="00000000" w:rsidRPr="00000000">
        <w:rPr>
          <w:rtl w:val="0"/>
        </w:rPr>
        <w:t xml:space="preserve">This directly addresses PHO's focus areas: creating novel biomarkers for pre-disease states, developing continuous monitoring capabilities, and ensuring equitable access through radical cost reduction and global deployment strategies.</w:t>
      </w:r>
    </w:p>
    <w:p w:rsidR="00000000" w:rsidDel="00000000" w:rsidP="00000000" w:rsidRDefault="00000000" w:rsidRPr="00000000" w14:paraId="00000009">
      <w:pPr>
        <w:pStyle w:val="Heading2"/>
        <w:rPr/>
      </w:pPr>
      <w:bookmarkStart w:colFirst="0" w:colLast="0" w:name="_tkf3i632p8z" w:id="4"/>
      <w:bookmarkEnd w:id="4"/>
      <w:r w:rsidDel="00000000" w:rsidR="00000000" w:rsidRPr="00000000">
        <w:rPr>
          <w:rtl w:val="0"/>
        </w:rPr>
        <w:t xml:space="preserve">2. INNOVATION AND IMPACT</w:t>
      </w:r>
    </w:p>
    <w:p w:rsidR="00000000" w:rsidDel="00000000" w:rsidP="00000000" w:rsidRDefault="00000000" w:rsidRPr="00000000" w14:paraId="0000000A">
      <w:pPr>
        <w:rPr/>
      </w:pPr>
      <w:r w:rsidDel="00000000" w:rsidR="00000000" w:rsidRPr="00000000">
        <w:rPr>
          <w:b w:val="1"/>
          <w:bCs w:val="1"/>
          <w:rtl w:val="0"/>
        </w:rPr>
        <w:t xml:space="preserve">Problem Solved:</w:t>
      </w:r>
      <w:r w:rsidDel="00000000" w:rsidR="00000000" w:rsidRPr="00000000">
        <w:rPr>
          <w:rtl w:val="0"/>
        </w:rPr>
        <w:t xml:space="preserve"> Healthcare's fundamental failure is waiting for disease to manifest before acting. The current system detects cancer after tumors form, autoimmune conditions after tissue damage occurs, and neurodegeneration after neurons die. Meanwhile, 1 billion people suffer from mental health conditions, with only half receiving any treatment, and rare disease patients endure 5-7 year diagnostic odysseys despite available technology.</w:t>
      </w:r>
    </w:p>
    <w:p w:rsidR="00000000" w:rsidDel="00000000" w:rsidP="00000000" w:rsidRDefault="00000000" w:rsidRPr="00000000" w14:paraId="0000000B">
      <w:pPr>
        <w:rPr/>
      </w:pPr>
      <w:r w:rsidDel="00000000" w:rsidR="00000000" w:rsidRPr="00000000">
        <w:rPr>
          <w:b w:val="1"/>
          <w:bCs w:val="1"/>
          <w:rtl w:val="0"/>
        </w:rPr>
        <w:t xml:space="preserve">Revolutionary Innovation:</w:t>
      </w:r>
      <w:r w:rsidDel="00000000" w:rsidR="00000000" w:rsidRPr="00000000">
        <w:rPr>
          <w:rtl w:val="0"/>
        </w:rPr>
        <w:t xml:space="preserve"> Cytognosis creates a paradigm shift - from reactive to predictive, from population averages to personal baselines, from episodic snapshots to continuous monitoring.</w:t>
      </w:r>
    </w:p>
    <w:tbl>
      <w:tblPr>
        <w:tblStyle w:val="Table1"/>
        <w:tblW w:w="121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2715"/>
        <w:gridCol w:w="3420"/>
        <w:gridCol w:w="3135"/>
        <w:tblGridChange w:id="0">
          <w:tblGrid>
            <w:gridCol w:w="2895"/>
            <w:gridCol w:w="2715"/>
            <w:gridCol w:w="3420"/>
            <w:gridCol w:w="3135"/>
          </w:tblGrid>
        </w:tblGridChange>
      </w:tblGrid>
      <w:tr>
        <w:trPr>
          <w:cantSplit w:val="0"/>
          <w:tblHeader w:val="1"/>
        </w:trPr>
        <w:tc>
          <w:tcPr/>
          <w:p w:rsidR="00000000" w:rsidDel="00000000" w:rsidP="00000000" w:rsidRDefault="00000000" w:rsidRPr="00000000" w14:paraId="0000000C">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Current State</w:t>
            </w:r>
          </w:p>
        </w:tc>
        <w:tc>
          <w:tcPr/>
          <w:p w:rsidR="00000000" w:rsidDel="00000000" w:rsidP="00000000" w:rsidRDefault="00000000" w:rsidRPr="00000000" w14:paraId="0000000E">
            <w:pPr>
              <w:rPr>
                <w:b w:val="1"/>
                <w:bCs w:val="1"/>
              </w:rPr>
            </w:pPr>
            <w:r w:rsidDel="00000000" w:rsidR="00000000" w:rsidRPr="00000000">
              <w:rPr>
                <w:b w:val="1"/>
                <w:bCs w:val="1"/>
                <w:rtl w:val="0"/>
              </w:rPr>
              <w:t xml:space="preserve">Cytognosis Year 3</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Cytognosis Year 5</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Detection Timeline</w:t>
            </w:r>
          </w:p>
        </w:tc>
        <w:tc>
          <w:tcPr/>
          <w:p w:rsidR="00000000" w:rsidDel="00000000" w:rsidP="00000000" w:rsidRDefault="00000000" w:rsidRPr="00000000" w14:paraId="00000011">
            <w:pPr>
              <w:rPr/>
            </w:pPr>
            <w:r w:rsidDel="00000000" w:rsidR="00000000" w:rsidRPr="00000000">
              <w:rPr>
                <w:rtl w:val="0"/>
              </w:rPr>
              <w:t xml:space="preserve">After symptoms appear</w:t>
            </w:r>
          </w:p>
        </w:tc>
        <w:tc>
          <w:tcPr/>
          <w:p w:rsidR="00000000" w:rsidDel="00000000" w:rsidP="00000000" w:rsidRDefault="00000000" w:rsidRPr="00000000" w14:paraId="00000012">
            <w:pPr>
              <w:rPr/>
            </w:pPr>
            <w:r w:rsidDel="00000000" w:rsidR="00000000" w:rsidRPr="00000000">
              <w:rPr>
                <w:rtl w:val="0"/>
              </w:rPr>
              <w:t xml:space="preserve">6-12 months before symptoms</w:t>
            </w:r>
          </w:p>
        </w:tc>
        <w:tc>
          <w:tcPr/>
          <w:p w:rsidR="00000000" w:rsidDel="00000000" w:rsidP="00000000" w:rsidRDefault="00000000" w:rsidRPr="00000000" w14:paraId="00000013">
            <w:pPr>
              <w:rPr/>
            </w:pPr>
            <w:r w:rsidDel="00000000" w:rsidR="00000000" w:rsidRPr="00000000">
              <w:rPr>
                <w:rtl w:val="0"/>
              </w:rPr>
              <w:t xml:space="preserve">2-5 years before symptoms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Biomarkers Monitored</w:t>
            </w:r>
          </w:p>
        </w:tc>
        <w:tc>
          <w:tcPr/>
          <w:p w:rsidR="00000000" w:rsidDel="00000000" w:rsidP="00000000" w:rsidRDefault="00000000" w:rsidRPr="00000000" w14:paraId="00000015">
            <w:pPr>
              <w:rPr/>
            </w:pPr>
            <w:r w:rsidDel="00000000" w:rsidR="00000000" w:rsidRPr="00000000">
              <w:rPr>
                <w:rtl w:val="0"/>
              </w:rPr>
              <w:t xml:space="preserve">10-20 fixed panels</w:t>
            </w:r>
          </w:p>
        </w:tc>
        <w:tc>
          <w:tcPr/>
          <w:p w:rsidR="00000000" w:rsidDel="00000000" w:rsidP="00000000" w:rsidRDefault="00000000" w:rsidRPr="00000000" w14:paraId="00000016">
            <w:pPr>
              <w:rPr/>
            </w:pPr>
            <w:r w:rsidDel="00000000" w:rsidR="00000000" w:rsidRPr="00000000">
              <w:rPr>
                <w:rtl w:val="0"/>
              </w:rPr>
              <w:t xml:space="preserve">50+ programmable</w:t>
            </w:r>
          </w:p>
        </w:tc>
        <w:tc>
          <w:tcPr/>
          <w:p w:rsidR="00000000" w:rsidDel="00000000" w:rsidP="00000000" w:rsidRDefault="00000000" w:rsidRPr="00000000" w14:paraId="00000017">
            <w:pPr>
              <w:rPr/>
            </w:pPr>
            <w:r w:rsidDel="00000000" w:rsidR="00000000" w:rsidRPr="00000000">
              <w:rPr>
                <w:rtl w:val="0"/>
              </w:rPr>
              <w:t xml:space="preserve">100+ adaptive</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Individual Personalization</w:t>
            </w:r>
          </w:p>
        </w:tc>
        <w:tc>
          <w:tcPr/>
          <w:p w:rsidR="00000000" w:rsidDel="00000000" w:rsidP="00000000" w:rsidRDefault="00000000" w:rsidRPr="00000000" w14:paraId="00000019">
            <w:pPr>
              <w:rPr/>
            </w:pPr>
            <w:r w:rsidDel="00000000" w:rsidR="00000000" w:rsidRPr="00000000">
              <w:rPr>
                <w:rtl w:val="0"/>
              </w:rPr>
              <w:t xml:space="preserve">Population averages</w:t>
            </w:r>
          </w:p>
        </w:tc>
        <w:tc>
          <w:tcPr/>
          <w:p w:rsidR="00000000" w:rsidDel="00000000" w:rsidP="00000000" w:rsidRDefault="00000000" w:rsidRPr="00000000" w14:paraId="0000001A">
            <w:pPr>
              <w:rPr/>
            </w:pPr>
            <w:r w:rsidDel="00000000" w:rsidR="00000000" w:rsidRPr="00000000">
              <w:rPr>
                <w:rtl w:val="0"/>
              </w:rPr>
              <w:t xml:space="preserve">Personal baselines</w:t>
            </w:r>
          </w:p>
        </w:tc>
        <w:tc>
          <w:tcPr/>
          <w:p w:rsidR="00000000" w:rsidDel="00000000" w:rsidP="00000000" w:rsidRDefault="00000000" w:rsidRPr="00000000" w14:paraId="0000001B">
            <w:pPr>
              <w:rPr/>
            </w:pPr>
            <w:r w:rsidDel="00000000" w:rsidR="00000000" w:rsidRPr="00000000">
              <w:rPr>
                <w:rtl w:val="0"/>
              </w:rPr>
              <w:t xml:space="preserve">Predictive trajectories</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Accessibility</w:t>
            </w:r>
          </w:p>
        </w:tc>
        <w:tc>
          <w:tcPr/>
          <w:p w:rsidR="00000000" w:rsidDel="00000000" w:rsidP="00000000" w:rsidRDefault="00000000" w:rsidRPr="00000000" w14:paraId="0000001D">
            <w:pPr>
              <w:rPr/>
            </w:pPr>
            <w:r w:rsidDel="00000000" w:rsidR="00000000" w:rsidRPr="00000000">
              <w:rPr>
                <w:rtl w:val="0"/>
              </w:rPr>
              <w:t xml:space="preserve">&lt;1% population</w:t>
            </w:r>
          </w:p>
        </w:tc>
        <w:tc>
          <w:tcPr/>
          <w:p w:rsidR="00000000" w:rsidDel="00000000" w:rsidP="00000000" w:rsidRDefault="00000000" w:rsidRPr="00000000" w14:paraId="0000001E">
            <w:pPr>
              <w:rPr/>
            </w:pPr>
            <w:r w:rsidDel="00000000" w:rsidR="00000000" w:rsidRPr="00000000">
              <w:rPr>
                <w:rtl w:val="0"/>
              </w:rPr>
              <w:t xml:space="preserve">10% high-risk groups</w:t>
            </w:r>
          </w:p>
        </w:tc>
        <w:tc>
          <w:tcPr/>
          <w:p w:rsidR="00000000" w:rsidDel="00000000" w:rsidP="00000000" w:rsidRDefault="00000000" w:rsidRPr="00000000" w14:paraId="0000001F">
            <w:pPr>
              <w:rPr/>
            </w:pPr>
            <w:r w:rsidDel="00000000" w:rsidR="00000000" w:rsidRPr="00000000">
              <w:rPr>
                <w:rtl w:val="0"/>
              </w:rPr>
              <w:t xml:space="preserve">25% at-risk populations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Open Science</w:t>
            </w:r>
          </w:p>
        </w:tc>
        <w:tc>
          <w:tcPr/>
          <w:p w:rsidR="00000000" w:rsidDel="00000000" w:rsidP="00000000" w:rsidRDefault="00000000" w:rsidRPr="00000000" w14:paraId="00000021">
            <w:pPr>
              <w:rPr/>
            </w:pPr>
            <w:r w:rsidDel="00000000" w:rsidR="00000000" w:rsidRPr="00000000">
              <w:rPr>
                <w:rtl w:val="0"/>
              </w:rPr>
              <w:t xml:space="preserve">Proprietary silos</w:t>
            </w:r>
          </w:p>
        </w:tc>
        <w:tc>
          <w:tcPr/>
          <w:p w:rsidR="00000000" w:rsidDel="00000000" w:rsidP="00000000" w:rsidRDefault="00000000" w:rsidRPr="00000000" w14:paraId="00000022">
            <w:pPr>
              <w:rPr/>
            </w:pPr>
            <w:r w:rsidDel="00000000" w:rsidR="00000000" w:rsidRPr="00000000">
              <w:rPr>
                <w:rtl w:val="0"/>
              </w:rPr>
              <w:t xml:space="preserve">Published models</w:t>
            </w:r>
          </w:p>
        </w:tc>
        <w:tc>
          <w:tcPr/>
          <w:p w:rsidR="00000000" w:rsidDel="00000000" w:rsidP="00000000" w:rsidRDefault="00000000" w:rsidRPr="00000000" w14:paraId="00000023">
            <w:pPr>
              <w:rPr/>
            </w:pPr>
            <w:r w:rsidDel="00000000" w:rsidR="00000000" w:rsidRPr="00000000">
              <w:rPr>
                <w:rtl w:val="0"/>
              </w:rPr>
              <w:t xml:space="preserve">Complete platform access</w:t>
            </w:r>
          </w:p>
        </w:tc>
      </w:tr>
    </w:tbl>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Transformative Impact:</w:t>
      </w:r>
      <w:r w:rsidDel="00000000" w:rsidR="00000000" w:rsidRPr="00000000">
        <w:rPr>
          <w:rtl w:val="0"/>
        </w:rPr>
        <w:t xml:space="preserve"> Our moonshot revolutionizes the core paradigm of healthcare. Instead of 970 million at risk for mental health issues becoming 280 million patients, we enable prevention. Instead of accepting 5-7 year diagnostic odysseys as inevitable, we make them impossible. Instead of precision medicine for the wealthy, we ensure cellular intelligence for all.</w:t>
      </w:r>
    </w:p>
    <w:p w:rsidR="00000000" w:rsidDel="00000000" w:rsidP="00000000" w:rsidRDefault="00000000" w:rsidRPr="00000000" w14:paraId="00000026">
      <w:pPr>
        <w:pStyle w:val="Heading2"/>
        <w:rPr/>
      </w:pPr>
      <w:bookmarkStart w:colFirst="0" w:colLast="0" w:name="_aisdzyx3ro0d" w:id="5"/>
      <w:bookmarkEnd w:id="5"/>
      <w:r w:rsidDel="00000000" w:rsidR="00000000" w:rsidRPr="00000000">
        <w:rPr>
          <w:rtl w:val="0"/>
        </w:rPr>
        <w:t xml:space="preserve">3. PROPOSED WORK</w:t>
      </w:r>
    </w:p>
    <w:p w:rsidR="00000000" w:rsidDel="00000000" w:rsidP="00000000" w:rsidRDefault="00000000" w:rsidRPr="00000000" w14:paraId="00000027">
      <w:pPr>
        <w:rPr/>
      </w:pPr>
      <w:r w:rsidDel="00000000" w:rsidR="00000000" w:rsidRPr="00000000">
        <w:rPr>
          <w:b w:val="1"/>
          <w:bCs w:val="1"/>
          <w:rtl w:val="0"/>
        </w:rPr>
        <w:t xml:space="preserve">Final Deliverables:</w:t>
      </w:r>
      <w:r w:rsidDel="00000000" w:rsidR="00000000" w:rsidRPr="00000000">
        <w:rPr>
          <w:rtl w:val="0"/>
        </w:rPr>
      </w:r>
    </w:p>
    <w:p w:rsidR="00000000" w:rsidDel="00000000" w:rsidP="00000000" w:rsidRDefault="00000000" w:rsidRPr="00000000" w14:paraId="00000028">
      <w:pPr>
        <w:numPr>
          <w:ilvl w:val="0"/>
          <w:numId w:val="2"/>
        </w:numPr>
        <w:spacing w:after="0" w:afterAutospacing="0"/>
        <w:ind w:left="720" w:hanging="360"/>
      </w:pPr>
      <w:r w:rsidDel="00000000" w:rsidR="00000000" w:rsidRPr="00000000">
        <w:rPr>
          <w:b w:val="1"/>
          <w:bCs w:val="1"/>
          <w:rtl w:val="0"/>
        </w:rPr>
        <w:t xml:space="preserve">Cytoverse foundation model</w:t>
      </w:r>
      <w:r w:rsidDel="00000000" w:rsidR="00000000" w:rsidRPr="00000000">
        <w:rPr>
          <w:rtl w:val="0"/>
        </w:rPr>
        <w:t xml:space="preserve"> validated across 100+ cellular states and 50+ disease conditions</w:t>
      </w:r>
    </w:p>
    <w:p w:rsidR="00000000" w:rsidDel="00000000" w:rsidP="00000000" w:rsidRDefault="00000000" w:rsidRPr="00000000" w14:paraId="00000029">
      <w:pPr>
        <w:numPr>
          <w:ilvl w:val="0"/>
          <w:numId w:val="2"/>
        </w:numPr>
        <w:spacing w:after="0" w:afterAutospacing="0"/>
        <w:ind w:left="720" w:hanging="360"/>
      </w:pPr>
      <w:r w:rsidDel="00000000" w:rsidR="00000000" w:rsidRPr="00000000">
        <w:rPr>
          <w:b w:val="1"/>
          <w:bCs w:val="1"/>
          <w:rtl w:val="0"/>
        </w:rPr>
        <w:t xml:space="preserve">Cytoscope prototype</w:t>
      </w:r>
      <w:r w:rsidDel="00000000" w:rsidR="00000000" w:rsidRPr="00000000">
        <w:rPr>
          <w:rtl w:val="0"/>
        </w:rPr>
        <w:t xml:space="preserve"> achieves programmable monitoring at consumer-grade pricing</w:t>
      </w:r>
    </w:p>
    <w:p w:rsidR="00000000" w:rsidDel="00000000" w:rsidP="00000000" w:rsidRDefault="00000000" w:rsidRPr="00000000" w14:paraId="0000002A">
      <w:pPr>
        <w:numPr>
          <w:ilvl w:val="0"/>
          <w:numId w:val="2"/>
        </w:numPr>
        <w:spacing w:after="0" w:afterAutospacing="0"/>
        <w:ind w:left="720" w:hanging="360"/>
      </w:pPr>
      <w:r w:rsidDel="00000000" w:rsidR="00000000" w:rsidRPr="00000000">
        <w:rPr>
          <w:b w:val="1"/>
          <w:bCs w:val="1"/>
          <w:rtl w:val="0"/>
        </w:rPr>
        <w:t xml:space="preserve">Clinical validation</w:t>
      </w:r>
      <w:r w:rsidDel="00000000" w:rsidR="00000000" w:rsidRPr="00000000">
        <w:rPr>
          <w:rtl w:val="0"/>
        </w:rPr>
        <w:t xml:space="preserve"> in a 5,000-person longitudinal cohort demonstrating predictive power</w:t>
      </w:r>
    </w:p>
    <w:p w:rsidR="00000000" w:rsidDel="00000000" w:rsidP="00000000" w:rsidRDefault="00000000" w:rsidRPr="00000000" w14:paraId="0000002B">
      <w:pPr>
        <w:numPr>
          <w:ilvl w:val="0"/>
          <w:numId w:val="2"/>
        </w:numPr>
        <w:spacing w:after="0" w:afterAutospacing="0"/>
        <w:ind w:left="720" w:hanging="360"/>
      </w:pPr>
      <w:r w:rsidDel="00000000" w:rsidR="00000000" w:rsidRPr="00000000">
        <w:rPr>
          <w:b w:val="1"/>
          <w:bCs w:val="1"/>
          <w:rtl w:val="0"/>
        </w:rPr>
        <w:t xml:space="preserve">Open science platform</w:t>
      </w:r>
      <w:r w:rsidDel="00000000" w:rsidR="00000000" w:rsidRPr="00000000">
        <w:rPr>
          <w:rtl w:val="0"/>
        </w:rPr>
        <w:t xml:space="preserve"> with all models, data, and tools freely accessible</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Global deployment framework</w:t>
      </w:r>
      <w:r w:rsidDel="00000000" w:rsidR="00000000" w:rsidRPr="00000000">
        <w:rPr>
          <w:rtl w:val="0"/>
        </w:rPr>
        <w:t xml:space="preserve"> ensuring equitable access across economic strata</w:t>
      </w:r>
    </w:p>
    <w:p w:rsidR="00000000" w:rsidDel="00000000" w:rsidP="00000000" w:rsidRDefault="00000000" w:rsidRPr="00000000" w14:paraId="0000002D">
      <w:pPr>
        <w:rPr/>
      </w:pPr>
      <w:r w:rsidDel="00000000" w:rsidR="00000000" w:rsidRPr="00000000">
        <w:rPr>
          <w:b w:val="1"/>
          <w:bCs w:val="1"/>
          <w:rtl w:val="0"/>
        </w:rPr>
        <w:t xml:space="preserve">Technical Approach:</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Years 1-2: Foundation Building</w:t>
      </w:r>
      <w:r w:rsidDel="00000000" w:rsidR="00000000" w:rsidRPr="00000000">
        <w:rPr>
          <w:rtl w:val="0"/>
        </w:rPr>
        <w:t xml:space="preserve"> We begin where our journey started - with the recognition that cellular truth exists but remains hidden. We'll aggregate 10 million cells from public datasets and our clinical partners, building Neuroverse and Immunoverse models that map both healthy states and disease trajectories. This isn't just data collection; it's creating the first comprehensive atlas of human cellular possibility.</w:t>
      </w:r>
    </w:p>
    <w:p w:rsidR="00000000" w:rsidDel="00000000" w:rsidP="00000000" w:rsidRDefault="00000000" w:rsidRPr="00000000" w14:paraId="0000002F">
      <w:pPr>
        <w:rPr/>
      </w:pPr>
      <w:r w:rsidDel="00000000" w:rsidR="00000000" w:rsidRPr="00000000">
        <w:rPr>
          <w:b w:val="1"/>
          <w:bCs w:val="1"/>
          <w:rtl w:val="0"/>
        </w:rPr>
        <w:t xml:space="preserve">Years 3-4: Platform Integration</w:t>
      </w:r>
      <w:r w:rsidDel="00000000" w:rsidR="00000000" w:rsidRPr="00000000">
        <w:rPr>
          <w:rtl w:val="0"/>
        </w:rPr>
        <w:t xml:space="preserve"> The convergence of AI and biosensing creates unprecedented capability. Our programmable Cytoscope sensors adapt to individual biology, updating biomarker panels based on detected signals. A 1,000-person observational study across autoimmune, mental health, and neurodegenerative conditions will validate our ability to detect molecular whispers before they become symptomatic screams.</w:t>
      </w:r>
    </w:p>
    <w:p w:rsidR="00000000" w:rsidDel="00000000" w:rsidP="00000000" w:rsidRDefault="00000000" w:rsidRPr="00000000" w14:paraId="00000030">
      <w:pPr>
        <w:rPr/>
      </w:pPr>
      <w:r w:rsidDel="00000000" w:rsidR="00000000" w:rsidRPr="00000000">
        <w:rPr>
          <w:b w:val="1"/>
          <w:bCs w:val="1"/>
          <w:rtl w:val="0"/>
        </w:rPr>
        <w:t xml:space="preserve">Year 5: Democratization Begins.</w:t>
      </w:r>
      <w:r w:rsidDel="00000000" w:rsidR="00000000" w:rsidRPr="00000000">
        <w:rPr>
          <w:rtl w:val="0"/>
        </w:rPr>
        <w:t xml:space="preserve"> We launch our beta program with 5,000 participants, proving that precision health monitoring can be accessible, understandable, and actionable for everyone. FDA regulatory pathway established. Open-source tools released. The transformation from concept to reality is complete.</w:t>
      </w:r>
    </w:p>
    <w:p w:rsidR="00000000" w:rsidDel="00000000" w:rsidP="00000000" w:rsidRDefault="00000000" w:rsidRPr="00000000" w14:paraId="00000031">
      <w:pPr>
        <w:rPr/>
      </w:pPr>
      <w:r w:rsidDel="00000000" w:rsidR="00000000" w:rsidRPr="00000000">
        <w:rPr>
          <w:b w:val="1"/>
          <w:bCs w:val="1"/>
          <w:rtl w:val="0"/>
        </w:rPr>
        <w:t xml:space="preserve">Risk Mitigation:</w:t>
      </w:r>
      <w:r w:rsidDel="00000000" w:rsidR="00000000" w:rsidRPr="00000000">
        <w:rPr>
          <w:rtl w:val="0"/>
        </w:rPr>
      </w:r>
    </w:p>
    <w:p w:rsidR="00000000" w:rsidDel="00000000" w:rsidP="00000000" w:rsidRDefault="00000000" w:rsidRPr="00000000" w14:paraId="00000032">
      <w:pPr>
        <w:numPr>
          <w:ilvl w:val="0"/>
          <w:numId w:val="3"/>
        </w:numPr>
        <w:spacing w:after="0" w:afterAutospacing="0"/>
        <w:ind w:left="720" w:hanging="360"/>
      </w:pPr>
      <w:r w:rsidDel="00000000" w:rsidR="00000000" w:rsidRPr="00000000">
        <w:rPr>
          <w:rtl w:val="0"/>
        </w:rPr>
        <w:t xml:space="preserve">Technical: Multiple sensor modalities ensure redundancy</w:t>
      </w:r>
    </w:p>
    <w:p w:rsidR="00000000" w:rsidDel="00000000" w:rsidP="00000000" w:rsidRDefault="00000000" w:rsidRPr="00000000" w14:paraId="00000033">
      <w:pPr>
        <w:numPr>
          <w:ilvl w:val="0"/>
          <w:numId w:val="3"/>
        </w:numPr>
        <w:spacing w:after="0" w:afterAutospacing="0"/>
        <w:ind w:left="720" w:hanging="360"/>
      </w:pPr>
      <w:r w:rsidDel="00000000" w:rsidR="00000000" w:rsidRPr="00000000">
        <w:rPr>
          <w:rtl w:val="0"/>
        </w:rPr>
        <w:t xml:space="preserve">Regulatory: Phased approach across multiple indications</w:t>
      </w:r>
    </w:p>
    <w:p w:rsidR="00000000" w:rsidDel="00000000" w:rsidP="00000000" w:rsidRDefault="00000000" w:rsidRPr="00000000" w14:paraId="00000034">
      <w:pPr>
        <w:numPr>
          <w:ilvl w:val="0"/>
          <w:numId w:val="3"/>
        </w:numPr>
        <w:spacing w:after="0" w:afterAutospacing="0"/>
        <w:ind w:left="720" w:hanging="360"/>
      </w:pPr>
      <w:r w:rsidDel="00000000" w:rsidR="00000000" w:rsidRPr="00000000">
        <w:rPr>
          <w:rtl w:val="0"/>
        </w:rPr>
        <w:t xml:space="preserve">Adoption: Natural language interface makes complexity accessible</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Equity: Tiered pricing from day one, not as an afterthought</w:t>
      </w:r>
    </w:p>
    <w:p w:rsidR="00000000" w:rsidDel="00000000" w:rsidP="00000000" w:rsidRDefault="00000000" w:rsidRPr="00000000" w14:paraId="00000036">
      <w:pPr>
        <w:pStyle w:val="Heading2"/>
        <w:rPr/>
      </w:pPr>
      <w:bookmarkStart w:colFirst="0" w:colLast="0" w:name="_mrznn1wq4nop" w:id="6"/>
      <w:bookmarkEnd w:id="6"/>
      <w:r w:rsidDel="00000000" w:rsidR="00000000" w:rsidRPr="00000000">
        <w:rPr>
          <w:rtl w:val="0"/>
        </w:rPr>
        <w:t xml:space="preserve">4. TEAM ORGANIZATION AND CAPABILITIES</w:t>
      </w:r>
    </w:p>
    <w:p w:rsidR="00000000" w:rsidDel="00000000" w:rsidP="00000000" w:rsidRDefault="00000000" w:rsidRPr="00000000" w14:paraId="00000037">
      <w:pPr>
        <w:rPr/>
      </w:pPr>
      <w:r w:rsidDel="00000000" w:rsidR="00000000" w:rsidRPr="00000000">
        <w:rPr>
          <w:b w:val="1"/>
          <w:bCs w:val="1"/>
          <w:rtl w:val="0"/>
        </w:rPr>
        <w:t xml:space="preserve">Leadership Born from Experience:</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Shahin Mohammadi, CEO:</w:t>
      </w:r>
      <w:r w:rsidDel="00000000" w:rsidR="00000000" w:rsidRPr="00000000">
        <w:rPr>
          <w:rtl w:val="0"/>
        </w:rPr>
        <w:t xml:space="preserve"> The convergence of patient and scientist. After 37 years of misdiagnosis, he discovered his own rare TBX1 mutation, transforming personal suffering into scientific purpose. 15 years at MIT/Broad/insitro developing AI for cellular discovery. Published in Science (2024), proving AI can detect invisible disease patterns.</w:t>
      </w:r>
    </w:p>
    <w:p w:rsidR="00000000" w:rsidDel="00000000" w:rsidP="00000000" w:rsidRDefault="00000000" w:rsidRPr="00000000" w14:paraId="00000039">
      <w:pPr>
        <w:rPr/>
      </w:pPr>
      <w:r w:rsidDel="00000000" w:rsidR="00000000" w:rsidRPr="00000000">
        <w:rPr>
          <w:b w:val="1"/>
          <w:bCs w:val="1"/>
          <w:rtl w:val="0"/>
        </w:rPr>
        <w:t xml:space="preserve">Yoni Bock, CTO:</w:t>
      </w:r>
      <w:r w:rsidDel="00000000" w:rsidR="00000000" w:rsidRPr="00000000">
        <w:rPr>
          <w:rtl w:val="0"/>
        </w:rPr>
        <w:t xml:space="preserve"> Two decades building the tools that make the invisible visible. From Illumina to 10x Genomics to VizGen, he's pushed the boundaries of what we can measure and how affordably we can measure it.</w:t>
      </w:r>
    </w:p>
    <w:p w:rsidR="00000000" w:rsidDel="00000000" w:rsidP="00000000" w:rsidRDefault="00000000" w:rsidRPr="00000000" w14:paraId="0000003A">
      <w:pPr>
        <w:rPr/>
      </w:pPr>
      <w:r w:rsidDel="00000000" w:rsidR="00000000" w:rsidRPr="00000000">
        <w:rPr>
          <w:b w:val="1"/>
          <w:bCs w:val="1"/>
          <w:rtl w:val="0"/>
        </w:rPr>
        <w:t xml:space="preserve">Erin Rist, Partnerships:</w:t>
      </w:r>
      <w:r w:rsidDel="00000000" w:rsidR="00000000" w:rsidRPr="00000000">
        <w:rPr>
          <w:rtl w:val="0"/>
        </w:rPr>
        <w:t xml:space="preserve"> Bridge between science and society. As the former Chief of Staff to Eric Lander at the Broad Institute, she understands how to transform breakthrough science into accessible solutions.</w:t>
      </w:r>
    </w:p>
    <w:p w:rsidR="00000000" w:rsidDel="00000000" w:rsidP="00000000" w:rsidRDefault="00000000" w:rsidRPr="00000000" w14:paraId="0000003B">
      <w:pPr>
        <w:rPr/>
      </w:pPr>
      <w:r w:rsidDel="00000000" w:rsidR="00000000" w:rsidRPr="00000000">
        <w:rPr>
          <w:b w:val="1"/>
          <w:bCs w:val="1"/>
          <w:rtl w:val="0"/>
        </w:rPr>
        <w:t xml:space="preserve">Scientific Excellence:</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José Davila-Velderrain, Neuroverse Lead:</w:t>
      </w:r>
      <w:r w:rsidDel="00000000" w:rsidR="00000000" w:rsidRPr="00000000">
        <w:rPr>
          <w:rtl w:val="0"/>
        </w:rPr>
        <w:t xml:space="preserve"> Group Leader at Human Technopole, pioneering computational approaches to understand brain complexity in health and disease.</w:t>
      </w:r>
    </w:p>
    <w:p w:rsidR="00000000" w:rsidDel="00000000" w:rsidP="00000000" w:rsidRDefault="00000000" w:rsidRPr="00000000" w14:paraId="0000003D">
      <w:pPr>
        <w:rPr/>
      </w:pPr>
      <w:r w:rsidDel="00000000" w:rsidR="00000000" w:rsidRPr="00000000">
        <w:rPr>
          <w:b w:val="1"/>
          <w:bCs w:val="1"/>
          <w:rtl w:val="0"/>
        </w:rPr>
        <w:t xml:space="preserve">Madhvi Menon, Immunoverse Lead and University of Manchester Group Lead, </w:t>
      </w:r>
      <w:r w:rsidDel="00000000" w:rsidR="00000000" w:rsidRPr="00000000">
        <w:rPr>
          <w:rtl w:val="0"/>
        </w:rPr>
        <w:t xml:space="preserve">unravels how immune systems maintain health or spiral into autoimmunity.</w:t>
      </w:r>
    </w:p>
    <w:p w:rsidR="00000000" w:rsidDel="00000000" w:rsidP="00000000" w:rsidRDefault="00000000" w:rsidRPr="00000000" w14:paraId="0000003E">
      <w:pPr>
        <w:rPr/>
      </w:pPr>
      <w:r w:rsidDel="00000000" w:rsidR="00000000" w:rsidRPr="00000000">
        <w:rPr>
          <w:b w:val="1"/>
          <w:bCs w:val="1"/>
          <w:rtl w:val="0"/>
        </w:rPr>
        <w:t xml:space="preserve">Ananth Grama, Scientific Advisor:</w:t>
      </w:r>
      <w:r w:rsidDel="00000000" w:rsidR="00000000" w:rsidRPr="00000000">
        <w:rPr>
          <w:rtl w:val="0"/>
        </w:rPr>
        <w:t xml:space="preserve"> Distinguished Professor and Purdue IPAI Director, ensuring our AI remains interpretable, scalable, and scientifically rigorous.</w:t>
      </w:r>
    </w:p>
    <w:p w:rsidR="00000000" w:rsidDel="00000000" w:rsidP="00000000" w:rsidRDefault="00000000" w:rsidRPr="00000000" w14:paraId="0000003F">
      <w:pPr>
        <w:rPr/>
      </w:pPr>
      <w:r w:rsidDel="00000000" w:rsidR="00000000" w:rsidRPr="00000000">
        <w:rPr>
          <w:b w:val="1"/>
          <w:bCs w:val="1"/>
          <w:rtl w:val="0"/>
        </w:rPr>
        <w:t xml:space="preserve">Institutional Partners:</w:t>
      </w:r>
      <w:r w:rsidDel="00000000" w:rsidR="00000000" w:rsidRPr="00000000">
        <w:rPr>
          <w:rtl w:val="0"/>
        </w:rPr>
      </w:r>
    </w:p>
    <w:p w:rsidR="00000000" w:rsidDel="00000000" w:rsidP="00000000" w:rsidRDefault="00000000" w:rsidRPr="00000000" w14:paraId="00000040">
      <w:pPr>
        <w:numPr>
          <w:ilvl w:val="0"/>
          <w:numId w:val="3"/>
        </w:numPr>
        <w:spacing w:after="0" w:afterAutospacing="0"/>
        <w:ind w:left="720" w:hanging="360"/>
      </w:pPr>
      <w:r w:rsidDel="00000000" w:rsidR="00000000" w:rsidRPr="00000000">
        <w:rPr>
          <w:rtl w:val="0"/>
        </w:rPr>
        <w:t xml:space="preserve">Computational: MIT, Broad Institute, providing data access and validation</w:t>
      </w:r>
    </w:p>
    <w:p w:rsidR="00000000" w:rsidDel="00000000" w:rsidP="00000000" w:rsidRDefault="00000000" w:rsidRPr="00000000" w14:paraId="00000041">
      <w:pPr>
        <w:numPr>
          <w:ilvl w:val="0"/>
          <w:numId w:val="3"/>
        </w:numPr>
        <w:spacing w:after="0" w:afterAutospacing="0"/>
        <w:ind w:left="720" w:hanging="360"/>
      </w:pPr>
      <w:r w:rsidDel="00000000" w:rsidR="00000000" w:rsidRPr="00000000">
        <w:rPr>
          <w:rtl w:val="0"/>
        </w:rPr>
        <w:t xml:space="preserve">Clinical: UCSF, Stanford, Mass General, contributing patient cohorts and clinical expertise</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Global Health: Gates Foundation, WHO, ensuring equitable deployment</w:t>
      </w:r>
    </w:p>
    <w:p w:rsidR="00000000" w:rsidDel="00000000" w:rsidP="00000000" w:rsidRDefault="00000000" w:rsidRPr="00000000" w14:paraId="00000043">
      <w:pPr>
        <w:pStyle w:val="Heading2"/>
        <w:rPr/>
      </w:pPr>
      <w:bookmarkStart w:colFirst="0" w:colLast="0" w:name="_525fwwdn2usr" w:id="7"/>
      <w:bookmarkEnd w:id="7"/>
      <w:r w:rsidDel="00000000" w:rsidR="00000000" w:rsidRPr="00000000">
        <w:rPr>
          <w:rtl w:val="0"/>
        </w:rPr>
        <w:t xml:space="preserve">5. BASIS OF ESTIMATE (BOE)</w:t>
      </w:r>
    </w:p>
    <w:tbl>
      <w:tblPr>
        <w:tblStyle w:val="Table2"/>
        <w:tblW w:w="78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545"/>
        <w:gridCol w:w="3465"/>
        <w:tblGridChange w:id="0">
          <w:tblGrid>
            <w:gridCol w:w="2865"/>
            <w:gridCol w:w="1545"/>
            <w:gridCol w:w="3465"/>
          </w:tblGrid>
        </w:tblGridChange>
      </w:tblGrid>
      <w:tr>
        <w:trPr>
          <w:cantSplit w:val="0"/>
          <w:tblHeader w:val="1"/>
        </w:trPr>
        <w:tc>
          <w:tcPr/>
          <w:p w:rsidR="00000000" w:rsidDel="00000000" w:rsidP="00000000" w:rsidRDefault="00000000" w:rsidRPr="00000000" w14:paraId="00000044">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045">
            <w:pPr>
              <w:rPr>
                <w:b w:val="1"/>
                <w:bCs w:val="1"/>
              </w:rPr>
            </w:pPr>
            <w:r w:rsidDel="00000000" w:rsidR="00000000" w:rsidRPr="00000000">
              <w:rPr>
                <w:b w:val="1"/>
                <w:bCs w:val="1"/>
                <w:rtl w:val="0"/>
              </w:rPr>
              <w:t xml:space="preserve">Amount</w:t>
            </w:r>
          </w:p>
        </w:tc>
        <w:tc>
          <w:tcPr/>
          <w:p w:rsidR="00000000" w:rsidDel="00000000" w:rsidP="00000000" w:rsidRDefault="00000000" w:rsidRPr="00000000" w14:paraId="00000046">
            <w:pPr>
              <w:rPr>
                <w:b w:val="1"/>
                <w:bCs w:val="1"/>
              </w:rPr>
            </w:pPr>
            <w:r w:rsidDel="00000000" w:rsidR="00000000" w:rsidRPr="00000000">
              <w:rPr>
                <w:b w:val="1"/>
                <w:bCs w:val="1"/>
                <w:rtl w:val="0"/>
              </w:rPr>
              <w:t xml:space="preserve">Justification</w:t>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Personnel (60%)</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$45M</w:t>
            </w:r>
          </w:p>
        </w:tc>
        <w:tc>
          <w:tcPr/>
          <w:p w:rsidR="00000000" w:rsidDel="00000000" w:rsidP="00000000" w:rsidRDefault="00000000" w:rsidRPr="00000000" w14:paraId="00000049">
            <w:pPr>
              <w:rPr/>
            </w:pPr>
            <w:r w:rsidDel="00000000" w:rsidR="00000000" w:rsidRPr="00000000">
              <w:rPr>
                <w:rtl w:val="0"/>
              </w:rPr>
              <w:t xml:space="preserve">150 FTEs over 5 years building transformative technology</w:t>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Infrastructure (20%)</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$15M</w:t>
            </w:r>
          </w:p>
        </w:tc>
        <w:tc>
          <w:tcPr/>
          <w:p w:rsidR="00000000" w:rsidDel="00000000" w:rsidP="00000000" w:rsidRDefault="00000000" w:rsidRPr="00000000" w14:paraId="0000004C">
            <w:pPr>
              <w:rPr/>
            </w:pPr>
            <w:r w:rsidDel="00000000" w:rsidR="00000000" w:rsidRPr="00000000">
              <w:rPr>
                <w:rtl w:val="0"/>
              </w:rPr>
              <w:t xml:space="preserve">Cloud compute, data storage, and platform development</w:t>
            </w:r>
          </w:p>
        </w:tc>
      </w:tr>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Clinical Studies (10%)</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$7.5M</w:t>
            </w:r>
          </w:p>
        </w:tc>
        <w:tc>
          <w:tcPr/>
          <w:p w:rsidR="00000000" w:rsidDel="00000000" w:rsidP="00000000" w:rsidRDefault="00000000" w:rsidRPr="00000000" w14:paraId="0000004F">
            <w:pPr>
              <w:rPr/>
            </w:pPr>
            <w:r w:rsidDel="00000000" w:rsidR="00000000" w:rsidRPr="00000000">
              <w:rPr>
                <w:rtl w:val="0"/>
              </w:rPr>
              <w:t xml:space="preserve">5,000-person longitudinal validation study</w:t>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Laboratory (8%)</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$6M</w:t>
            </w:r>
          </w:p>
        </w:tc>
        <w:tc>
          <w:tcPr/>
          <w:p w:rsidR="00000000" w:rsidDel="00000000" w:rsidP="00000000" w:rsidRDefault="00000000" w:rsidRPr="00000000" w14:paraId="00000052">
            <w:pPr>
              <w:rPr/>
            </w:pPr>
            <w:r w:rsidDel="00000000" w:rsidR="00000000" w:rsidRPr="00000000">
              <w:rPr>
                <w:rtl w:val="0"/>
              </w:rPr>
              <w:t xml:space="preserve">Biomarker validation and sensor development</w:t>
            </w:r>
          </w:p>
        </w:tc>
      </w:tr>
      <w:tr>
        <w:trPr>
          <w:cantSplit w:val="0"/>
          <w:tblHeader w:val="0"/>
        </w:trPr>
        <w:tc>
          <w:tcPr/>
          <w:p w:rsidR="00000000" w:rsidDel="00000000" w:rsidP="00000000" w:rsidRDefault="00000000" w:rsidRPr="00000000" w14:paraId="00000053">
            <w:pPr>
              <w:rPr/>
            </w:pPr>
            <w:r w:rsidDel="00000000" w:rsidR="00000000" w:rsidRPr="00000000">
              <w:rPr>
                <w:b w:val="1"/>
                <w:bCs w:val="1"/>
                <w:rtl w:val="0"/>
              </w:rPr>
              <w:t xml:space="preserve">Regulatory/IP (2%)</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$1.5M</w:t>
            </w:r>
          </w:p>
        </w:tc>
        <w:tc>
          <w:tcPr/>
          <w:p w:rsidR="00000000" w:rsidDel="00000000" w:rsidP="00000000" w:rsidRDefault="00000000" w:rsidRPr="00000000" w14:paraId="00000055">
            <w:pPr>
              <w:rPr/>
            </w:pPr>
            <w:r w:rsidDel="00000000" w:rsidR="00000000" w:rsidRPr="00000000">
              <w:rPr>
                <w:rtl w:val="0"/>
              </w:rPr>
              <w:t xml:space="preserve">FDA pathway, patents, open science infrastructure</w:t>
            </w:r>
          </w:p>
        </w:tc>
      </w:tr>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1"/>
                <w:bCs w:val="1"/>
                <w:rtl w:val="0"/>
              </w:rPr>
              <w:t xml:space="preserve">$75M</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r>
    </w:tbl>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Resource Sharing:</w:t>
      </w:r>
      <w:r w:rsidDel="00000000" w:rsidR="00000000" w:rsidRPr="00000000">
        <w:rPr>
          <w:rtl w:val="0"/>
        </w:rPr>
      </w:r>
    </w:p>
    <w:p w:rsidR="00000000" w:rsidDel="00000000" w:rsidP="00000000" w:rsidRDefault="00000000" w:rsidRPr="00000000" w14:paraId="0000005B">
      <w:pPr>
        <w:numPr>
          <w:ilvl w:val="0"/>
          <w:numId w:val="3"/>
        </w:numPr>
        <w:spacing w:after="0" w:afterAutospacing="0"/>
        <w:ind w:left="720" w:hanging="360"/>
      </w:pPr>
      <w:r w:rsidDel="00000000" w:rsidR="00000000" w:rsidRPr="00000000">
        <w:rPr>
          <w:rtl w:val="0"/>
        </w:rPr>
        <w:t xml:space="preserve">Government (70%): $52.5M - Core R&amp;D and clinical validation</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Performer (30%): $22.5M - Gates Foundation ($15M), Wellcome Trust ($7.5M) for global health initiatives</w:t>
      </w:r>
    </w:p>
    <w:p w:rsidR="00000000" w:rsidDel="00000000" w:rsidP="00000000" w:rsidRDefault="00000000" w:rsidRPr="00000000" w14:paraId="0000005D">
      <w:pPr>
        <w:pStyle w:val="Heading2"/>
        <w:rPr/>
      </w:pPr>
      <w:bookmarkStart w:colFirst="0" w:colLast="0" w:name="_6qieodeivev1" w:id="8"/>
      <w:bookmarkEnd w:id="8"/>
      <w:r w:rsidDel="00000000" w:rsidR="00000000" w:rsidRPr="00000000">
        <w:rPr>
          <w:rtl w:val="0"/>
        </w:rPr>
        <w:t xml:space="preserve">6. ALIGNMENT WITH PHO MISSION</w:t>
      </w:r>
    </w:p>
    <w:p w:rsidR="00000000" w:rsidDel="00000000" w:rsidP="00000000" w:rsidRDefault="00000000" w:rsidRPr="00000000" w14:paraId="0000005E">
      <w:pPr>
        <w:rPr/>
      </w:pPr>
      <w:r w:rsidDel="00000000" w:rsidR="00000000" w:rsidRPr="00000000">
        <w:rPr>
          <w:rtl w:val="0"/>
        </w:rPr>
        <w:t xml:space="preserve">Cytognosis embodies PHO's vision of keeping people from becoming patients through:</w:t>
      </w:r>
    </w:p>
    <w:p w:rsidR="00000000" w:rsidDel="00000000" w:rsidP="00000000" w:rsidRDefault="00000000" w:rsidRPr="00000000" w14:paraId="0000005F">
      <w:pPr>
        <w:rPr/>
      </w:pPr>
      <w:r w:rsidDel="00000000" w:rsidR="00000000" w:rsidRPr="00000000">
        <w:rPr>
          <w:b w:val="1"/>
          <w:bCs w:val="1"/>
          <w:rtl w:val="0"/>
        </w:rPr>
        <w:t xml:space="preserve">Preventing Disease Onset:</w:t>
      </w:r>
      <w:r w:rsidDel="00000000" w:rsidR="00000000" w:rsidRPr="00000000">
        <w:rPr>
          <w:rtl w:val="0"/>
        </w:rPr>
        <w:t xml:space="preserve"> Our platform detects cellular changes 2-5 years before symptoms emerge, enabling intervention when prevention is still possible.</w:t>
      </w:r>
    </w:p>
    <w:p w:rsidR="00000000" w:rsidDel="00000000" w:rsidP="00000000" w:rsidRDefault="00000000" w:rsidRPr="00000000" w14:paraId="00000060">
      <w:pPr>
        <w:rPr/>
      </w:pPr>
      <w:r w:rsidDel="00000000" w:rsidR="00000000" w:rsidRPr="00000000">
        <w:rPr>
          <w:b w:val="1"/>
          <w:bCs w:val="1"/>
          <w:rtl w:val="0"/>
        </w:rPr>
        <w:t xml:space="preserve">Reducing Disparities:</w:t>
      </w:r>
      <w:r w:rsidDel="00000000" w:rsidR="00000000" w:rsidRPr="00000000">
        <w:rPr>
          <w:rtl w:val="0"/>
        </w:rPr>
        <w:t xml:space="preserve"> Tiered pricing and open science ensure that a farmer in Kenya has the same cellular intelligence as a CEO in San Francisco.</w:t>
      </w:r>
    </w:p>
    <w:p w:rsidR="00000000" w:rsidDel="00000000" w:rsidP="00000000" w:rsidRDefault="00000000" w:rsidRPr="00000000" w14:paraId="00000061">
      <w:pPr>
        <w:rPr/>
      </w:pPr>
      <w:r w:rsidDel="00000000" w:rsidR="00000000" w:rsidRPr="00000000">
        <w:rPr>
          <w:b w:val="1"/>
          <w:bCs w:val="1"/>
          <w:rtl w:val="0"/>
        </w:rPr>
        <w:t xml:space="preserve">Novel Biomarkers:</w:t>
      </w:r>
      <w:r w:rsidDel="00000000" w:rsidR="00000000" w:rsidRPr="00000000">
        <w:rPr>
          <w:rtl w:val="0"/>
        </w:rPr>
        <w:t xml:space="preserve"> We don't just measure known markers; we discover new signatures through multimodal AI that reveal hidden patterns.</w:t>
      </w:r>
    </w:p>
    <w:p w:rsidR="00000000" w:rsidDel="00000000" w:rsidP="00000000" w:rsidRDefault="00000000" w:rsidRPr="00000000" w14:paraId="00000062">
      <w:pPr>
        <w:rPr/>
      </w:pPr>
      <w:r w:rsidDel="00000000" w:rsidR="00000000" w:rsidRPr="00000000">
        <w:rPr>
          <w:b w:val="1"/>
          <w:bCs w:val="1"/>
          <w:rtl w:val="0"/>
        </w:rPr>
        <w:t xml:space="preserve">Continuous Monitoring:</w:t>
      </w:r>
      <w:r w:rsidDel="00000000" w:rsidR="00000000" w:rsidRPr="00000000">
        <w:rPr>
          <w:rtl w:val="0"/>
        </w:rPr>
        <w:t xml:space="preserve"> Not annual checkups but constant vigilance, catching deviations the moment they begin.</w:t>
      </w:r>
    </w:p>
    <w:p w:rsidR="00000000" w:rsidDel="00000000" w:rsidP="00000000" w:rsidRDefault="00000000" w:rsidRPr="00000000" w14:paraId="00000063">
      <w:pPr>
        <w:rPr/>
      </w:pPr>
      <w:r w:rsidDel="00000000" w:rsidR="00000000" w:rsidRPr="00000000">
        <w:rPr>
          <w:b w:val="1"/>
          <w:bCs w:val="1"/>
          <w:rtl w:val="0"/>
        </w:rPr>
        <w:t xml:space="preserve">Radical Accessibility:</w:t>
      </w:r>
      <w:r w:rsidDel="00000000" w:rsidR="00000000" w:rsidRPr="00000000">
        <w:rPr>
          <w:rtl w:val="0"/>
        </w:rPr>
        <w:t xml:space="preserve"> Consumer-grade pricing and natural language interfaces make precision health universally understandable.</w:t>
      </w:r>
    </w:p>
    <w:p w:rsidR="00000000" w:rsidDel="00000000" w:rsidP="00000000" w:rsidRDefault="00000000" w:rsidRPr="00000000" w14:paraId="00000064">
      <w:pPr>
        <w:rPr/>
      </w:pPr>
      <w:r w:rsidDel="00000000" w:rsidR="00000000" w:rsidRPr="00000000">
        <w:rPr>
          <w:rtl w:val="0"/>
        </w:rPr>
        <w:t xml:space="preserve">This isn't incremental improvement - it's healthcare's moonshot. We're transforming the fundamental paradigm from waiting for disease to maintaining health, from treating damage to preventing it, from accepting suffering to making it optional.</w:t>
      </w:r>
    </w:p>
    <w:p w:rsidR="00000000" w:rsidDel="00000000" w:rsidP="00000000" w:rsidRDefault="00000000" w:rsidRPr="00000000" w14:paraId="00000065">
      <w:pPr>
        <w:rPr/>
      </w:pPr>
      <w:r w:rsidDel="00000000" w:rsidR="00000000" w:rsidRPr="00000000">
        <w:rPr>
          <w:rtl w:val="0"/>
        </w:rPr>
        <w:t xml:space="preserve">My 37-year diagnostic odyssey drives our urgency. Every day of delay means more people suffering needlessly when the technology to prevent their pain exists. Cytognosis ensures no one else waits decades for answers that AI could provide today.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We're not just building technology. We're architecting a future where cellular intelligence is a human right, where disease is prevented rather than treated, and precision health reaches every human regardless of geography or economic status.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is our moonshot. This is our mission. This is Cytognosis.</w:t>
      </w:r>
    </w:p>
    <w:p w:rsidR="00000000" w:rsidDel="00000000" w:rsidP="00000000" w:rsidRDefault="00000000" w:rsidRPr="00000000" w14:paraId="000000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bisx7firlx7" w:id="9"/>
      <w:bookmarkEnd w:id="9"/>
      <w:r w:rsidDel="00000000" w:rsidR="00000000" w:rsidRPr="00000000">
        <w:rPr>
          <w:rFonts w:ascii="Inter" w:cs="Inter" w:eastAsia="Inter" w:hAnsi="Inter"/>
          <w:b w:val="1"/>
          <w:bCs w:val="1"/>
          <w:i w:val="0"/>
          <w:iCs w:val="0"/>
          <w:smallCaps w:val="0"/>
          <w:strike w:val="0"/>
          <w:color w:val="1a4b84"/>
          <w:sz w:val="56"/>
          <w:szCs w:val="56"/>
          <w:u w:val="none"/>
          <w:shd w:fill="auto" w:val="clear"/>
          <w:vertAlign w:val="baseline"/>
          <w:rtl w:val="0"/>
        </w:rPr>
        <w:t xml:space="preserve">Template</w:t>
      </w:r>
      <w:r w:rsidDel="00000000" w:rsidR="00000000" w:rsidRPr="00000000">
        <w:rPr>
          <w:rtl w:val="0"/>
        </w:rPr>
      </w:r>
    </w:p>
    <w:p w:rsidR="00000000" w:rsidDel="00000000" w:rsidP="00000000" w:rsidRDefault="00000000" w:rsidRPr="00000000" w14:paraId="0000006C">
      <w:pPr>
        <w:spacing w:after="160" w:line="240" w:lineRule="auto"/>
        <w:jc w:val="center"/>
        <w:rPr>
          <w:rFonts w:ascii="Avenir" w:cs="Avenir" w:eastAsia="Avenir" w:hAnsi="Avenir"/>
          <w:smallCaps w:val="1"/>
          <w:color w:val="000000"/>
          <w:sz w:val="28"/>
          <w:szCs w:val="28"/>
        </w:rPr>
      </w:pPr>
      <w:bookmarkStart w:colFirst="0" w:colLast="0" w:name="_aitm78ohhz22" w:id="10"/>
      <w:bookmarkEnd w:id="10"/>
      <w:r w:rsidDel="00000000" w:rsidR="00000000" w:rsidRPr="00000000">
        <w:rPr>
          <w:rFonts w:ascii="Avenir" w:cs="Avenir" w:eastAsia="Avenir" w:hAnsi="Avenir"/>
          <w:b w:val="1"/>
          <w:bCs w:val="1"/>
          <w:smallCaps w:val="1"/>
          <w:color w:val="000000"/>
          <w:sz w:val="28"/>
          <w:szCs w:val="28"/>
          <w:rtl w:val="0"/>
        </w:rPr>
        <w:t xml:space="preserve">Appendix A: Mission Office Solution Summary Template</w:t>
      </w:r>
      <w:r w:rsidDel="00000000" w:rsidR="00000000" w:rsidRPr="00000000">
        <w:rPr>
          <w:rtl w:val="0"/>
        </w:rPr>
      </w:r>
    </w:p>
    <w:p w:rsidR="00000000" w:rsidDel="00000000" w:rsidP="00000000" w:rsidRDefault="00000000" w:rsidRPr="00000000" w14:paraId="0000006D">
      <w:pPr>
        <w:spacing w:after="160" w:line="240" w:lineRule="auto"/>
        <w:jc w:val="center"/>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Solution Summary Cover Page</w:t>
      </w:r>
    </w:p>
    <w:p w:rsidR="00000000" w:rsidDel="00000000" w:rsidP="00000000" w:rsidRDefault="00000000" w:rsidRPr="00000000" w14:paraId="0000006E">
      <w:pPr>
        <w:spacing w:after="160" w:line="240" w:lineRule="auto"/>
        <w:jc w:val="center"/>
        <w:rPr>
          <w:rFonts w:ascii="Avenir" w:cs="Avenir" w:eastAsia="Avenir" w:hAnsi="Avenir"/>
          <w:color w:val="0070c0"/>
        </w:rPr>
      </w:pPr>
      <w:bookmarkStart w:colFirst="0" w:colLast="0" w:name="_qfgz2uas0d3q" w:id="11"/>
      <w:bookmarkEnd w:id="11"/>
      <w:r w:rsidDel="00000000" w:rsidR="00000000" w:rsidRPr="00000000">
        <w:rPr>
          <w:rFonts w:ascii="Avenir" w:cs="Avenir" w:eastAsia="Avenir" w:hAnsi="Avenir"/>
          <w:b w:val="1"/>
          <w:bCs w:val="1"/>
          <w:color w:val="0070c0"/>
          <w:rtl w:val="0"/>
        </w:rPr>
        <w:t xml:space="preserve">&lt;PRIME ORGANIZATION LOGO (optional)&gt;</w:t>
      </w:r>
      <w:r w:rsidDel="00000000" w:rsidR="00000000" w:rsidRPr="00000000">
        <w:rPr>
          <w:rtl w:val="0"/>
        </w:rPr>
      </w:r>
    </w:p>
    <w:p w:rsidR="00000000" w:rsidDel="00000000" w:rsidP="00000000" w:rsidRDefault="00000000" w:rsidRPr="00000000" w14:paraId="0000006F">
      <w:pPr>
        <w:widowControl w:val="0"/>
        <w:spacing w:after="0" w:line="240" w:lineRule="auto"/>
        <w:jc w:val="center"/>
        <w:rPr>
          <w:rFonts w:ascii="Avenir" w:cs="Avenir" w:eastAsia="Avenir" w:hAnsi="Avenir"/>
          <w:smallCaps w:val="1"/>
          <w:color w:val="000000"/>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682"/>
        <w:gridCol w:w="5678"/>
        <w:tblGridChange w:id="0">
          <w:tblGrid>
            <w:gridCol w:w="3682"/>
            <w:gridCol w:w="5678"/>
          </w:tblGrid>
        </w:tblGridChange>
      </w:tblGrid>
      <w:tr>
        <w:trPr>
          <w:cantSplit w:val="0"/>
          <w:trHeight w:val="768" w:hRule="atLeast"/>
          <w:tblHeader w:val="0"/>
        </w:trPr>
        <w:tc>
          <w:tcPr>
            <w:tcBorders>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70">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Innovative Solutions Opening Title</w:t>
            </w:r>
          </w:p>
        </w:tc>
        <w:tc>
          <w:tcPr>
            <w:tcBorders>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71">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795"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72">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Solution Summary Title</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73">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795"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74">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Submitter Organization</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75">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705"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76">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Type of Organization</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77">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Choose all that apply: </w:t>
            </w:r>
          </w:p>
          <w:p w:rsidR="00000000" w:rsidDel="00000000" w:rsidP="00000000" w:rsidRDefault="00000000" w:rsidRPr="00000000" w14:paraId="00000078">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For-Profit</w:t>
            </w:r>
          </w:p>
          <w:p w:rsidR="00000000" w:rsidDel="00000000" w:rsidP="00000000" w:rsidRDefault="00000000" w:rsidRPr="00000000" w14:paraId="00000079">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Non-profit</w:t>
            </w:r>
          </w:p>
          <w:p w:rsidR="00000000" w:rsidDel="00000000" w:rsidP="00000000" w:rsidRDefault="00000000" w:rsidRPr="00000000" w14:paraId="0000007A">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Academia</w:t>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7B">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Technical Point of Contact (POC)</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7C">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Name:</w:t>
            </w:r>
          </w:p>
          <w:p w:rsidR="00000000" w:rsidDel="00000000" w:rsidP="00000000" w:rsidRDefault="00000000" w:rsidRPr="00000000" w14:paraId="0000007D">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Mailing Address:</w:t>
            </w:r>
          </w:p>
          <w:p w:rsidR="00000000" w:rsidDel="00000000" w:rsidP="00000000" w:rsidRDefault="00000000" w:rsidRPr="00000000" w14:paraId="0000007E">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Telephone:</w:t>
            </w:r>
          </w:p>
          <w:p w:rsidR="00000000" w:rsidDel="00000000" w:rsidP="00000000" w:rsidRDefault="00000000" w:rsidRPr="00000000" w14:paraId="0000007F">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Email:</w:t>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80">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Administrative POC</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81">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Name:</w:t>
            </w:r>
          </w:p>
          <w:p w:rsidR="00000000" w:rsidDel="00000000" w:rsidP="00000000" w:rsidRDefault="00000000" w:rsidRPr="00000000" w14:paraId="00000082">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Mailing Address:</w:t>
            </w:r>
          </w:p>
          <w:p w:rsidR="00000000" w:rsidDel="00000000" w:rsidP="00000000" w:rsidRDefault="00000000" w:rsidRPr="00000000" w14:paraId="00000083">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Telephone:</w:t>
            </w:r>
          </w:p>
          <w:p w:rsidR="00000000" w:rsidDel="00000000" w:rsidP="00000000" w:rsidRDefault="00000000" w:rsidRPr="00000000" w14:paraId="00000084">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Email:</w:t>
            </w:r>
          </w:p>
        </w:tc>
      </w:tr>
      <w:tr>
        <w:trPr>
          <w:cantSplit w:val="0"/>
          <w:trHeight w:val="354"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85">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Estimated Project Duration</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86">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____ Months</w:t>
            </w:r>
          </w:p>
        </w:tc>
      </w:tr>
      <w:tr>
        <w:trPr>
          <w:cantSplit w:val="0"/>
          <w:trHeight w:val="471"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87">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Total Basis of Estimate</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88">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Total: $ ___________________________</w:t>
            </w:r>
          </w:p>
        </w:tc>
      </w:tr>
      <w:tr>
        <w:trPr>
          <w:cantSplit w:val="0"/>
          <w:trHeight w:val="471"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89">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Resource Sharing (if applicable)</w:t>
            </w:r>
          </w:p>
        </w:tc>
        <w:tc>
          <w:tcPr>
            <w:tcBorders>
              <w:top w:color="000000" w:space="0" w:sz="6" w:val="single"/>
              <w:left w:color="000000" w:space="0" w:sz="6" w:val="single"/>
              <w:bottom w:color="000000" w:space="0" w:sz="6" w:val="single"/>
            </w:tcBorders>
            <w:tcMar>
              <w:left w:w="105.0" w:type="dxa"/>
              <w:right w:w="105.0" w:type="dxa"/>
            </w:tcMar>
            <w:vAlign w:val="center"/>
          </w:tcPr>
          <w:p w:rsidR="00000000" w:rsidDel="00000000" w:rsidP="00000000" w:rsidRDefault="00000000" w:rsidRPr="00000000" w14:paraId="0000008A">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Gov’t %____                $ _______________________</w:t>
            </w:r>
          </w:p>
          <w:p w:rsidR="00000000" w:rsidDel="00000000" w:rsidP="00000000" w:rsidRDefault="00000000" w:rsidRPr="00000000" w14:paraId="0000008B">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Performer % ____      $ _______________________</w:t>
            </w:r>
          </w:p>
        </w:tc>
      </w:tr>
      <w:tr>
        <w:trPr>
          <w:cantSplit w:val="0"/>
          <w:trHeight w:val="975" w:hRule="atLeast"/>
          <w:tblHeader w:val="0"/>
        </w:trPr>
        <w:tc>
          <w:tcPr>
            <w:tcBorders>
              <w:top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8C">
            <w:pPr>
              <w:widowControl w:val="0"/>
              <w:spacing w:after="0" w:line="256" w:lineRule="auto"/>
              <w:rPr>
                <w:rFonts w:ascii="Avenir" w:cs="Avenir" w:eastAsia="Avenir" w:hAnsi="Avenir"/>
                <w:color w:val="000000"/>
              </w:rPr>
            </w:pPr>
            <w:r w:rsidDel="00000000" w:rsidR="00000000" w:rsidRPr="00000000">
              <w:rPr>
                <w:rFonts w:ascii="Avenir" w:cs="Avenir" w:eastAsia="Avenir" w:hAnsi="Avenir"/>
                <w:color w:val="000000"/>
                <w:rtl w:val="0"/>
              </w:rPr>
              <w:t xml:space="preserve">Place(s) of Performance</w:t>
            </w:r>
          </w:p>
        </w:tc>
        <w:tc>
          <w:tcPr>
            <w:tcBorders>
              <w:top w:color="000000" w:space="0" w:sz="6" w:val="single"/>
              <w:left w:color="000000" w:space="0" w:sz="6" w:val="single"/>
            </w:tcBorders>
            <w:tcMar>
              <w:left w:w="105.0" w:type="dxa"/>
              <w:right w:w="105.0" w:type="dxa"/>
            </w:tcMar>
            <w:vAlign w:val="center"/>
          </w:tcPr>
          <w:p w:rsidR="00000000" w:rsidDel="00000000" w:rsidP="00000000" w:rsidRDefault="00000000" w:rsidRPr="00000000" w14:paraId="0000008D">
            <w:pPr>
              <w:widowControl w:val="0"/>
              <w:spacing w:after="0" w:line="256" w:lineRule="auto"/>
              <w:rPr>
                <w:rFonts w:ascii="Avenir" w:cs="Avenir" w:eastAsia="Avenir" w:hAnsi="Avenir"/>
                <w:color w:val="000000"/>
              </w:rPr>
            </w:pPr>
            <w:r w:rsidDel="00000000" w:rsidR="00000000" w:rsidRPr="00000000">
              <w:rPr>
                <w:rtl w:val="0"/>
              </w:rPr>
            </w:r>
          </w:p>
        </w:tc>
      </w:tr>
    </w:tbl>
    <w:p w:rsidR="00000000" w:rsidDel="00000000" w:rsidP="00000000" w:rsidRDefault="00000000" w:rsidRPr="00000000" w14:paraId="0000008E">
      <w:pPr>
        <w:spacing w:after="160" w:line="240" w:lineRule="auto"/>
        <w:rPr>
          <w:rFonts w:ascii="Avenir" w:cs="Avenir" w:eastAsia="Avenir" w:hAnsi="Avenir"/>
          <w:color w:val="000000"/>
        </w:rPr>
      </w:pPr>
      <w:r w:rsidDel="00000000" w:rsidR="00000000" w:rsidRPr="00000000">
        <w:br w:type="page"/>
      </w: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232"/>
        <w:gridCol w:w="6128"/>
        <w:tblGridChange w:id="0">
          <w:tblGrid>
            <w:gridCol w:w="3232"/>
            <w:gridCol w:w="6128"/>
          </w:tblGrid>
        </w:tblGridChange>
      </w:tblGrid>
      <w:tr>
        <w:trPr>
          <w:cantSplit w:val="0"/>
          <w:trHeight w:val="705" w:hRule="atLeast"/>
          <w:tblHeader w:val="0"/>
        </w:trPr>
        <w:tc>
          <w:tcPr>
            <w:gridSpan w:val="2"/>
            <w:tcBorders>
              <w:bottom w:color="000000" w:space="0" w:sz="6" w:val="single"/>
              <w:right w:color="000000" w:space="0" w:sz="6" w:val="single"/>
            </w:tcBorders>
            <w:shd w:fill="caedfb" w:val="clear"/>
            <w:tcMar>
              <w:left w:w="105.0" w:type="dxa"/>
              <w:right w:w="105.0" w:type="dxa"/>
            </w:tcMar>
            <w:vAlign w:val="center"/>
          </w:tcPr>
          <w:p w:rsidR="00000000" w:rsidDel="00000000" w:rsidP="00000000" w:rsidRDefault="00000000" w:rsidRPr="00000000" w14:paraId="0000008F">
            <w:pPr>
              <w:widowControl w:val="0"/>
              <w:spacing w:after="0" w:line="256" w:lineRule="auto"/>
              <w:jc w:val="center"/>
              <w:rPr>
                <w:rFonts w:ascii="Avenir" w:cs="Avenir" w:eastAsia="Avenir" w:hAnsi="Avenir"/>
                <w:b w:val="1"/>
                <w:bCs w:val="1"/>
                <w:color w:val="000000"/>
              </w:rPr>
            </w:pPr>
            <w:r w:rsidDel="00000000" w:rsidR="00000000" w:rsidRPr="00000000">
              <w:rPr>
                <w:rtl w:val="0"/>
              </w:rPr>
            </w:r>
          </w:p>
          <w:p w:rsidR="00000000" w:rsidDel="00000000" w:rsidP="00000000" w:rsidRDefault="00000000" w:rsidRPr="00000000" w14:paraId="00000090">
            <w:pPr>
              <w:widowControl w:val="0"/>
              <w:spacing w:after="0" w:line="256" w:lineRule="auto"/>
              <w:jc w:val="center"/>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SUB-AWARDEE AND CONSULTANT</w:t>
            </w:r>
          </w:p>
          <w:p w:rsidR="00000000" w:rsidDel="00000000" w:rsidP="00000000" w:rsidRDefault="00000000" w:rsidRPr="00000000" w14:paraId="00000091">
            <w:pPr>
              <w:widowControl w:val="0"/>
              <w:spacing w:after="0" w:line="256" w:lineRule="auto"/>
              <w:jc w:val="center"/>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TEAM MEMBERS</w:t>
            </w:r>
          </w:p>
          <w:p w:rsidR="00000000" w:rsidDel="00000000" w:rsidP="00000000" w:rsidRDefault="00000000" w:rsidRPr="00000000" w14:paraId="00000092">
            <w:pPr>
              <w:widowControl w:val="0"/>
              <w:spacing w:after="0" w:line="256" w:lineRule="auto"/>
              <w:jc w:val="center"/>
              <w:rPr>
                <w:rFonts w:ascii="Avenir" w:cs="Avenir" w:eastAsia="Avenir" w:hAnsi="Avenir"/>
                <w:color w:val="000000"/>
              </w:rPr>
            </w:pPr>
            <w:r w:rsidDel="00000000" w:rsidR="00000000" w:rsidRPr="00000000">
              <w:rPr>
                <w:rFonts w:ascii="Avenir" w:cs="Avenir" w:eastAsia="Avenir" w:hAnsi="Avenir"/>
                <w:color w:val="000000"/>
                <w:rtl w:val="0"/>
              </w:rPr>
              <w:t xml:space="preserve">(Add rows as necessary)</w:t>
            </w:r>
          </w:p>
          <w:p w:rsidR="00000000" w:rsidDel="00000000" w:rsidP="00000000" w:rsidRDefault="00000000" w:rsidRPr="00000000" w14:paraId="00000093">
            <w:pPr>
              <w:widowControl w:val="0"/>
              <w:spacing w:after="0" w:line="256" w:lineRule="auto"/>
              <w:jc w:val="center"/>
              <w:rPr>
                <w:rFonts w:ascii="Avenir" w:cs="Avenir" w:eastAsia="Avenir" w:hAnsi="Avenir"/>
                <w:color w:val="000000"/>
              </w:rPr>
            </w:pPr>
            <w:r w:rsidDel="00000000" w:rsidR="00000000" w:rsidRPr="00000000">
              <w:rPr>
                <w:rtl w:val="0"/>
              </w:rPr>
            </w:r>
          </w:p>
        </w:tc>
      </w:tr>
      <w:tr>
        <w:trPr>
          <w:cantSplit w:val="0"/>
          <w:trHeight w:val="696"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95">
            <w:pPr>
              <w:widowControl w:val="0"/>
              <w:numPr>
                <w:ilvl w:val="0"/>
                <w:numId w:val="6"/>
              </w:numPr>
              <w:spacing w:after="0" w:line="256" w:lineRule="auto"/>
              <w:ind w:left="424" w:hanging="360"/>
              <w:rPr>
                <w:rFonts w:ascii="Avenir" w:cs="Avenir" w:eastAsia="Avenir" w:hAnsi="Avenir"/>
                <w:b w:val="1"/>
                <w:bCs w:val="1"/>
                <w:color w:val="000000"/>
              </w:rPr>
            </w:pPr>
            <w:r w:rsidDel="00000000" w:rsidR="00000000" w:rsidRPr="00000000">
              <w:rPr>
                <w:rFonts w:ascii="Avenir" w:cs="Avenir" w:eastAsia="Avenir" w:hAnsi="Avenir"/>
                <w:color w:val="000000"/>
                <w:rtl w:val="0"/>
              </w:rPr>
              <w:t xml:space="preserve">Organization Name:</w:t>
            </w:r>
            <w:r w:rsidDel="00000000" w:rsidR="00000000" w:rsidRPr="00000000">
              <w:rPr>
                <w:rtl w:val="0"/>
              </w:rPr>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96">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97">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Technical POC Name:</w:t>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98">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99">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Organization Type(s):</w:t>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9A">
            <w:pPr>
              <w:widowControl w:val="0"/>
              <w:spacing w:after="0" w:line="256" w:lineRule="auto"/>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Choose all that apply: </w:t>
            </w:r>
          </w:p>
          <w:p w:rsidR="00000000" w:rsidDel="00000000" w:rsidP="00000000" w:rsidRDefault="00000000" w:rsidRPr="00000000" w14:paraId="0000009B">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For-Profit</w:t>
            </w:r>
          </w:p>
          <w:p w:rsidR="00000000" w:rsidDel="00000000" w:rsidP="00000000" w:rsidRDefault="00000000" w:rsidRPr="00000000" w14:paraId="0000009C">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Non-profit</w:t>
            </w:r>
          </w:p>
          <w:p w:rsidR="00000000" w:rsidDel="00000000" w:rsidP="00000000" w:rsidRDefault="00000000" w:rsidRPr="00000000" w14:paraId="0000009D">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Academia</w:t>
            </w:r>
          </w:p>
        </w:tc>
      </w:tr>
      <w:tr>
        <w:trPr>
          <w:cantSplit w:val="0"/>
          <w:trHeight w:val="714"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9E">
            <w:pPr>
              <w:widowControl w:val="0"/>
              <w:numPr>
                <w:ilvl w:val="0"/>
                <w:numId w:val="6"/>
              </w:numPr>
              <w:spacing w:after="0" w:line="256" w:lineRule="auto"/>
              <w:ind w:left="424" w:hanging="360"/>
              <w:rPr>
                <w:rFonts w:ascii="Avenir" w:cs="Avenir" w:eastAsia="Avenir" w:hAnsi="Avenir"/>
                <w:b w:val="1"/>
                <w:bCs w:val="1"/>
                <w:color w:val="000000"/>
              </w:rPr>
            </w:pPr>
            <w:r w:rsidDel="00000000" w:rsidR="00000000" w:rsidRPr="00000000">
              <w:rPr>
                <w:rFonts w:ascii="Avenir" w:cs="Avenir" w:eastAsia="Avenir" w:hAnsi="Avenir"/>
                <w:color w:val="000000"/>
                <w:rtl w:val="0"/>
              </w:rPr>
              <w:t xml:space="preserve">Organization Name:</w:t>
            </w:r>
            <w:r w:rsidDel="00000000" w:rsidR="00000000" w:rsidRPr="00000000">
              <w:rPr>
                <w:rtl w:val="0"/>
              </w:rPr>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9F">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0">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Technical POC Name:</w:t>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A1">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2">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Organization Type(s):</w:t>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A3">
            <w:pPr>
              <w:widowControl w:val="0"/>
              <w:spacing w:after="0" w:line="256" w:lineRule="auto"/>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Choose all that apply: </w:t>
            </w:r>
          </w:p>
          <w:p w:rsidR="00000000" w:rsidDel="00000000" w:rsidP="00000000" w:rsidRDefault="00000000" w:rsidRPr="00000000" w14:paraId="000000A4">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For-Profit</w:t>
            </w:r>
          </w:p>
          <w:p w:rsidR="00000000" w:rsidDel="00000000" w:rsidP="00000000" w:rsidRDefault="00000000" w:rsidRPr="00000000" w14:paraId="000000A5">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Non-profit</w:t>
            </w:r>
          </w:p>
          <w:p w:rsidR="00000000" w:rsidDel="00000000" w:rsidP="00000000" w:rsidRDefault="00000000" w:rsidRPr="00000000" w14:paraId="000000A6">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Academia</w:t>
            </w:r>
          </w:p>
        </w:tc>
      </w:tr>
      <w:tr>
        <w:trPr>
          <w:cantSplit w:val="0"/>
          <w:trHeight w:val="885"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7">
            <w:pPr>
              <w:widowControl w:val="0"/>
              <w:numPr>
                <w:ilvl w:val="0"/>
                <w:numId w:val="6"/>
              </w:numPr>
              <w:spacing w:after="0" w:line="256" w:lineRule="auto"/>
              <w:ind w:left="424" w:hanging="360"/>
              <w:rPr>
                <w:rFonts w:ascii="Avenir" w:cs="Avenir" w:eastAsia="Avenir" w:hAnsi="Avenir"/>
                <w:b w:val="1"/>
                <w:bCs w:val="1"/>
                <w:color w:val="000000"/>
              </w:rPr>
            </w:pPr>
            <w:r w:rsidDel="00000000" w:rsidR="00000000" w:rsidRPr="00000000">
              <w:rPr>
                <w:rFonts w:ascii="Avenir" w:cs="Avenir" w:eastAsia="Avenir" w:hAnsi="Avenir"/>
                <w:color w:val="000000"/>
                <w:rtl w:val="0"/>
              </w:rPr>
              <w:t xml:space="preserve">Organization Name:</w:t>
            </w:r>
            <w:r w:rsidDel="00000000" w:rsidR="00000000" w:rsidRPr="00000000">
              <w:rPr>
                <w:rtl w:val="0"/>
              </w:rPr>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A8">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9">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Technical POC Name:</w:t>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AA">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AB">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Organization Type(s):</w:t>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AC">
            <w:pPr>
              <w:widowControl w:val="0"/>
              <w:spacing w:after="0" w:line="256" w:lineRule="auto"/>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Choose all that apply: </w:t>
            </w:r>
          </w:p>
          <w:p w:rsidR="00000000" w:rsidDel="00000000" w:rsidP="00000000" w:rsidRDefault="00000000" w:rsidRPr="00000000" w14:paraId="000000AD">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For-Profit</w:t>
            </w:r>
          </w:p>
          <w:p w:rsidR="00000000" w:rsidDel="00000000" w:rsidP="00000000" w:rsidRDefault="00000000" w:rsidRPr="00000000" w14:paraId="000000AE">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Non-profit</w:t>
            </w:r>
          </w:p>
          <w:p w:rsidR="00000000" w:rsidDel="00000000" w:rsidP="00000000" w:rsidRDefault="00000000" w:rsidRPr="00000000" w14:paraId="000000AF">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Academia</w:t>
            </w:r>
          </w:p>
        </w:tc>
      </w:tr>
      <w:tr>
        <w:trPr>
          <w:cantSplit w:val="0"/>
          <w:trHeight w:val="804"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0">
            <w:pPr>
              <w:widowControl w:val="0"/>
              <w:numPr>
                <w:ilvl w:val="0"/>
                <w:numId w:val="6"/>
              </w:numPr>
              <w:spacing w:after="0" w:line="256" w:lineRule="auto"/>
              <w:ind w:left="424" w:hanging="360"/>
              <w:rPr>
                <w:rFonts w:ascii="Avenir" w:cs="Avenir" w:eastAsia="Avenir" w:hAnsi="Avenir"/>
                <w:b w:val="1"/>
                <w:bCs w:val="1"/>
                <w:color w:val="000000"/>
              </w:rPr>
            </w:pPr>
            <w:r w:rsidDel="00000000" w:rsidR="00000000" w:rsidRPr="00000000">
              <w:rPr>
                <w:rFonts w:ascii="Avenir" w:cs="Avenir" w:eastAsia="Avenir" w:hAnsi="Avenir"/>
                <w:color w:val="000000"/>
                <w:rtl w:val="0"/>
              </w:rPr>
              <w:t xml:space="preserve">Organization Name:</w:t>
            </w:r>
            <w:r w:rsidDel="00000000" w:rsidR="00000000" w:rsidRPr="00000000">
              <w:rPr>
                <w:rtl w:val="0"/>
              </w:rPr>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B1">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2">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Technical POC Name:</w:t>
            </w:r>
          </w:p>
        </w:tc>
        <w:tc>
          <w:tcPr>
            <w:tcBorders>
              <w:top w:color="000000" w:space="0" w:sz="6" w:val="single"/>
              <w:left w:color="000000" w:space="0" w:sz="6" w:val="single"/>
              <w:bottom w:color="000000" w:space="0" w:sz="6" w:val="single"/>
            </w:tcBorders>
            <w:tcMar>
              <w:left w:w="105.0" w:type="dxa"/>
              <w:right w:w="105.0" w:type="dxa"/>
            </w:tcMar>
          </w:tcPr>
          <w:p w:rsidR="00000000" w:rsidDel="00000000" w:rsidP="00000000" w:rsidRDefault="00000000" w:rsidRPr="00000000" w14:paraId="000000B3">
            <w:pPr>
              <w:widowControl w:val="0"/>
              <w:spacing w:after="0" w:line="256" w:lineRule="auto"/>
              <w:rPr>
                <w:rFonts w:ascii="Avenir" w:cs="Avenir" w:eastAsia="Avenir" w:hAnsi="Avenir"/>
                <w:color w:val="000000"/>
              </w:rPr>
            </w:pPr>
            <w:r w:rsidDel="00000000" w:rsidR="00000000" w:rsidRPr="00000000">
              <w:rPr>
                <w:rtl w:val="0"/>
              </w:rPr>
            </w:r>
          </w:p>
        </w:tc>
      </w:tr>
      <w:tr>
        <w:trPr>
          <w:cantSplit w:val="0"/>
          <w:trHeight w:val="300" w:hRule="atLeast"/>
          <w:tblHeader w:val="0"/>
        </w:trPr>
        <w:tc>
          <w:tcPr>
            <w:tcBorders>
              <w:top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B4">
            <w:pPr>
              <w:widowControl w:val="0"/>
              <w:spacing w:after="0" w:line="256" w:lineRule="auto"/>
              <w:ind w:left="720" w:firstLine="0"/>
              <w:rPr>
                <w:rFonts w:ascii="Avenir" w:cs="Avenir" w:eastAsia="Avenir" w:hAnsi="Avenir"/>
                <w:color w:val="000000"/>
              </w:rPr>
            </w:pPr>
            <w:r w:rsidDel="00000000" w:rsidR="00000000" w:rsidRPr="00000000">
              <w:rPr>
                <w:rFonts w:ascii="Avenir" w:cs="Avenir" w:eastAsia="Avenir" w:hAnsi="Avenir"/>
                <w:color w:val="000000"/>
                <w:rtl w:val="0"/>
              </w:rPr>
              <w:t xml:space="preserve">Organization Type(s):</w:t>
            </w:r>
          </w:p>
        </w:tc>
        <w:tc>
          <w:tcPr>
            <w:tcBorders>
              <w:top w:color="000000" w:space="0" w:sz="6" w:val="single"/>
              <w:left w:color="000000" w:space="0" w:sz="6" w:val="single"/>
            </w:tcBorders>
            <w:tcMar>
              <w:left w:w="105.0" w:type="dxa"/>
              <w:right w:w="105.0" w:type="dxa"/>
            </w:tcMar>
          </w:tcPr>
          <w:p w:rsidR="00000000" w:rsidDel="00000000" w:rsidP="00000000" w:rsidRDefault="00000000" w:rsidRPr="00000000" w14:paraId="000000B5">
            <w:pPr>
              <w:widowControl w:val="0"/>
              <w:spacing w:after="0" w:line="256" w:lineRule="auto"/>
              <w:rPr>
                <w:rFonts w:ascii="Avenir" w:cs="Avenir" w:eastAsia="Avenir" w:hAnsi="Avenir"/>
                <w:b w:val="1"/>
                <w:bCs w:val="1"/>
                <w:color w:val="000000"/>
              </w:rPr>
            </w:pPr>
            <w:r w:rsidDel="00000000" w:rsidR="00000000" w:rsidRPr="00000000">
              <w:rPr>
                <w:rFonts w:ascii="Avenir" w:cs="Avenir" w:eastAsia="Avenir" w:hAnsi="Avenir"/>
                <w:b w:val="1"/>
                <w:bCs w:val="1"/>
                <w:color w:val="000000"/>
                <w:rtl w:val="0"/>
              </w:rPr>
              <w:t xml:space="preserve">Choose all that apply: </w:t>
            </w:r>
          </w:p>
          <w:p w:rsidR="00000000" w:rsidDel="00000000" w:rsidP="00000000" w:rsidRDefault="00000000" w:rsidRPr="00000000" w14:paraId="000000B6">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For-Profit</w:t>
            </w:r>
          </w:p>
          <w:p w:rsidR="00000000" w:rsidDel="00000000" w:rsidP="00000000" w:rsidRDefault="00000000" w:rsidRPr="00000000" w14:paraId="000000B7">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Non-profit</w:t>
            </w:r>
          </w:p>
          <w:p w:rsidR="00000000" w:rsidDel="00000000" w:rsidP="00000000" w:rsidRDefault="00000000" w:rsidRPr="00000000" w14:paraId="000000B8">
            <w:pPr>
              <w:widowControl w:val="0"/>
              <w:spacing w:after="0" w:line="256" w:lineRule="auto"/>
              <w:rPr>
                <w:rFonts w:ascii="Avenir" w:cs="Avenir" w:eastAsia="Avenir" w:hAnsi="Avenir"/>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Avenir" w:cs="Avenir" w:eastAsia="Avenir" w:hAnsi="Avenir"/>
                <w:color w:val="000000"/>
                <w:rtl w:val="0"/>
              </w:rPr>
              <w:t xml:space="preserve">  Academia</w:t>
            </w:r>
          </w:p>
        </w:tc>
      </w:tr>
    </w:tbl>
    <w:p w:rsidR="00000000" w:rsidDel="00000000" w:rsidP="00000000" w:rsidRDefault="00000000" w:rsidRPr="00000000" w14:paraId="000000B9">
      <w:pPr>
        <w:widowControl w:val="0"/>
        <w:spacing w:after="0" w:line="240" w:lineRule="auto"/>
        <w:ind w:left="360" w:firstLine="0"/>
        <w:rPr>
          <w:rFonts w:ascii="Avenir" w:cs="Avenir" w:eastAsia="Avenir" w:hAnsi="Avenir"/>
          <w:color w:val="365f91"/>
        </w:rPr>
      </w:pPr>
      <w:r w:rsidDel="00000000" w:rsidR="00000000" w:rsidRPr="00000000">
        <w:rPr>
          <w:rtl w:val="0"/>
        </w:rPr>
      </w:r>
    </w:p>
    <w:p w:rsidR="00000000" w:rsidDel="00000000" w:rsidP="00000000" w:rsidRDefault="00000000" w:rsidRPr="00000000" w14:paraId="000000BA">
      <w:pPr>
        <w:widowControl w:val="0"/>
        <w:spacing w:after="0" w:line="240" w:lineRule="auto"/>
        <w:rPr>
          <w:rFonts w:ascii="Avenir" w:cs="Avenir" w:eastAsia="Avenir" w:hAnsi="Aveni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0" w:line="276" w:lineRule="auto"/>
        <w:jc w:val="both"/>
        <w:rPr>
          <w:rFonts w:ascii="Avenir" w:cs="Avenir" w:eastAsia="Avenir" w:hAnsi="Avenir"/>
          <w:color w:val="0070c0"/>
        </w:rPr>
      </w:pPr>
      <w:r w:rsidDel="00000000" w:rsidR="00000000" w:rsidRPr="00000000">
        <w:rPr>
          <w:rFonts w:ascii="Avenir" w:cs="Avenir" w:eastAsia="Avenir" w:hAnsi="Avenir"/>
          <w:b w:val="1"/>
          <w:bCs w:val="1"/>
          <w:color w:val="0070c0"/>
          <w:rtl w:val="0"/>
        </w:rPr>
        <w:t xml:space="preserve">NOTE:</w:t>
      </w:r>
      <w:r w:rsidDel="00000000" w:rsidR="00000000" w:rsidRPr="00000000">
        <w:rPr>
          <w:rFonts w:ascii="Avenir" w:cs="Avenir" w:eastAsia="Avenir" w:hAnsi="Avenir"/>
          <w:color w:val="0070c0"/>
          <w:rtl w:val="0"/>
        </w:rPr>
        <w:t xml:space="preserve"> All Solution Summary submissions must be submitted in English with sans serif font type NO smaller than 11-point and with a readability similar to that of Calibri, Arial, or Avenir Next Pro Light. Smaller sans serif fonts may be used for figures, tables, and charts. Solution Summaries have a limit of </w:t>
      </w:r>
      <w:r w:rsidDel="00000000" w:rsidR="00000000" w:rsidRPr="00000000">
        <w:rPr>
          <w:rFonts w:ascii="Avenir" w:cs="Avenir" w:eastAsia="Avenir" w:hAnsi="Avenir"/>
          <w:b w:val="1"/>
          <w:bCs w:val="1"/>
          <w:color w:val="0070c0"/>
          <w:rtl w:val="0"/>
        </w:rPr>
        <w:t xml:space="preserve">six</w:t>
      </w:r>
      <w:r w:rsidDel="00000000" w:rsidR="00000000" w:rsidRPr="00000000">
        <w:rPr>
          <w:rFonts w:ascii="Avenir" w:cs="Avenir" w:eastAsia="Avenir" w:hAnsi="Avenir"/>
          <w:color w:val="0070c0"/>
          <w:rtl w:val="0"/>
        </w:rPr>
        <w:t xml:space="preserve"> </w:t>
      </w:r>
      <w:r w:rsidDel="00000000" w:rsidR="00000000" w:rsidRPr="00000000">
        <w:rPr>
          <w:rFonts w:ascii="Avenir" w:cs="Avenir" w:eastAsia="Avenir" w:hAnsi="Avenir"/>
          <w:b w:val="1"/>
          <w:bCs w:val="1"/>
          <w:color w:val="0070c0"/>
          <w:rtl w:val="0"/>
        </w:rPr>
        <w:t xml:space="preserve">(6)</w:t>
      </w:r>
      <w:r w:rsidDel="00000000" w:rsidR="00000000" w:rsidRPr="00000000">
        <w:rPr>
          <w:rFonts w:ascii="Avenir" w:cs="Avenir" w:eastAsia="Avenir" w:hAnsi="Avenir"/>
          <w:color w:val="0070c0"/>
          <w:rtl w:val="0"/>
        </w:rPr>
        <w:t xml:space="preserve"> pages. Citations do not count toward the six-page limit. Content recommendations are displayed in blue font and should be deleted before submitting the Solution Summary. </w:t>
      </w:r>
    </w:p>
    <w:p w:rsidR="00000000" w:rsidDel="00000000" w:rsidP="00000000" w:rsidRDefault="00000000" w:rsidRPr="00000000" w14:paraId="000000BC">
      <w:pPr>
        <w:spacing w:after="0" w:line="276" w:lineRule="auto"/>
        <w:ind w:left="720" w:firstLine="0"/>
        <w:jc w:val="both"/>
        <w:rPr>
          <w:rFonts w:ascii="Avenir" w:cs="Avenir" w:eastAsia="Avenir" w:hAnsi="Avenir"/>
          <w:smallCaps w:val="1"/>
          <w:color w:val="365f91"/>
        </w:rPr>
      </w:pPr>
      <w:r w:rsidDel="00000000" w:rsidR="00000000" w:rsidRPr="00000000">
        <w:rPr>
          <w:rtl w:val="0"/>
        </w:rPr>
      </w:r>
    </w:p>
    <w:p w:rsidR="00000000" w:rsidDel="00000000" w:rsidP="00000000" w:rsidRDefault="00000000" w:rsidRPr="00000000" w14:paraId="000000BD">
      <w:pPr>
        <w:numPr>
          <w:ilvl w:val="0"/>
          <w:numId w:val="5"/>
        </w:numPr>
        <w:spacing w:after="0" w:line="276" w:lineRule="auto"/>
        <w:ind w:left="720"/>
        <w:jc w:val="both"/>
        <w:rPr>
          <w:rFonts w:ascii="Avenir" w:cs="Avenir" w:eastAsia="Avenir" w:hAnsi="Avenir"/>
          <w:color w:val="000000"/>
          <w:sz w:val="28"/>
          <w:szCs w:val="28"/>
        </w:rPr>
      </w:pPr>
      <w:r w:rsidDel="00000000" w:rsidR="00000000" w:rsidRPr="00000000">
        <w:rPr>
          <w:rFonts w:ascii="Avenir" w:cs="Avenir" w:eastAsia="Avenir" w:hAnsi="Avenir"/>
          <w:b w:val="1"/>
          <w:bCs w:val="1"/>
          <w:smallCaps w:val="1"/>
          <w:color w:val="000000"/>
          <w:sz w:val="28"/>
          <w:szCs w:val="28"/>
          <w:rtl w:val="0"/>
        </w:rPr>
        <w:t xml:space="preserve">Concept Summary</w:t>
      </w:r>
      <w:r w:rsidDel="00000000" w:rsidR="00000000" w:rsidRPr="00000000">
        <w:rPr>
          <w:rtl w:val="0"/>
        </w:rPr>
      </w:r>
    </w:p>
    <w:p w:rsidR="00000000" w:rsidDel="00000000" w:rsidP="00000000" w:rsidRDefault="00000000" w:rsidRPr="00000000" w14:paraId="000000BE">
      <w:pPr>
        <w:spacing w:after="0" w:line="276" w:lineRule="auto"/>
        <w:ind w:left="720" w:firstLine="0"/>
        <w:jc w:val="both"/>
        <w:rPr>
          <w:rFonts w:ascii="Avenir" w:cs="Avenir" w:eastAsia="Avenir" w:hAnsi="Avenir"/>
          <w:color w:val="0070c0"/>
        </w:rPr>
      </w:pPr>
      <w:r w:rsidDel="00000000" w:rsidR="00000000" w:rsidRPr="00000000">
        <w:rPr>
          <w:rFonts w:ascii="Avenir" w:cs="Avenir" w:eastAsia="Avenir" w:hAnsi="Avenir"/>
          <w:color w:val="0070c0"/>
          <w:rtl w:val="0"/>
        </w:rPr>
        <w:t xml:space="preserve">Describe the solution summary concept with minimal jargon and explain how it addresses the ISO interest areas.</w:t>
      </w:r>
    </w:p>
    <w:p w:rsidR="00000000" w:rsidDel="00000000" w:rsidP="00000000" w:rsidRDefault="00000000" w:rsidRPr="00000000" w14:paraId="000000BF">
      <w:pPr>
        <w:spacing w:after="0" w:line="276" w:lineRule="auto"/>
        <w:ind w:left="720" w:firstLine="0"/>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C0">
      <w:pPr>
        <w:numPr>
          <w:ilvl w:val="0"/>
          <w:numId w:val="5"/>
        </w:numPr>
        <w:spacing w:after="0" w:line="276" w:lineRule="auto"/>
        <w:ind w:left="720"/>
        <w:jc w:val="both"/>
        <w:rPr>
          <w:rFonts w:ascii="Avenir" w:cs="Avenir" w:eastAsia="Avenir" w:hAnsi="Avenir"/>
          <w:color w:val="000000"/>
          <w:sz w:val="28"/>
          <w:szCs w:val="28"/>
        </w:rPr>
      </w:pPr>
      <w:r w:rsidDel="00000000" w:rsidR="00000000" w:rsidRPr="00000000">
        <w:rPr>
          <w:rFonts w:ascii="Avenir" w:cs="Avenir" w:eastAsia="Avenir" w:hAnsi="Avenir"/>
          <w:b w:val="1"/>
          <w:bCs w:val="1"/>
          <w:smallCaps w:val="1"/>
          <w:color w:val="000000"/>
          <w:sz w:val="28"/>
          <w:szCs w:val="28"/>
          <w:rtl w:val="0"/>
        </w:rPr>
        <w:t xml:space="preserve">Innovation and Impact</w:t>
      </w:r>
      <w:r w:rsidDel="00000000" w:rsidR="00000000" w:rsidRPr="00000000">
        <w:rPr>
          <w:rtl w:val="0"/>
        </w:rPr>
      </w:r>
    </w:p>
    <w:p w:rsidR="00000000" w:rsidDel="00000000" w:rsidP="00000000" w:rsidRDefault="00000000" w:rsidRPr="00000000" w14:paraId="000000C1">
      <w:pPr>
        <w:spacing w:after="0" w:line="276" w:lineRule="auto"/>
        <w:ind w:left="720" w:firstLine="0"/>
        <w:jc w:val="both"/>
        <w:rPr>
          <w:rFonts w:ascii="Avenir" w:cs="Avenir" w:eastAsia="Avenir" w:hAnsi="Avenir"/>
          <w:color w:val="0070c0"/>
        </w:rPr>
      </w:pPr>
      <w:r w:rsidDel="00000000" w:rsidR="00000000" w:rsidRPr="00000000">
        <w:rPr>
          <w:rFonts w:ascii="Avenir" w:cs="Avenir" w:eastAsia="Avenir" w:hAnsi="Avenir"/>
          <w:color w:val="0070c0"/>
          <w:rtl w:val="0"/>
        </w:rPr>
        <w:t xml:space="preserve">Clearly identify the outcome(s) sought and/or the problem(s) to be solved with the proposed technology concept. Describe how the proposed effort represents an innovative and potentially revolutionary solution to the ISO interest areas. Explain the concept’s potential to be disruptive compared to existing or emerging technologies and how the proposed approach will go far beyond current existing capabilities. To the extent possible, provide quantitative metrics in a table that compares the proposed technology concept to current and emerging technologies which may include: </w:t>
      </w:r>
    </w:p>
    <w:p w:rsidR="00000000" w:rsidDel="00000000" w:rsidP="00000000" w:rsidRDefault="00000000" w:rsidRPr="00000000" w14:paraId="000000C2">
      <w:pPr>
        <w:numPr>
          <w:ilvl w:val="0"/>
          <w:numId w:val="1"/>
        </w:numPr>
        <w:spacing w:after="0" w:line="276" w:lineRule="auto"/>
        <w:ind w:left="144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A progression of increasingly complex technical challenges.</w:t>
      </w:r>
    </w:p>
    <w:p w:rsidR="00000000" w:rsidDel="00000000" w:rsidP="00000000" w:rsidRDefault="00000000" w:rsidRPr="00000000" w14:paraId="000000C3">
      <w:pPr>
        <w:numPr>
          <w:ilvl w:val="0"/>
          <w:numId w:val="1"/>
        </w:numPr>
        <w:spacing w:after="0" w:line="276" w:lineRule="auto"/>
        <w:ind w:left="144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State of the art / emerging technology “baseline.” </w:t>
      </w:r>
    </w:p>
    <w:p w:rsidR="00000000" w:rsidDel="00000000" w:rsidP="00000000" w:rsidRDefault="00000000" w:rsidRPr="00000000" w14:paraId="000000C4">
      <w:pPr>
        <w:numPr>
          <w:ilvl w:val="0"/>
          <w:numId w:val="1"/>
        </w:numPr>
        <w:spacing w:after="0" w:line="276" w:lineRule="auto"/>
        <w:ind w:left="144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Aggressive metrics for each year of the proposed project.</w:t>
      </w:r>
    </w:p>
    <w:p w:rsidR="00000000" w:rsidDel="00000000" w:rsidP="00000000" w:rsidRDefault="00000000" w:rsidRPr="00000000" w14:paraId="000000C5">
      <w:pPr>
        <w:numPr>
          <w:ilvl w:val="0"/>
          <w:numId w:val="1"/>
        </w:numPr>
        <w:spacing w:after="0" w:line="276" w:lineRule="auto"/>
        <w:ind w:left="144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Summary of specific outcomes from the proposed project or concept.</w:t>
      </w:r>
    </w:p>
    <w:p w:rsidR="00000000" w:rsidDel="00000000" w:rsidP="00000000" w:rsidRDefault="00000000" w:rsidRPr="00000000" w14:paraId="000000C6">
      <w:pPr>
        <w:spacing w:after="0" w:line="276" w:lineRule="auto"/>
        <w:ind w:left="720" w:firstLine="0"/>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C7">
      <w:pPr>
        <w:numPr>
          <w:ilvl w:val="0"/>
          <w:numId w:val="5"/>
        </w:numPr>
        <w:spacing w:after="0" w:line="276" w:lineRule="auto"/>
        <w:ind w:left="720"/>
        <w:jc w:val="both"/>
        <w:rPr>
          <w:rFonts w:ascii="Avenir" w:cs="Avenir" w:eastAsia="Avenir" w:hAnsi="Avenir"/>
          <w:color w:val="000000"/>
          <w:sz w:val="28"/>
          <w:szCs w:val="28"/>
        </w:rPr>
      </w:pPr>
      <w:r w:rsidDel="00000000" w:rsidR="00000000" w:rsidRPr="00000000">
        <w:rPr>
          <w:rFonts w:ascii="Avenir" w:cs="Avenir" w:eastAsia="Avenir" w:hAnsi="Avenir"/>
          <w:b w:val="1"/>
          <w:bCs w:val="1"/>
          <w:smallCaps w:val="1"/>
          <w:color w:val="000000"/>
          <w:sz w:val="28"/>
          <w:szCs w:val="28"/>
          <w:rtl w:val="0"/>
        </w:rPr>
        <w:t xml:space="preserve">Proposed Work </w:t>
      </w:r>
      <w:r w:rsidDel="00000000" w:rsidR="00000000" w:rsidRPr="00000000">
        <w:rPr>
          <w:rtl w:val="0"/>
        </w:rPr>
      </w:r>
    </w:p>
    <w:p w:rsidR="00000000" w:rsidDel="00000000" w:rsidP="00000000" w:rsidRDefault="00000000" w:rsidRPr="00000000" w14:paraId="000000C8">
      <w:pPr>
        <w:spacing w:after="0" w:line="276" w:lineRule="auto"/>
        <w:ind w:left="720" w:firstLine="0"/>
        <w:jc w:val="both"/>
        <w:rPr>
          <w:rFonts w:ascii="Avenir" w:cs="Avenir" w:eastAsia="Avenir" w:hAnsi="Avenir"/>
          <w:color w:val="0070c0"/>
        </w:rPr>
      </w:pPr>
      <w:r w:rsidDel="00000000" w:rsidR="00000000" w:rsidRPr="00000000">
        <w:rPr>
          <w:rFonts w:ascii="Avenir" w:cs="Avenir" w:eastAsia="Avenir" w:hAnsi="Avenir"/>
          <w:color w:val="0070c0"/>
          <w:rtl w:val="0"/>
        </w:rPr>
        <w:t xml:space="preserve">Describe the final deliverable(s) for the project, key interim milestones, and the overall technical approach used to achieve project objectives. Discuss alternative approaches considered, if any, and why the proposed approach is most appropriate for the project objectives. Describe the background, theory, simulation, modeling, experimental data, or other sound engineering and scientific practices or principles that support the proposed approach. Provide specific examples of supporting data and/or appropriate citations to the scientific and technical literature. Identify adoption challenges to be overcome for the proposed technology to be successful. Describe why the proposed effort is a significant technical challenge and the key technical risks. At a minimum, the solution summary should address: </w:t>
      </w:r>
    </w:p>
    <w:p w:rsidR="00000000" w:rsidDel="00000000" w:rsidP="00000000" w:rsidRDefault="00000000" w:rsidRPr="00000000" w14:paraId="000000C9">
      <w:pPr>
        <w:numPr>
          <w:ilvl w:val="0"/>
          <w:numId w:val="4"/>
        </w:numPr>
        <w:spacing w:after="0" w:line="276" w:lineRule="auto"/>
        <w:ind w:left="144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Does the approach require one or more entirely new technical developments to succeed? </w:t>
      </w:r>
    </w:p>
    <w:p w:rsidR="00000000" w:rsidDel="00000000" w:rsidP="00000000" w:rsidRDefault="00000000" w:rsidRPr="00000000" w14:paraId="000000CA">
      <w:pPr>
        <w:numPr>
          <w:ilvl w:val="0"/>
          <w:numId w:val="4"/>
        </w:numPr>
        <w:spacing w:after="0" w:line="276" w:lineRule="auto"/>
        <w:ind w:left="144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How will technical risk be mitigated?</w:t>
      </w:r>
    </w:p>
    <w:p w:rsidR="00000000" w:rsidDel="00000000" w:rsidP="00000000" w:rsidRDefault="00000000" w:rsidRPr="00000000" w14:paraId="000000CB">
      <w:pPr>
        <w:numPr>
          <w:ilvl w:val="0"/>
          <w:numId w:val="4"/>
        </w:numPr>
        <w:spacing w:after="0" w:line="276" w:lineRule="auto"/>
        <w:ind w:left="144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What use cases, capabilities, or demonstrations will be featured?</w:t>
      </w:r>
    </w:p>
    <w:p w:rsidR="00000000" w:rsidDel="00000000" w:rsidP="00000000" w:rsidRDefault="00000000" w:rsidRPr="00000000" w14:paraId="000000CC">
      <w:pPr>
        <w:spacing w:after="0" w:line="276" w:lineRule="auto"/>
        <w:ind w:left="1440" w:firstLine="0"/>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CD">
      <w:pPr>
        <w:spacing w:after="0" w:line="276" w:lineRule="auto"/>
        <w:ind w:left="1440" w:firstLine="0"/>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CE">
      <w:pPr>
        <w:numPr>
          <w:ilvl w:val="0"/>
          <w:numId w:val="5"/>
        </w:numPr>
        <w:spacing w:after="0" w:line="276" w:lineRule="auto"/>
        <w:ind w:left="720"/>
        <w:jc w:val="both"/>
        <w:rPr>
          <w:rFonts w:ascii="Avenir" w:cs="Avenir" w:eastAsia="Avenir" w:hAnsi="Avenir"/>
          <w:color w:val="000000"/>
          <w:sz w:val="28"/>
          <w:szCs w:val="28"/>
        </w:rPr>
      </w:pPr>
      <w:r w:rsidDel="00000000" w:rsidR="00000000" w:rsidRPr="00000000">
        <w:rPr>
          <w:rFonts w:ascii="Avenir" w:cs="Avenir" w:eastAsia="Avenir" w:hAnsi="Avenir"/>
          <w:b w:val="1"/>
          <w:bCs w:val="1"/>
          <w:smallCaps w:val="1"/>
          <w:color w:val="000000"/>
          <w:sz w:val="28"/>
          <w:szCs w:val="28"/>
          <w:rtl w:val="0"/>
        </w:rPr>
        <w:t xml:space="preserve">Team Organization and Capabilities </w:t>
      </w:r>
      <w:r w:rsidDel="00000000" w:rsidR="00000000" w:rsidRPr="00000000">
        <w:rPr>
          <w:rtl w:val="0"/>
        </w:rPr>
      </w:r>
    </w:p>
    <w:p w:rsidR="00000000" w:rsidDel="00000000" w:rsidP="00000000" w:rsidRDefault="00000000" w:rsidRPr="00000000" w14:paraId="000000CF">
      <w:pPr>
        <w:spacing w:after="0" w:line="276" w:lineRule="auto"/>
        <w:ind w:left="720" w:firstLine="0"/>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D0">
      <w:pPr>
        <w:numPr>
          <w:ilvl w:val="1"/>
          <w:numId w:val="5"/>
        </w:numPr>
        <w:spacing w:after="0" w:line="276" w:lineRule="auto"/>
        <w:ind w:left="1440" w:hanging="720"/>
        <w:jc w:val="both"/>
        <w:rPr>
          <w:rFonts w:ascii="Avenir" w:cs="Avenir" w:eastAsia="Avenir" w:hAnsi="Avenir"/>
          <w:color w:val="0070c0"/>
        </w:rPr>
      </w:pPr>
      <w:r w:rsidDel="00000000" w:rsidR="00000000" w:rsidRPr="00000000">
        <w:rPr>
          <w:rFonts w:ascii="Avenir" w:cs="Avenir" w:eastAsia="Avenir" w:hAnsi="Avenir"/>
          <w:color w:val="0070c0"/>
          <w:rtl w:val="0"/>
        </w:rPr>
        <w:t xml:space="preserve">Indicate the roles and responsibilities of the organizations and key personnel that comprise the Project Team. </w:t>
      </w:r>
    </w:p>
    <w:p w:rsidR="00000000" w:rsidDel="00000000" w:rsidP="00000000" w:rsidRDefault="00000000" w:rsidRPr="00000000" w14:paraId="000000D1">
      <w:pPr>
        <w:spacing w:after="0" w:line="276" w:lineRule="auto"/>
        <w:ind w:left="1440" w:firstLine="0"/>
        <w:jc w:val="both"/>
        <w:rPr>
          <w:rFonts w:ascii="Avenir" w:cs="Avenir" w:eastAsia="Avenir" w:hAnsi="Avenir"/>
          <w:color w:val="0070c0"/>
        </w:rPr>
      </w:pPr>
      <w:r w:rsidDel="00000000" w:rsidR="00000000" w:rsidRPr="00000000">
        <w:rPr>
          <w:rtl w:val="0"/>
        </w:rPr>
      </w:r>
    </w:p>
    <w:p w:rsidR="00000000" w:rsidDel="00000000" w:rsidP="00000000" w:rsidRDefault="00000000" w:rsidRPr="00000000" w14:paraId="000000D2">
      <w:pPr>
        <w:numPr>
          <w:ilvl w:val="1"/>
          <w:numId w:val="5"/>
        </w:numPr>
        <w:spacing w:after="0" w:line="276" w:lineRule="auto"/>
        <w:ind w:left="1440" w:hanging="720"/>
        <w:jc w:val="both"/>
        <w:rPr>
          <w:rFonts w:ascii="Avenir" w:cs="Avenir" w:eastAsia="Avenir" w:hAnsi="Avenir"/>
          <w:color w:val="0070c0"/>
        </w:rPr>
      </w:pPr>
      <w:r w:rsidDel="00000000" w:rsidR="00000000" w:rsidRPr="00000000">
        <w:rPr>
          <w:rFonts w:ascii="Avenir" w:cs="Avenir" w:eastAsia="Avenir" w:hAnsi="Avenir"/>
          <w:color w:val="0070c0"/>
          <w:rtl w:val="0"/>
        </w:rPr>
        <w:t xml:space="preserve">Provide the name, position, and institution of each key team member and describe in 1-2 sentences the skills and experience they bring to the team. Key team members include the individuals who are expected to contribute to the scientific development or execution of the project in a substantive, measurable way.</w:t>
      </w:r>
    </w:p>
    <w:p w:rsidR="00000000" w:rsidDel="00000000" w:rsidP="00000000" w:rsidRDefault="00000000" w:rsidRPr="00000000" w14:paraId="000000D3">
      <w:pPr>
        <w:spacing w:after="0" w:line="276" w:lineRule="auto"/>
        <w:ind w:left="720" w:firstLine="0"/>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D4">
      <w:pPr>
        <w:numPr>
          <w:ilvl w:val="0"/>
          <w:numId w:val="5"/>
        </w:numPr>
        <w:spacing w:after="0" w:line="276" w:lineRule="auto"/>
        <w:ind w:left="720"/>
        <w:jc w:val="both"/>
        <w:rPr>
          <w:rFonts w:ascii="Avenir" w:cs="Avenir" w:eastAsia="Avenir" w:hAnsi="Avenir"/>
          <w:color w:val="000000"/>
          <w:sz w:val="28"/>
          <w:szCs w:val="28"/>
        </w:rPr>
      </w:pPr>
      <w:r w:rsidDel="00000000" w:rsidR="00000000" w:rsidRPr="00000000">
        <w:rPr>
          <w:rFonts w:ascii="Avenir" w:cs="Avenir" w:eastAsia="Avenir" w:hAnsi="Avenir"/>
          <w:b w:val="1"/>
          <w:bCs w:val="1"/>
          <w:smallCaps w:val="1"/>
          <w:color w:val="000000"/>
          <w:sz w:val="28"/>
          <w:szCs w:val="28"/>
          <w:rtl w:val="0"/>
        </w:rPr>
        <w:t xml:space="preserve">Basis of Estimate (BOE) </w:t>
      </w:r>
      <w:r w:rsidDel="00000000" w:rsidR="00000000" w:rsidRPr="00000000">
        <w:rPr>
          <w:rtl w:val="0"/>
        </w:rPr>
      </w:r>
    </w:p>
    <w:p w:rsidR="00000000" w:rsidDel="00000000" w:rsidP="00000000" w:rsidRDefault="00000000" w:rsidRPr="00000000" w14:paraId="000000D5">
      <w:pPr>
        <w:spacing w:after="0" w:line="276" w:lineRule="auto"/>
        <w:ind w:left="720" w:firstLine="0"/>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D6">
      <w:pPr>
        <w:numPr>
          <w:ilvl w:val="1"/>
          <w:numId w:val="5"/>
        </w:numPr>
        <w:spacing w:after="0" w:line="276" w:lineRule="auto"/>
        <w:ind w:left="1440" w:hanging="720"/>
        <w:jc w:val="both"/>
        <w:rPr>
          <w:rFonts w:ascii="Avenir" w:cs="Avenir" w:eastAsia="Avenir" w:hAnsi="Avenir"/>
          <w:color w:val="0070c0"/>
        </w:rPr>
      </w:pPr>
      <w:r w:rsidDel="00000000" w:rsidR="00000000" w:rsidRPr="00000000">
        <w:rPr>
          <w:rFonts w:ascii="Avenir" w:cs="Avenir" w:eastAsia="Avenir" w:hAnsi="Avenir"/>
          <w:color w:val="0070c0"/>
          <w:rtl w:val="0"/>
        </w:rPr>
        <w:t xml:space="preserve">Identify a BOE that encompasses all costs and resources for the entire proposed project team. The BOE should include direct labor, materials, supplies, equipment, travel, profit, and any other relevant costs associated with the proposed project. </w:t>
      </w:r>
    </w:p>
    <w:p w:rsidR="00000000" w:rsidDel="00000000" w:rsidP="00000000" w:rsidRDefault="00000000" w:rsidRPr="00000000" w14:paraId="000000D7">
      <w:pPr>
        <w:spacing w:after="0" w:line="276" w:lineRule="auto"/>
        <w:ind w:left="1440" w:firstLine="0"/>
        <w:jc w:val="both"/>
        <w:rPr>
          <w:rFonts w:ascii="Avenir" w:cs="Avenir" w:eastAsia="Avenir" w:hAnsi="Avenir"/>
          <w:color w:val="0070c0"/>
        </w:rPr>
      </w:pPr>
      <w:r w:rsidDel="00000000" w:rsidR="00000000" w:rsidRPr="00000000">
        <w:rPr>
          <w:rtl w:val="0"/>
        </w:rPr>
      </w:r>
    </w:p>
    <w:p w:rsidR="00000000" w:rsidDel="00000000" w:rsidP="00000000" w:rsidRDefault="00000000" w:rsidRPr="00000000" w14:paraId="000000D8">
      <w:pPr>
        <w:spacing w:after="0" w:line="276" w:lineRule="auto"/>
        <w:ind w:left="1440" w:hanging="720"/>
        <w:jc w:val="both"/>
        <w:rPr>
          <w:rFonts w:ascii="Avenir" w:cs="Avenir" w:eastAsia="Avenir" w:hAnsi="Avenir"/>
          <w:color w:val="0070c0"/>
        </w:rPr>
      </w:pPr>
      <w:r w:rsidDel="00000000" w:rsidR="00000000" w:rsidRPr="00000000">
        <w:rPr>
          <w:rFonts w:ascii="Avenir" w:cs="Avenir" w:eastAsia="Avenir" w:hAnsi="Avenir"/>
          <w:color w:val="0070c0"/>
          <w:rtl w:val="0"/>
        </w:rPr>
        <w:t xml:space="preserve">5.2</w:t>
        <w:tab/>
        <w:t xml:space="preserve">The BOE should identify whether resource sharing applies. The table below may be used:</w:t>
      </w:r>
    </w:p>
    <w:p w:rsidR="00000000" w:rsidDel="00000000" w:rsidP="00000000" w:rsidRDefault="00000000" w:rsidRPr="00000000" w14:paraId="000000D9">
      <w:pPr>
        <w:spacing w:after="0" w:line="276" w:lineRule="auto"/>
        <w:ind w:left="1440" w:hanging="720"/>
        <w:jc w:val="both"/>
        <w:rPr>
          <w:rFonts w:ascii="Avenir" w:cs="Avenir" w:eastAsia="Avenir" w:hAnsi="Avenir"/>
          <w:color w:val="0070c0"/>
        </w:rPr>
      </w:pPr>
      <w:r w:rsidDel="00000000" w:rsidR="00000000" w:rsidRPr="00000000">
        <w:rPr>
          <w:rtl w:val="0"/>
        </w:rPr>
      </w:r>
    </w:p>
    <w:tbl>
      <w:tblPr>
        <w:tblStyle w:val="Table5"/>
        <w:tblW w:w="6105.0" w:type="dxa"/>
        <w:jc w:val="left"/>
        <w:tblInd w:w="1619.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855"/>
        <w:gridCol w:w="2250"/>
        <w:tblGridChange w:id="0">
          <w:tblGrid>
            <w:gridCol w:w="3855"/>
            <w:gridCol w:w="2250"/>
          </w:tblGrid>
        </w:tblGridChange>
      </w:tblGrid>
      <w:tr>
        <w:trPr>
          <w:cantSplit w:val="0"/>
          <w:trHeight w:val="300" w:hRule="atLeast"/>
          <w:tblHeader w:val="0"/>
        </w:trPr>
        <w:tc>
          <w:tcPr>
            <w:shd w:fill="d9d9d9" w:val="clear"/>
            <w:tcMar>
              <w:left w:w="105.0" w:type="dxa"/>
              <w:right w:w="105.0" w:type="dxa"/>
            </w:tcMar>
          </w:tcPr>
          <w:p w:rsidR="00000000" w:rsidDel="00000000" w:rsidP="00000000" w:rsidRDefault="00000000" w:rsidRPr="00000000" w14:paraId="000000DA">
            <w:pPr>
              <w:spacing w:line="276" w:lineRule="auto"/>
              <w:jc w:val="both"/>
              <w:rPr>
                <w:rFonts w:ascii="Avenir" w:cs="Avenir" w:eastAsia="Avenir" w:hAnsi="Avenir"/>
                <w:color w:val="000000"/>
              </w:rPr>
            </w:pPr>
            <w:r w:rsidDel="00000000" w:rsidR="00000000" w:rsidRPr="00000000">
              <w:rPr>
                <w:rFonts w:ascii="Avenir" w:cs="Avenir" w:eastAsia="Avenir" w:hAnsi="Avenir"/>
                <w:b w:val="1"/>
                <w:bCs w:val="1"/>
                <w:color w:val="000000"/>
                <w:rtl w:val="0"/>
              </w:rPr>
              <w:t xml:space="preserve">Basis of Estimate (BOE)</w:t>
            </w:r>
            <w:r w:rsidDel="00000000" w:rsidR="00000000" w:rsidRPr="00000000">
              <w:rPr>
                <w:rtl w:val="0"/>
              </w:rPr>
            </w:r>
          </w:p>
        </w:tc>
        <w:tc>
          <w:tcPr>
            <w:shd w:fill="d9d9d9" w:val="clear"/>
            <w:tcMar>
              <w:left w:w="105.0" w:type="dxa"/>
              <w:right w:w="105.0" w:type="dxa"/>
            </w:tcMar>
          </w:tcPr>
          <w:p w:rsidR="00000000" w:rsidDel="00000000" w:rsidP="00000000" w:rsidRDefault="00000000" w:rsidRPr="00000000" w14:paraId="000000DB">
            <w:pPr>
              <w:spacing w:line="276" w:lineRule="auto"/>
              <w:jc w:val="both"/>
              <w:rPr>
                <w:rFonts w:ascii="Avenir" w:cs="Avenir" w:eastAsia="Avenir" w:hAnsi="Avenir"/>
                <w:color w:val="000000"/>
              </w:rPr>
            </w:pPr>
            <w:r w:rsidDel="00000000" w:rsidR="00000000" w:rsidRPr="00000000">
              <w:rPr>
                <w:rFonts w:ascii="Avenir" w:cs="Avenir" w:eastAsia="Avenir" w:hAnsi="Avenir"/>
                <w:b w:val="1"/>
                <w:bCs w:val="1"/>
                <w:color w:val="000000"/>
                <w:rtl w:val="0"/>
              </w:rPr>
              <w:t xml:space="preserve">Amount</w:t>
            </w:r>
            <w:r w:rsidDel="00000000" w:rsidR="00000000" w:rsidRPr="00000000">
              <w:rPr>
                <w:rtl w:val="0"/>
              </w:rPr>
            </w:r>
          </w:p>
        </w:tc>
      </w:tr>
      <w:tr>
        <w:trPr>
          <w:cantSplit w:val="0"/>
          <w:trHeight w:val="300" w:hRule="atLeast"/>
          <w:tblHeader w:val="0"/>
        </w:trPr>
        <w:tc>
          <w:tcPr>
            <w:tcMar>
              <w:left w:w="105.0" w:type="dxa"/>
              <w:right w:w="105.0" w:type="dxa"/>
            </w:tcMar>
          </w:tcPr>
          <w:p w:rsidR="00000000" w:rsidDel="00000000" w:rsidP="00000000" w:rsidRDefault="00000000" w:rsidRPr="00000000" w14:paraId="000000DC">
            <w:pPr>
              <w:spacing w:line="276" w:lineRule="auto"/>
              <w:jc w:val="both"/>
              <w:rPr>
                <w:rFonts w:ascii="Avenir" w:cs="Avenir" w:eastAsia="Avenir" w:hAnsi="Avenir"/>
                <w:color w:val="000000"/>
              </w:rPr>
            </w:pPr>
            <w:r w:rsidDel="00000000" w:rsidR="00000000" w:rsidRPr="00000000">
              <w:rPr>
                <w:rFonts w:ascii="Avenir" w:cs="Avenir" w:eastAsia="Avenir" w:hAnsi="Avenir"/>
                <w:color w:val="000000"/>
                <w:rtl w:val="0"/>
              </w:rPr>
              <w:t xml:space="preserve">Total</w:t>
            </w:r>
          </w:p>
        </w:tc>
        <w:tc>
          <w:tcPr>
            <w:tcMar>
              <w:left w:w="105.0" w:type="dxa"/>
              <w:right w:w="105.0" w:type="dxa"/>
            </w:tcMar>
          </w:tcPr>
          <w:p w:rsidR="00000000" w:rsidDel="00000000" w:rsidP="00000000" w:rsidRDefault="00000000" w:rsidRPr="00000000" w14:paraId="000000DD">
            <w:pPr>
              <w:spacing w:line="276" w:lineRule="auto"/>
              <w:jc w:val="both"/>
              <w:rPr>
                <w:rFonts w:ascii="Avenir" w:cs="Avenir" w:eastAsia="Avenir" w:hAnsi="Avenir"/>
                <w:color w:val="000000"/>
              </w:rPr>
            </w:pPr>
            <w:r w:rsidDel="00000000" w:rsidR="00000000" w:rsidRPr="00000000">
              <w:rPr>
                <w:rtl w:val="0"/>
              </w:rPr>
            </w:r>
          </w:p>
        </w:tc>
      </w:tr>
      <w:tr>
        <w:trPr>
          <w:cantSplit w:val="0"/>
          <w:trHeight w:val="300" w:hRule="atLeast"/>
          <w:tblHeader w:val="0"/>
        </w:trPr>
        <w:tc>
          <w:tcPr>
            <w:tcMar>
              <w:left w:w="105.0" w:type="dxa"/>
              <w:right w:w="105.0" w:type="dxa"/>
            </w:tcMar>
          </w:tcPr>
          <w:p w:rsidR="00000000" w:rsidDel="00000000" w:rsidP="00000000" w:rsidRDefault="00000000" w:rsidRPr="00000000" w14:paraId="000000DE">
            <w:pPr>
              <w:spacing w:line="276" w:lineRule="auto"/>
              <w:jc w:val="both"/>
              <w:rPr>
                <w:rFonts w:ascii="Avenir" w:cs="Avenir" w:eastAsia="Avenir" w:hAnsi="Avenir"/>
                <w:color w:val="000000"/>
              </w:rPr>
            </w:pPr>
            <w:r w:rsidDel="00000000" w:rsidR="00000000" w:rsidRPr="00000000">
              <w:rPr>
                <w:rFonts w:ascii="Avenir" w:cs="Avenir" w:eastAsia="Avenir" w:hAnsi="Avenir"/>
                <w:color w:val="000000"/>
                <w:rtl w:val="0"/>
              </w:rPr>
              <w:t xml:space="preserve">Resource Sharing (if applicable)</w:t>
            </w:r>
          </w:p>
        </w:tc>
        <w:tc>
          <w:tcPr>
            <w:tcMar>
              <w:left w:w="105.0" w:type="dxa"/>
              <w:right w:w="105.0" w:type="dxa"/>
            </w:tcMar>
          </w:tcPr>
          <w:p w:rsidR="00000000" w:rsidDel="00000000" w:rsidP="00000000" w:rsidRDefault="00000000" w:rsidRPr="00000000" w14:paraId="000000DF">
            <w:pPr>
              <w:spacing w:line="276" w:lineRule="auto"/>
              <w:jc w:val="both"/>
              <w:rPr>
                <w:rFonts w:ascii="Avenir" w:cs="Avenir" w:eastAsia="Avenir" w:hAnsi="Avenir"/>
                <w:color w:val="000000"/>
              </w:rPr>
            </w:pPr>
            <w:r w:rsidDel="00000000" w:rsidR="00000000" w:rsidRPr="00000000">
              <w:rPr>
                <w:rtl w:val="0"/>
              </w:rPr>
            </w:r>
          </w:p>
        </w:tc>
      </w:tr>
    </w:tbl>
    <w:p w:rsidR="00000000" w:rsidDel="00000000" w:rsidP="00000000" w:rsidRDefault="00000000" w:rsidRPr="00000000" w14:paraId="000000E0">
      <w:pPr>
        <w:spacing w:after="0" w:line="276" w:lineRule="auto"/>
        <w:jc w:val="both"/>
        <w:rPr>
          <w:rFonts w:ascii="Avenir" w:cs="Avenir" w:eastAsia="Avenir" w:hAnsi="Avenir"/>
          <w:color w:val="00000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1.%2"/>
      <w:lvlJc w:val="left"/>
      <w:pPr>
        <w:ind w:left="1440" w:hanging="360"/>
      </w:pPr>
      <w:rPr>
        <w:u w:val="none"/>
      </w:rPr>
    </w:lvl>
    <w:lvl w:ilvl="2">
      <w:start w:val="1"/>
      <w:numFmt w:val="decimal"/>
      <w:lvlText w:val="%1.%2.%3"/>
      <w:lvlJc w:val="left"/>
      <w:pPr>
        <w:ind w:left="2520" w:hanging="720"/>
      </w:pPr>
      <w:rPr>
        <w:u w:val="none"/>
      </w:rPr>
    </w:lvl>
    <w:lvl w:ilvl="3">
      <w:start w:val="1"/>
      <w:numFmt w:val="decimal"/>
      <w:lvlText w:val="%1.%2.%3.%4"/>
      <w:lvlJc w:val="left"/>
      <w:pPr>
        <w:ind w:left="3240" w:hanging="720"/>
      </w:pPr>
      <w:rPr>
        <w:u w:val="none"/>
      </w:rPr>
    </w:lvl>
    <w:lvl w:ilvl="4">
      <w:start w:val="1"/>
      <w:numFmt w:val="decimal"/>
      <w:lvlText w:val="%1.%2.%3.%4.%5"/>
      <w:lvlJc w:val="left"/>
      <w:pPr>
        <w:ind w:left="4320" w:hanging="1080"/>
      </w:pPr>
      <w:rPr>
        <w:u w:val="none"/>
      </w:rPr>
    </w:lvl>
    <w:lvl w:ilvl="5">
      <w:start w:val="1"/>
      <w:numFmt w:val="decimal"/>
      <w:lvlText w:val="%1.%2.%3.%4.%5.%6"/>
      <w:lvlJc w:val="left"/>
      <w:pPr>
        <w:ind w:left="5040" w:hanging="1080"/>
      </w:pPr>
      <w:rPr>
        <w:u w:val="none"/>
      </w:rPr>
    </w:lvl>
    <w:lvl w:ilvl="6">
      <w:start w:val="1"/>
      <w:numFmt w:val="decimal"/>
      <w:lvlText w:val="%1.%2.%3.%4.%5.%6.%7"/>
      <w:lvlJc w:val="left"/>
      <w:pPr>
        <w:ind w:left="6120" w:hanging="1440"/>
      </w:pPr>
      <w:rPr>
        <w:u w:val="none"/>
      </w:rPr>
    </w:lvl>
    <w:lvl w:ilvl="7">
      <w:start w:val="1"/>
      <w:numFmt w:val="decimal"/>
      <w:lvlText w:val="%1.%2.%3.%4.%5.%6.%7.%8"/>
      <w:lvlJc w:val="left"/>
      <w:pPr>
        <w:ind w:left="6840" w:hanging="1440"/>
      </w:pPr>
      <w:rPr>
        <w:u w:val="none"/>
      </w:rPr>
    </w:lvl>
    <w:lvl w:ilvl="8">
      <w:start w:val="1"/>
      <w:numFmt w:val="decimal"/>
      <w:lvlText w:val="%1.%2.%3.%4.%5.%6.%7.%8.%9"/>
      <w:lvlJc w:val="left"/>
      <w:pPr>
        <w:ind w:left="7920" w:hanging="180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1f3a"/>
        <w:sz w:val="22"/>
        <w:szCs w:val="22"/>
        <w:lang w:val="en"/>
      </w:rPr>
    </w:rPrDefault>
    <w:pPrDefault>
      <w:pPr>
        <w:spacing w:after="14.6"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 w:before="18" w:lineRule="auto"/>
    </w:pPr>
    <w:rPr>
      <w:b w:val="1"/>
      <w:bCs w:val="1"/>
      <w:color w:val="4169b5"/>
      <w:sz w:val="40"/>
      <w:szCs w:val="40"/>
    </w:rPr>
  </w:style>
  <w:style w:type="paragraph" w:styleId="Heading2">
    <w:name w:val="heading 2"/>
    <w:basedOn w:val="Normal"/>
    <w:next w:val="Normal"/>
    <w:pPr>
      <w:keepNext w:val="1"/>
      <w:keepLines w:val="1"/>
      <w:spacing w:after="10" w:before="15" w:lineRule="auto"/>
    </w:pPr>
    <w:rPr>
      <w:rFonts w:ascii="Inter SemiBold" w:cs="Inter SemiBold" w:eastAsia="Inter SemiBold" w:hAnsi="Inter SemiBold"/>
      <w:color w:val="5b79c8"/>
      <w:sz w:val="32"/>
      <w:szCs w:val="32"/>
    </w:rPr>
  </w:style>
  <w:style w:type="paragraph" w:styleId="Heading3">
    <w:name w:val="heading 3"/>
    <w:basedOn w:val="Normal"/>
    <w:next w:val="Normal"/>
    <w:pPr>
      <w:keepNext w:val="1"/>
      <w:keepLines w:val="1"/>
      <w:spacing w:after="8.6" w:before="11.399999999999999" w:lineRule="auto"/>
    </w:pPr>
    <w:rPr>
      <w:rFonts w:ascii="Inter Medium" w:cs="Inter Medium" w:eastAsia="Inter Medium" w:hAnsi="Inter Medium"/>
      <w:color w:val="7a7fce"/>
      <w:sz w:val="28"/>
      <w:szCs w:val="28"/>
    </w:rPr>
  </w:style>
  <w:style w:type="paragraph" w:styleId="Heading4">
    <w:name w:val="heading 4"/>
    <w:basedOn w:val="Normal"/>
    <w:next w:val="Normal"/>
    <w:pPr>
      <w:keepNext w:val="1"/>
      <w:keepLines w:val="1"/>
      <w:spacing w:after="6.6000000000000005" w:before="10" w:lineRule="auto"/>
    </w:pPr>
    <w:rPr>
      <w:rFonts w:ascii="Inter Medium" w:cs="Inter Medium" w:eastAsia="Inter Medium" w:hAnsi="Inter Medium"/>
      <w:color w:val="9080d0"/>
      <w:sz w:val="24"/>
      <w:szCs w:val="24"/>
    </w:rPr>
  </w:style>
  <w:style w:type="paragraph" w:styleId="Heading5">
    <w:name w:val="heading 5"/>
    <w:basedOn w:val="Normal"/>
    <w:next w:val="Normal"/>
    <w:pPr>
      <w:keepNext w:val="1"/>
      <w:keepLines w:val="1"/>
      <w:spacing w:after="6.6000000000000005" w:before="10" w:lineRule="auto"/>
    </w:pPr>
    <w:rPr>
      <w:rFonts w:ascii="Inter Medium" w:cs="Inter Medium" w:eastAsia="Inter Medium" w:hAnsi="Inter Medium"/>
      <w:color w:val="a585cf"/>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8" w:lineRule="auto"/>
    </w:pPr>
    <w:rPr>
      <w:b w:val="1"/>
      <w:bCs w:val="1"/>
      <w:color w:val="1a4b84"/>
      <w:sz w:val="56"/>
      <w:szCs w:val="56"/>
    </w:rPr>
  </w:style>
  <w:style w:type="paragraph" w:styleId="Subtitle">
    <w:name w:val="Subtitle"/>
    <w:basedOn w:val="Normal"/>
    <w:next w:val="Normal"/>
    <w:pPr>
      <w:keepNext w:val="1"/>
      <w:keepLines w:val="1"/>
      <w:spacing w:after="16" w:lineRule="auto"/>
    </w:pPr>
    <w:rPr>
      <w:rFonts w:ascii="Inter Medium" w:cs="Inter Medium" w:eastAsia="Inter Medium" w:hAnsi="Inter Medium"/>
      <w:color w:val="2e5a9c"/>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