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sychigor-solution-summary"/>
    <w:p>
      <w:pPr>
        <w:pStyle w:val="Heading1"/>
      </w:pPr>
      <w:r>
        <w:t xml:space="preserve">PsychIGoR Solution Summary</w:t>
      </w:r>
    </w:p>
    <w:p>
      <w:pPr>
        <w:pStyle w:val="FirstParagraph"/>
      </w:pPr>
      <w:r>
        <w:rPr>
          <w:b/>
          <w:bCs/>
        </w:rPr>
        <w:t xml:space="preserve">Innovative Solutions Opening:</w:t>
      </w:r>
      <w:r>
        <w:t xml:space="preserve"> </w:t>
      </w:r>
      <w:r>
        <w:t xml:space="preserve">ARPA-H-SOL-26-155 (Intelligent Generator of Research, IGoR), Proactive Health Office.</w:t>
      </w:r>
      <w:r>
        <w:t xml:space="preserve"> </w:t>
      </w:r>
      <w:r>
        <w:rPr>
          <w:b/>
          <w:bCs/>
        </w:rPr>
        <w:t xml:space="preserve">Solution Summary title:</w:t>
      </w:r>
      <w:r>
        <w:t xml:space="preserve"> </w:t>
      </w:r>
      <w:r>
        <w:t xml:space="preserve">PsychIGoR: Intelligence Generation of Disease Mechanisms for Psychiatric Disorders. A self-updating, mechanistic causal model of psychiatric disease with a validated closed-loop experiment engine.</w:t>
      </w:r>
      <w:r>
        <w:t xml:space="preserve"> </w:t>
      </w:r>
      <w:r>
        <w:rPr>
          <w:b/>
          <w:bCs/>
        </w:rPr>
        <w:t xml:space="preserve">Solution Summary due:</w:t>
      </w:r>
      <w:r>
        <w:t xml:space="preserve"> </w:t>
      </w:r>
      <w:r>
        <w:t xml:space="preserve">2026-06-25, 12:00 PM ET.</w:t>
      </w:r>
      <w:r>
        <w:t xml:space="preserve"> </w:t>
      </w:r>
      <w:r>
        <w:rPr>
          <w:b/>
          <w:bCs/>
        </w:rPr>
        <w:t xml:space="preserve">Full proposal due:</w:t>
      </w:r>
      <w:r>
        <w:t xml:space="preserve"> </w:t>
      </w:r>
      <w:r>
        <w:t xml:space="preserve">2026-08-06, 12:00 PM ET.</w:t>
      </w:r>
    </w:p>
    <w:bookmarkStart w:id="12" w:name="Xd7e3ea6eb3381a72b452400cf5e124da6178e9c"/>
    <w:p>
      <w:pPr>
        <w:pStyle w:val="Heading2"/>
      </w:pPr>
      <w:r>
        <w:t xml:space="preserve">Cover and Company Profile (not counted in the page limit)</w:t>
      </w:r>
    </w:p>
    <w:tbl>
      <w:tblPr>
        <w:tblStyle w:val="Table"/>
        <w:tblW w:type="dxa" w:w="9360"/>
        <w:tblLook w:firstRow="1" w:lastRow="0" w:firstColumn="0" w:lastColumn="0" w:noHBand="0" w:noVBand="0" w:val="0020"/>
        <w:tblCellMar>
          <w:top w:w="25" w:type="dxa"/>
          <w:left w:w="80" w:type="dxa"/>
          <w:bottom w:w="25" w:type="dxa"/>
          <w:right w:w="80" w:type="dxa"/>
        </w:tblCellMar>
      </w:tblPr>
      <w:tblGrid>
        <w:gridCol w:w="4680"/>
        <w:gridCol w:w="4680"/>
      </w:tblGrid>
      <w:tr>
        <w:trPr>
          <w:tblHeader w:val="on"/>
        </w:trPr>
        <w:tc>
          <w:tcPr>
            <w:tcW w:w="4680" w:type="dxa"/>
          </w:tcPr>
          <w:p>
            <w:pPr>
              <w:pStyle w:val="Compact"/>
              <w:spacing w:before="0" w:after="0" w:line="230" w:lineRule="exact"/>
              <w:rPr>
                <w:sz w:val="18"/>
                <w:szCs w:val="18"/>
              </w:rPr>
            </w:pPr>
            <w:r>
              <w:rPr>
                <w:sz w:val="18"/>
              </w:rPr>
              <w:t xml:space="preserve">Field</w:t>
            </w:r>
          </w:p>
        </w:tc>
        <w:tc>
          <w:tcPr>
            <w:tcW w:w="4680" w:type="dxa"/>
          </w:tcPr>
          <w:p>
            <w:pPr>
              <w:pStyle w:val="Compact"/>
              <w:spacing w:before="0" w:after="0" w:line="230" w:lineRule="exact"/>
              <w:rPr>
                <w:sz w:val="18"/>
                <w:szCs w:val="18"/>
              </w:rPr>
            </w:pPr>
            <w:r>
              <w:rPr>
                <w:sz w:val="18"/>
              </w:rPr>
              <w:t xml:space="preserve">Entry</w:t>
            </w:r>
          </w:p>
        </w:tc>
      </w:tr>
      <w:tr>
        <w:tc>
          <w:tcPr>
            <w:tcW w:w="4680" w:type="dxa"/>
          </w:tcPr>
          <w:p>
            <w:pPr>
              <w:pStyle w:val="Compact"/>
              <w:spacing w:before="0" w:after="0" w:line="230" w:lineRule="exact"/>
              <w:rPr>
                <w:sz w:val="18"/>
                <w:szCs w:val="18"/>
              </w:rPr>
            </w:pPr>
            <w:r>
              <w:rPr>
                <w:sz w:val="18"/>
              </w:rPr>
              <w:t xml:space="preserve">Team name</w:t>
            </w:r>
          </w:p>
        </w:tc>
        <w:tc>
          <w:tcPr>
            <w:tcW w:w="4680" w:type="dxa"/>
          </w:tcPr>
          <w:p>
            <w:pPr>
              <w:pStyle w:val="Compact"/>
              <w:spacing w:before="0" w:after="0" w:line="230" w:lineRule="exact"/>
              <w:rPr>
                <w:sz w:val="18"/>
                <w:szCs w:val="18"/>
              </w:rPr>
            </w:pPr>
            <w:r>
              <w:rPr>
                <w:sz w:val="18"/>
              </w:rPr>
              <w:t xml:space="preserve">PsychIGoR</w:t>
            </w:r>
          </w:p>
        </w:tc>
      </w:tr>
      <w:tr>
        <w:tc>
          <w:tcPr>
            <w:tcW w:w="4680" w:type="dxa"/>
          </w:tcPr>
          <w:p>
            <w:pPr>
              <w:pStyle w:val="Compact"/>
              <w:spacing w:before="0" w:after="0" w:line="230" w:lineRule="exact"/>
              <w:rPr>
                <w:sz w:val="18"/>
                <w:szCs w:val="18"/>
              </w:rPr>
            </w:pPr>
            <w:r>
              <w:rPr>
                <w:sz w:val="18"/>
              </w:rPr>
              <w:t xml:space="preserve">Prime organization</w:t>
            </w:r>
          </w:p>
        </w:tc>
        <w:tc>
          <w:tcPr>
            <w:tcW w:w="4680" w:type="dxa"/>
          </w:tcPr>
          <w:p>
            <w:pPr>
              <w:pStyle w:val="Compact"/>
              <w:spacing w:before="0" w:after="0" w:line="230" w:lineRule="exact"/>
              <w:rPr>
                <w:sz w:val="18"/>
                <w:szCs w:val="18"/>
              </w:rPr>
            </w:pPr>
            <w:r>
              <w:rPr>
                <w:sz w:val="18"/>
              </w:rPr>
              <w:t xml:space="preserve">Institute for Physical AI (IPAI), Purdue University</w:t>
            </w:r>
          </w:p>
        </w:tc>
      </w:tr>
      <w:tr>
        <w:tc>
          <w:tcPr>
            <w:tcW w:w="4680" w:type="dxa"/>
          </w:tcPr>
          <w:p>
            <w:pPr>
              <w:pStyle w:val="Compact"/>
              <w:spacing w:before="0" w:after="0" w:line="230" w:lineRule="exact"/>
              <w:rPr>
                <w:sz w:val="18"/>
                <w:szCs w:val="18"/>
              </w:rPr>
            </w:pPr>
            <w:r>
              <w:rPr>
                <w:sz w:val="18"/>
              </w:rPr>
              <w:t xml:space="preserve">Organization type</w:t>
            </w:r>
          </w:p>
        </w:tc>
        <w:tc>
          <w:tcPr>
            <w:tcW w:w="4680" w:type="dxa"/>
          </w:tcPr>
          <w:p>
            <w:pPr>
              <w:pStyle w:val="Compact"/>
              <w:spacing w:before="0" w:after="0" w:line="230" w:lineRule="exact"/>
              <w:rPr>
                <w:sz w:val="18"/>
                <w:szCs w:val="18"/>
              </w:rPr>
            </w:pPr>
            <w:r>
              <w:rPr>
                <w:sz w:val="18"/>
              </w:rPr>
              <w:t xml:space="preserve">Academia</w:t>
            </w:r>
          </w:p>
        </w:tc>
      </w:tr>
      <w:tr>
        <w:tc>
          <w:tcPr>
            <w:tcW w:w="4680" w:type="dxa"/>
          </w:tcPr>
          <w:p>
            <w:pPr>
              <w:pStyle w:val="Compact"/>
              <w:spacing w:before="0" w:after="0" w:line="230" w:lineRule="exact"/>
              <w:rPr>
                <w:sz w:val="18"/>
                <w:szCs w:val="18"/>
              </w:rPr>
            </w:pPr>
            <w:r>
              <w:rPr>
                <w:sz w:val="18"/>
              </w:rPr>
              <w:t xml:space="preserve">SAM.gov UEI</w:t>
            </w:r>
          </w:p>
        </w:tc>
        <w:tc>
          <w:tcPr>
            <w:tcW w:w="4680" w:type="dxa"/>
          </w:tcPr>
          <w:p>
            <w:pPr>
              <w:pStyle w:val="Compact"/>
              <w:spacing w:before="0" w:after="0" w:line="230" w:lineRule="exact"/>
              <w:rPr>
                <w:sz w:val="18"/>
                <w:szCs w:val="18"/>
              </w:rPr>
            </w:pPr>
            <w:r>
              <w:rPr>
                <w:sz w:val="18"/>
              </w:rPr>
              <w:t xml:space="preserve">Not required at Solution Summary stage (prime UEI: Purdue University, to confirm)</w:t>
            </w:r>
          </w:p>
        </w:tc>
      </w:tr>
      <w:tr>
        <w:tc>
          <w:tcPr>
            <w:tcW w:w="4680" w:type="dxa"/>
          </w:tcPr>
          <w:p>
            <w:pPr>
              <w:pStyle w:val="Compact"/>
              <w:spacing w:before="0" w:after="0" w:line="230" w:lineRule="exact"/>
              <w:rPr>
                <w:sz w:val="18"/>
                <w:szCs w:val="18"/>
              </w:rPr>
            </w:pPr>
            <w:r>
              <w:rPr>
                <w:sz w:val="18"/>
              </w:rPr>
              <w:t xml:space="preserve">Principal Investigator</w:t>
            </w:r>
          </w:p>
        </w:tc>
        <w:tc>
          <w:tcPr>
            <w:tcW w:w="4680" w:type="dxa"/>
          </w:tcPr>
          <w:p>
            <w:pPr>
              <w:pStyle w:val="Compact"/>
              <w:spacing w:before="0" w:after="0" w:line="230" w:lineRule="exact"/>
              <w:rPr>
                <w:sz w:val="18"/>
                <w:szCs w:val="18"/>
              </w:rPr>
            </w:pPr>
            <w:r>
              <w:rPr>
                <w:sz w:val="18"/>
              </w:rPr>
              <w:t xml:space="preserve">Ananth Grama (IPAI, Purdue)</w:t>
            </w:r>
          </w:p>
        </w:tc>
      </w:tr>
      <w:tr>
        <w:tc>
          <w:tcPr>
            <w:tcW w:w="4680" w:type="dxa"/>
          </w:tcPr>
          <w:p>
            <w:pPr>
              <w:pStyle w:val="Compact"/>
              <w:spacing w:before="0" w:after="0" w:line="230" w:lineRule="exact"/>
              <w:rPr>
                <w:sz w:val="18"/>
                <w:szCs w:val="18"/>
              </w:rPr>
            </w:pPr>
            <w:r>
              <w:rPr>
                <w:sz w:val="18"/>
              </w:rPr>
              <w:t xml:space="preserve">Prime Technical POC</w:t>
            </w:r>
          </w:p>
        </w:tc>
        <w:tc>
          <w:tcPr>
            <w:tcW w:w="4680" w:type="dxa"/>
          </w:tcPr>
          <w:p>
            <w:pPr>
              <w:pStyle w:val="Compact"/>
              <w:spacing w:before="0" w:after="0" w:line="230" w:lineRule="exact"/>
              <w:rPr>
                <w:sz w:val="18"/>
                <w:szCs w:val="18"/>
              </w:rPr>
            </w:pPr>
            <w:r>
              <w:rPr>
                <w:sz w:val="18"/>
              </w:rPr>
              <w:t xml:space="preserve">Ananth Grama, IPAI, Purdue (</w:t>
            </w:r>
            <w:hyperlink r:id="rId9">
              <w:r>
                <w:rPr>
                  <w:rStyle w:val="Hyperlink"/>
                </w:rPr>
                <w:t xml:space="preserve">ayg@purdue.edu</w:t>
              </w:r>
            </w:hyperlink>
            <w:r>
              <w:rPr>
                <w:sz w:val="18"/>
              </w:rPr>
              <w:t xml:space="preserve">)</w:t>
            </w:r>
          </w:p>
        </w:tc>
      </w:tr>
      <w:tr>
        <w:tc>
          <w:tcPr>
            <w:tcW w:w="4680" w:type="dxa"/>
          </w:tcPr>
          <w:p>
            <w:pPr>
              <w:pStyle w:val="Compact"/>
              <w:spacing w:before="0" w:after="0" w:line="230" w:lineRule="exact"/>
              <w:rPr>
                <w:sz w:val="18"/>
                <w:szCs w:val="18"/>
              </w:rPr>
            </w:pPr>
            <w:r>
              <w:rPr>
                <w:sz w:val="18"/>
              </w:rPr>
              <w:t xml:space="preserve">Subawardee Technical POC</w:t>
            </w:r>
          </w:p>
        </w:tc>
        <w:tc>
          <w:tcPr>
            <w:tcW w:w="4680" w:type="dxa"/>
          </w:tcPr>
          <w:p>
            <w:pPr>
              <w:pStyle w:val="Compact"/>
              <w:spacing w:before="0" w:after="0" w:line="230" w:lineRule="exact"/>
              <w:rPr>
                <w:sz w:val="18"/>
                <w:szCs w:val="18"/>
              </w:rPr>
            </w:pPr>
            <w:r>
              <w:rPr>
                <w:sz w:val="18"/>
              </w:rPr>
              <w:t xml:space="preserve">Shahin Mohammadi, Cytognosis Foundation (</w:t>
            </w:r>
            <w:hyperlink r:id="rId10">
              <w:r>
                <w:rPr>
                  <w:rStyle w:val="Hyperlink"/>
                </w:rPr>
                <w:t xml:space="preserve">mohammadi@cytognosis.org</w:t>
              </w:r>
            </w:hyperlink>
            <w:r>
              <w:rPr>
                <w:sz w:val="18"/>
              </w:rPr>
              <w:t xml:space="preserve">)</w:t>
            </w:r>
          </w:p>
        </w:tc>
      </w:tr>
      <w:tr>
        <w:tc>
          <w:tcPr>
            <w:tcW w:w="4680" w:type="dxa"/>
          </w:tcPr>
          <w:p>
            <w:pPr>
              <w:pStyle w:val="Compact"/>
              <w:spacing w:before="0" w:after="0" w:line="230" w:lineRule="exact"/>
              <w:rPr>
                <w:sz w:val="18"/>
                <w:szCs w:val="18"/>
              </w:rPr>
            </w:pPr>
            <w:r>
              <w:rPr>
                <w:sz w:val="18"/>
              </w:rPr>
              <w:t xml:space="preserve">Prime Administrative POC</w:t>
            </w:r>
          </w:p>
        </w:tc>
        <w:tc>
          <w:tcPr>
            <w:tcW w:w="4680" w:type="dxa"/>
          </w:tcPr>
          <w:p>
            <w:pPr>
              <w:pStyle w:val="Compact"/>
              <w:spacing w:before="0" w:after="0" w:line="230" w:lineRule="exact"/>
              <w:rPr>
                <w:sz w:val="18"/>
                <w:szCs w:val="18"/>
              </w:rPr>
            </w:pPr>
            <w:r>
              <w:rPr>
                <w:sz w:val="18"/>
              </w:rPr>
              <w:t xml:space="preserve">Tabitha M. Cinowski, Operations Manager, IPAI, Purdue (</w:t>
            </w:r>
            <w:hyperlink r:id="rId11">
              <w:r>
                <w:rPr>
                  <w:rStyle w:val="Hyperlink"/>
                </w:rPr>
                <w:t xml:space="preserve">cinowski@purdue.edu</w:t>
              </w:r>
            </w:hyperlink>
            <w:r>
              <w:rPr>
                <w:sz w:val="18"/>
              </w:rPr>
              <w:t xml:space="preserve">)</w:t>
            </w:r>
          </w:p>
        </w:tc>
      </w:tr>
      <w:tr>
        <w:tc>
          <w:tcPr>
            <w:tcW w:w="4680" w:type="dxa"/>
          </w:tcPr>
          <w:p>
            <w:pPr>
              <w:pStyle w:val="Compact"/>
              <w:spacing w:before="0" w:after="0" w:line="230" w:lineRule="exact"/>
              <w:rPr>
                <w:sz w:val="18"/>
                <w:szCs w:val="18"/>
              </w:rPr>
            </w:pPr>
            <w:r>
              <w:rPr>
                <w:sz w:val="18"/>
              </w:rPr>
              <w:t xml:space="preserve">Estimated project duration</w:t>
            </w:r>
          </w:p>
        </w:tc>
        <w:tc>
          <w:tcPr>
            <w:tcW w:w="4680" w:type="dxa"/>
          </w:tcPr>
          <w:p>
            <w:pPr>
              <w:pStyle w:val="Compact"/>
              <w:spacing w:before="0" w:after="0" w:line="230" w:lineRule="exact"/>
              <w:rPr>
                <w:sz w:val="18"/>
                <w:szCs w:val="18"/>
              </w:rPr>
            </w:pPr>
            <w:r>
              <w:rPr>
                <w:sz w:val="18"/>
              </w:rPr>
              <w:t xml:space="preserve">60 months (Phase I 18, Phase II 18, Phase III 24)</w:t>
            </w:r>
          </w:p>
        </w:tc>
      </w:tr>
      <w:tr>
        <w:tc>
          <w:tcPr>
            <w:tcW w:w="4680" w:type="dxa"/>
          </w:tcPr>
          <w:p>
            <w:pPr>
              <w:pStyle w:val="Compact"/>
              <w:spacing w:before="0" w:after="0" w:line="230" w:lineRule="exact"/>
              <w:rPr>
                <w:sz w:val="18"/>
                <w:szCs w:val="18"/>
              </w:rPr>
            </w:pPr>
            <w:r>
              <w:rPr>
                <w:sz w:val="18"/>
              </w:rPr>
              <w:t xml:space="preserve">Animal subjects</w:t>
            </w:r>
          </w:p>
        </w:tc>
        <w:tc>
          <w:tcPr>
            <w:tcW w:w="4680" w:type="dxa"/>
          </w:tcPr>
          <w:p>
            <w:pPr>
              <w:pStyle w:val="Compact"/>
              <w:spacing w:before="0" w:after="0" w:line="230" w:lineRule="exact"/>
              <w:rPr>
                <w:sz w:val="18"/>
                <w:szCs w:val="18"/>
              </w:rPr>
            </w:pPr>
            <w:r>
              <w:rPr>
                <w:sz w:val="18"/>
              </w:rPr>
              <w:t xml:space="preserve">No</w:t>
            </w:r>
          </w:p>
        </w:tc>
      </w:tr>
      <w:tr>
        <w:tc>
          <w:tcPr>
            <w:tcW w:w="4680" w:type="dxa"/>
          </w:tcPr>
          <w:p>
            <w:pPr>
              <w:pStyle w:val="Compact"/>
              <w:spacing w:before="0" w:after="0" w:line="230" w:lineRule="exact"/>
              <w:rPr>
                <w:sz w:val="18"/>
                <w:szCs w:val="18"/>
              </w:rPr>
            </w:pPr>
            <w:r>
              <w:rPr>
                <w:sz w:val="18"/>
              </w:rPr>
              <w:t xml:space="preserve">Human subjects</w:t>
            </w:r>
          </w:p>
        </w:tc>
        <w:tc>
          <w:tcPr>
            <w:tcW w:w="4680" w:type="dxa"/>
          </w:tcPr>
          <w:p>
            <w:pPr>
              <w:pStyle w:val="Compact"/>
              <w:spacing w:before="0" w:after="0" w:line="230" w:lineRule="exact"/>
              <w:rPr>
                <w:sz w:val="18"/>
                <w:szCs w:val="18"/>
              </w:rPr>
            </w:pPr>
            <w:r>
              <w:rPr>
                <w:sz w:val="18"/>
              </w:rPr>
              <w:t xml:space="preserve">No (secondary analysis of existing de-identified cohort data and established or engineered iPSC lines; final determination confirmed with counsel and the IRB of record)</w:t>
            </w:r>
          </w:p>
        </w:tc>
      </w:tr>
      <w:tr>
        <w:tc>
          <w:tcPr>
            <w:tcW w:w="4680" w:type="dxa"/>
          </w:tcPr>
          <w:p>
            <w:pPr>
              <w:pStyle w:val="Compact"/>
              <w:spacing w:before="0" w:after="0" w:line="230" w:lineRule="exact"/>
              <w:rPr>
                <w:sz w:val="18"/>
                <w:szCs w:val="18"/>
              </w:rPr>
            </w:pPr>
            <w:r>
              <w:rPr>
                <w:sz w:val="18"/>
              </w:rPr>
              <w:t xml:space="preserve">Total funds requested from ARPA-H (all phases)</w:t>
            </w:r>
          </w:p>
        </w:tc>
        <w:tc>
          <w:tcPr>
            <w:tcW w:w="4680" w:type="dxa"/>
          </w:tcPr>
          <w:p>
            <w:pPr>
              <w:pStyle w:val="Compact"/>
              <w:spacing w:before="0" w:after="0" w:line="230" w:lineRule="exact"/>
              <w:rPr>
                <w:sz w:val="18"/>
                <w:szCs w:val="18"/>
              </w:rPr>
            </w:pPr>
            <w:r>
              <w:rPr>
                <w:sz w:val="18"/>
              </w:rPr>
              <w:t xml:space="preserve">$50,000,000</w:t>
            </w:r>
          </w:p>
        </w:tc>
      </w:tr>
      <w:tr>
        <w:tc>
          <w:tcPr>
            <w:tcW w:w="4680" w:type="dxa"/>
          </w:tcPr>
          <w:p>
            <w:pPr>
              <w:pStyle w:val="Compact"/>
              <w:spacing w:before="0" w:after="0" w:line="230" w:lineRule="exact"/>
              <w:rPr>
                <w:sz w:val="18"/>
                <w:szCs w:val="18"/>
              </w:rPr>
            </w:pPr>
            <w:r>
              <w:rPr>
                <w:sz w:val="18"/>
              </w:rPr>
              <w:t xml:space="preserve">Resource sharing</w:t>
            </w:r>
          </w:p>
        </w:tc>
        <w:tc>
          <w:tcPr>
            <w:tcW w:w="4680" w:type="dxa"/>
          </w:tcPr>
          <w:p>
            <w:pPr>
              <w:pStyle w:val="Compact"/>
              <w:spacing w:before="0" w:after="0" w:line="230" w:lineRule="exact"/>
              <w:rPr>
                <w:sz w:val="18"/>
                <w:szCs w:val="18"/>
              </w:rPr>
            </w:pPr>
            <w:r>
              <w:rPr>
                <w:sz w:val="18"/>
              </w:rPr>
              <w:t xml:space="preserve">~</w:t>
            </w:r>
            <m:oMath>
              <m:r>
                <m:t>4.0</m:t>
              </m:r>
              <m:r>
                <m:t>M</m:t>
              </m:r>
              <m:r>
                <m:t>P</m:t>
              </m:r>
              <m:r>
                <m:t>e</m:t>
              </m:r>
              <m:r>
                <m:t>r</m:t>
              </m:r>
              <m:r>
                <m:t>f</m:t>
              </m:r>
              <m:r>
                <m:t>o</m:t>
              </m:r>
              <m:r>
                <m:t>r</m:t>
              </m:r>
              <m:r>
                <m:t>m</m:t>
              </m:r>
              <m:r>
                <m:t>e</m:t>
              </m:r>
              <m:r>
                <m:t>r</m:t>
              </m:r>
              <m:r>
                <m:t>i</m:t>
              </m:r>
              <m:r>
                <m:t>n</m:t>
              </m:r>
              <m:r>
                <m:rPr>
                  <m:sty m:val="p"/>
                </m:rPr>
                <m:t>−</m:t>
              </m:r>
              <m:r>
                <m:t>k</m:t>
              </m:r>
              <m:r>
                <m:t>i</m:t>
              </m:r>
              <m:r>
                <m:t>n</m:t>
              </m:r>
              <m:r>
                <m:t>d</m:t>
              </m:r>
              <m:r>
                <m:rPr>
                  <m:sty m:val="p"/>
                </m:rPr>
                <m:t>(</m:t>
              </m:r>
              <m:r>
                <m:t>d</m:t>
              </m:r>
              <m:r>
                <m:t>a</m:t>
              </m:r>
              <m:r>
                <m:t>t</m:t>
              </m:r>
              <m:r>
                <m:t>a</m:t>
              </m:r>
              <m:r>
                <m:t>a</m:t>
              </m:r>
              <m:r>
                <m:t>c</m:t>
              </m:r>
              <m:r>
                <m:t>c</m:t>
              </m:r>
              <m:r>
                <m:t>e</m:t>
              </m:r>
              <m:r>
                <m:t>s</m:t>
              </m:r>
              <m:r>
                <m:t>s</m:t>
              </m:r>
              <m:r>
                <m:rPr>
                  <m:sty m:val="p"/>
                </m:rPr>
                <m:t>,</m:t>
              </m:r>
              <m:r>
                <m:t>s</m:t>
              </m:r>
              <m:r>
                <m:t>e</m:t>
              </m:r>
              <m:r>
                <m:t>q</m:t>
              </m:r>
              <m:r>
                <m:t>u</m:t>
              </m:r>
              <m:r>
                <m:t>e</m:t>
              </m:r>
              <m:r>
                <m:t>n</m:t>
              </m:r>
              <m:r>
                <m:t>c</m:t>
              </m:r>
              <m:r>
                <m:t>i</m:t>
              </m:r>
              <m:r>
                <m:t>n</m:t>
              </m:r>
              <m:r>
                <m:t>g</m:t>
              </m:r>
              <m:r>
                <m:t>c</m:t>
              </m:r>
              <m:r>
                <m:t>r</m:t>
              </m:r>
              <m:r>
                <m:t>e</m:t>
              </m:r>
              <m:r>
                <m:t>d</m:t>
              </m:r>
              <m:r>
                <m:t>i</m:t>
              </m:r>
              <m:r>
                <m:t>t</m:t>
              </m:r>
              <m:r>
                <m:t>s</m:t>
              </m:r>
              <m:r>
                <m:rPr>
                  <m:sty m:val="p"/>
                </m:rPr>
                <m:t>,</m:t>
              </m:r>
              <m:r>
                <m:t>i</m:t>
              </m:r>
              <m:r>
                <m:t>n</m:t>
              </m:r>
              <m:r>
                <m:t>s</m:t>
              </m:r>
              <m:r>
                <m:t>t</m:t>
              </m:r>
              <m:r>
                <m:t>r</m:t>
              </m:r>
              <m:r>
                <m:t>u</m:t>
              </m:r>
              <m:r>
                <m:t>m</m:t>
              </m:r>
              <m:r>
                <m:t>e</m:t>
              </m:r>
              <m:r>
                <m:t>n</m:t>
              </m:r>
              <m:r>
                <m:t>t</m:t>
              </m:r>
              <m:r>
                <m:t>a</m:t>
              </m:r>
              <m:r>
                <m:t>c</m:t>
              </m:r>
              <m:r>
                <m:t>c</m:t>
              </m:r>
              <m:r>
                <m:t>e</m:t>
              </m:r>
              <m:r>
                <m:t>s</m:t>
              </m:r>
              <m:r>
                <m:t>s</m:t>
              </m:r>
              <m:r>
                <m:rPr>
                  <m:sty m:val="p"/>
                </m:rPr>
                <m:t>,</m:t>
              </m:r>
              <m:r>
                <m:t>c</m:t>
              </m:r>
              <m:r>
                <m:t>l</m:t>
              </m:r>
              <m:r>
                <m:t>o</m:t>
              </m:r>
              <m:r>
                <m:t>u</m:t>
              </m:r>
              <m:r>
                <m:t>d</m:t>
              </m:r>
              <m:r>
                <m:t>c</m:t>
              </m:r>
              <m:r>
                <m:t>r</m:t>
              </m:r>
              <m:r>
                <m:t>e</m:t>
              </m:r>
              <m:r>
                <m:t>d</m:t>
              </m:r>
              <m:r>
                <m:t>i</m:t>
              </m:r>
              <m:r>
                <m:t>t</m:t>
              </m:r>
              <m:r>
                <m:t>s</m:t>
              </m:r>
              <m:r>
                <m:rPr>
                  <m:sty m:val="p"/>
                </m:rPr>
                <m:t>)</m:t>
              </m:r>
              <m:r>
                <m:rPr>
                  <m:sty m:val="p"/>
                </m:rPr>
                <m:t>;</m:t>
              </m:r>
              <m:r>
                <m:t>t</m:t>
              </m:r>
              <m:r>
                <m:t>o</m:t>
              </m:r>
              <m:r>
                <m:t>t</m:t>
              </m:r>
              <m:r>
                <m:t>a</m:t>
              </m:r>
              <m:r>
                <m:t>l</m:t>
              </m:r>
              <m:r>
                <m:t>p</m:t>
              </m:r>
              <m:r>
                <m:t>r</m:t>
              </m:r>
              <m:r>
                <m:t>o</m:t>
              </m:r>
              <m:r>
                <m:t>j</m:t>
              </m:r>
              <m:r>
                <m:t>e</m:t>
              </m:r>
              <m:r>
                <m:t>c</m:t>
              </m:r>
              <m:r>
                <m:t>t</m:t>
              </m:r>
              <m:r>
                <m:t>v</m:t>
              </m:r>
              <m:r>
                <m:t>a</m:t>
              </m:r>
              <m:r>
                <m:t>l</m:t>
              </m:r>
              <m:r>
                <m:t>u</m:t>
              </m:r>
              <m:r>
                <m:t>e</m:t>
              </m:r>
              <m:r>
                <m:t> </m:t>
              </m:r>
            </m:oMath>
            <w:r>
              <w:rPr>
                <w:sz w:val="18"/>
              </w:rPr>
              <w:t xml:space="preserve">54.0M</w:t>
            </w:r>
          </w:p>
        </w:tc>
      </w:tr>
      <w:tr>
        <w:tc>
          <w:tcPr>
            <w:tcW w:w="4680" w:type="dxa"/>
          </w:tcPr>
          <w:p>
            <w:pPr>
              <w:pStyle w:val="Compact"/>
              <w:spacing w:before="0" w:after="0" w:line="230" w:lineRule="exact"/>
              <w:rPr>
                <w:sz w:val="18"/>
                <w:szCs w:val="18"/>
              </w:rPr>
            </w:pPr>
            <w:r>
              <w:rPr>
                <w:sz w:val="18"/>
              </w:rPr>
              <w:t xml:space="preserve">Place(s) of performance</w:t>
            </w:r>
          </w:p>
        </w:tc>
        <w:tc>
          <w:tcPr>
            <w:tcW w:w="4680" w:type="dxa"/>
          </w:tcPr>
          <w:p>
            <w:pPr>
              <w:pStyle w:val="Compact"/>
              <w:spacing w:before="0" w:after="0" w:line="230" w:lineRule="exact"/>
              <w:rPr>
                <w:sz w:val="18"/>
                <w:szCs w:val="18"/>
              </w:rPr>
            </w:pPr>
            <w:r>
              <w:rPr>
                <w:sz w:val="18"/>
              </w:rPr>
              <w:t xml:space="preserve">Purdue University (IN); Cytognosis Foundation (CA); McLean Hospital (MA); additional validated laboratories</w:t>
            </w:r>
          </w:p>
        </w:tc>
      </w:tr>
    </w:tbl>
    <w:p>
      <w:pPr>
        <w:pStyle w:val="BodyText"/>
      </w:pPr>
      <w:r>
        <w:rPr>
          <w:b/>
          <w:bCs/>
        </w:rPr>
        <w:t xml:space="preserve">Sub-awardees and team members.</w:t>
      </w:r>
    </w:p>
    <w:tbl>
      <w:tblPr>
        <w:tblStyle w:val="Table"/>
        <w:tblW w:type="dxa" w:w="9360"/>
        <w:tblLook w:firstRow="1" w:lastRow="0" w:firstColumn="0" w:lastColumn="0" w:noHBand="0" w:noVBand="0" w:val="0020"/>
        <w:tblCellMar>
          <w:top w:w="25" w:type="dxa"/>
          <w:left w:w="80" w:type="dxa"/>
          <w:bottom w:w="25" w:type="dxa"/>
          <w:right w:w="80" w:type="dxa"/>
        </w:tblCellMar>
      </w:tblPr>
      <w:tblGrid>
        <w:gridCol w:w="2059"/>
        <w:gridCol w:w="1684"/>
        <w:gridCol w:w="1404"/>
        <w:gridCol w:w="4213"/>
      </w:tblGrid>
      <w:tr>
        <w:trPr>
          <w:tblHeader w:val="on"/>
        </w:trPr>
        <w:tc>
          <w:tcPr>
            <w:tcW w:w="2059" w:type="dxa"/>
          </w:tcPr>
          <w:p>
            <w:pPr>
              <w:pStyle w:val="Compact"/>
              <w:spacing w:before="0" w:after="0" w:line="230" w:lineRule="exact"/>
              <w:rPr>
                <w:sz w:val="18"/>
                <w:szCs w:val="18"/>
              </w:rPr>
            </w:pPr>
            <w:r>
              <w:rPr>
                <w:sz w:val="18"/>
              </w:rPr>
              <w:t xml:space="preserve">Organization</w:t>
            </w:r>
          </w:p>
        </w:tc>
        <w:tc>
          <w:tcPr>
            <w:tcW w:w="1684" w:type="dxa"/>
          </w:tcPr>
          <w:p>
            <w:pPr>
              <w:pStyle w:val="Compact"/>
              <w:spacing w:before="0" w:after="0" w:line="230" w:lineRule="exact"/>
              <w:rPr>
                <w:sz w:val="18"/>
                <w:szCs w:val="18"/>
              </w:rPr>
            </w:pPr>
            <w:r>
              <w:rPr>
                <w:sz w:val="18"/>
              </w:rPr>
              <w:t xml:space="preserve">Technical POC</w:t>
            </w:r>
          </w:p>
        </w:tc>
        <w:tc>
          <w:tcPr>
            <w:tcW w:w="1404" w:type="dxa"/>
          </w:tcPr>
          <w:p>
            <w:pPr>
              <w:pStyle w:val="Compact"/>
              <w:spacing w:before="0" w:after="0" w:line="230" w:lineRule="exact"/>
              <w:rPr>
                <w:sz w:val="18"/>
                <w:szCs w:val="18"/>
              </w:rPr>
            </w:pPr>
            <w:r>
              <w:rPr>
                <w:sz w:val="18"/>
              </w:rPr>
              <w:t xml:space="preserve">Org type</w:t>
            </w:r>
          </w:p>
        </w:tc>
        <w:tc>
          <w:tcPr>
            <w:tcW w:w="4213" w:type="dxa"/>
          </w:tcPr>
          <w:p>
            <w:pPr>
              <w:pStyle w:val="Compact"/>
              <w:spacing w:before="0" w:after="0" w:line="230" w:lineRule="exact"/>
              <w:rPr>
                <w:sz w:val="18"/>
                <w:szCs w:val="18"/>
              </w:rPr>
            </w:pPr>
            <w:r>
              <w:rPr>
                <w:sz w:val="18"/>
              </w:rPr>
              <w:t xml:space="preserve">Focus</w:t>
            </w:r>
          </w:p>
        </w:tc>
      </w:tr>
      <w:tr>
        <w:tc>
          <w:tcPr>
            <w:tcW w:w="2059" w:type="dxa"/>
          </w:tcPr>
          <w:p>
            <w:pPr>
              <w:pStyle w:val="Compact"/>
              <w:spacing w:before="0" w:after="0" w:line="230" w:lineRule="exact"/>
              <w:rPr>
                <w:sz w:val="18"/>
                <w:szCs w:val="18"/>
              </w:rPr>
            </w:pPr>
            <w:r>
              <w:rPr>
                <w:sz w:val="18"/>
              </w:rPr>
              <w:t xml:space="preserve">Cytognosis Foundation</w:t>
            </w:r>
          </w:p>
        </w:tc>
        <w:tc>
          <w:tcPr>
            <w:tcW w:w="1684" w:type="dxa"/>
          </w:tcPr>
          <w:p>
            <w:pPr>
              <w:pStyle w:val="Compact"/>
              <w:spacing w:before="0" w:after="0" w:line="230" w:lineRule="exact"/>
              <w:rPr>
                <w:sz w:val="18"/>
                <w:szCs w:val="18"/>
              </w:rPr>
            </w:pPr>
            <w:r>
              <w:rPr>
                <w:sz w:val="18"/>
              </w:rPr>
              <w:t xml:space="preserve">Shahin Mohammadi</w:t>
            </w:r>
          </w:p>
        </w:tc>
        <w:tc>
          <w:tcPr>
            <w:tcW w:w="1404" w:type="dxa"/>
          </w:tcPr>
          <w:p>
            <w:pPr>
              <w:pStyle w:val="Compact"/>
              <w:spacing w:before="0" w:after="0" w:line="230" w:lineRule="exact"/>
              <w:rPr>
                <w:sz w:val="18"/>
                <w:szCs w:val="18"/>
              </w:rPr>
            </w:pPr>
            <w:r>
              <w:rPr>
                <w:sz w:val="18"/>
              </w:rPr>
              <w:t xml:space="preserve">Non-profit</w:t>
            </w:r>
          </w:p>
        </w:tc>
        <w:tc>
          <w:tcPr>
            <w:tcW w:w="4213" w:type="dxa"/>
          </w:tcPr>
          <w:p>
            <w:pPr>
              <w:pStyle w:val="Compact"/>
              <w:spacing w:before="0" w:after="0" w:line="230" w:lineRule="exact"/>
              <w:rPr>
                <w:sz w:val="18"/>
                <w:szCs w:val="18"/>
              </w:rPr>
            </w:pPr>
            <w:r>
              <w:rPr>
                <w:sz w:val="18"/>
              </w:rPr>
              <w:t xml:space="preserve">Computational disease modeling (lead); hypothesis and experiment-intent generation (lead); semantic foundation (co-lead)</w:t>
            </w:r>
          </w:p>
        </w:tc>
      </w:tr>
      <w:tr>
        <w:tc>
          <w:tcPr>
            <w:tcW w:w="2059" w:type="dxa"/>
          </w:tcPr>
          <w:p>
            <w:pPr>
              <w:pStyle w:val="Compact"/>
              <w:spacing w:before="0" w:after="0" w:line="230" w:lineRule="exact"/>
              <w:rPr>
                <w:sz w:val="18"/>
                <w:szCs w:val="18"/>
              </w:rPr>
            </w:pPr>
            <w:r>
              <w:rPr>
                <w:sz w:val="18"/>
              </w:rPr>
              <w:t xml:space="preserve">McLean Hospital / Harvard Medical School</w:t>
            </w:r>
          </w:p>
        </w:tc>
        <w:tc>
          <w:tcPr>
            <w:tcW w:w="1684" w:type="dxa"/>
          </w:tcPr>
          <w:p>
            <w:pPr>
              <w:pStyle w:val="Compact"/>
              <w:spacing w:before="0" w:after="0" w:line="230" w:lineRule="exact"/>
              <w:rPr>
                <w:sz w:val="18"/>
                <w:szCs w:val="18"/>
              </w:rPr>
            </w:pPr>
            <w:r>
              <w:rPr>
                <w:sz w:val="18"/>
              </w:rPr>
              <w:t xml:space="preserve">W. Brad Ruzicka</w:t>
            </w:r>
          </w:p>
        </w:tc>
        <w:tc>
          <w:tcPr>
            <w:tcW w:w="1404" w:type="dxa"/>
          </w:tcPr>
          <w:p>
            <w:pPr>
              <w:pStyle w:val="Compact"/>
              <w:spacing w:before="0" w:after="0" w:line="230" w:lineRule="exact"/>
              <w:rPr>
                <w:sz w:val="18"/>
                <w:szCs w:val="18"/>
              </w:rPr>
            </w:pPr>
            <w:r>
              <w:rPr>
                <w:sz w:val="18"/>
              </w:rPr>
              <w:t xml:space="preserve">Academia</w:t>
            </w:r>
          </w:p>
        </w:tc>
        <w:tc>
          <w:tcPr>
            <w:tcW w:w="4213" w:type="dxa"/>
          </w:tcPr>
          <w:p>
            <w:pPr>
              <w:pStyle w:val="Compact"/>
              <w:spacing w:before="0" w:after="0" w:line="230" w:lineRule="exact"/>
              <w:rPr>
                <w:sz w:val="18"/>
                <w:szCs w:val="18"/>
              </w:rPr>
            </w:pPr>
            <w:r>
              <w:rPr>
                <w:sz w:val="18"/>
              </w:rPr>
              <w:t xml:space="preserve">Clinical and translational disease modeling; data governance</w:t>
            </w:r>
          </w:p>
        </w:tc>
      </w:tr>
      <w:tr>
        <w:tc>
          <w:tcPr>
            <w:tcW w:w="2059" w:type="dxa"/>
          </w:tcPr>
          <w:p>
            <w:pPr>
              <w:pStyle w:val="Compact"/>
              <w:spacing w:before="0" w:after="0" w:line="230" w:lineRule="exact"/>
              <w:rPr>
                <w:sz w:val="18"/>
                <w:szCs w:val="18"/>
              </w:rPr>
            </w:pPr>
            <w:r>
              <w:rPr>
                <w:sz w:val="18"/>
              </w:rPr>
              <w:t xml:space="preserve">SIFT</w:t>
            </w:r>
          </w:p>
        </w:tc>
        <w:tc>
          <w:tcPr>
            <w:tcW w:w="1684" w:type="dxa"/>
          </w:tcPr>
          <w:p>
            <w:pPr>
              <w:pStyle w:val="Compact"/>
              <w:spacing w:before="0" w:after="0" w:line="230" w:lineRule="exact"/>
              <w:rPr>
                <w:sz w:val="18"/>
                <w:szCs w:val="18"/>
              </w:rPr>
            </w:pPr>
            <w:r>
              <w:rPr>
                <w:sz w:val="18"/>
              </w:rPr>
              <w:t xml:space="preserve">Daniel Bryce (lead), Robert Goldman (advisory)</w:t>
            </w:r>
          </w:p>
        </w:tc>
        <w:tc>
          <w:tcPr>
            <w:tcW w:w="1404" w:type="dxa"/>
          </w:tcPr>
          <w:p>
            <w:pPr>
              <w:pStyle w:val="Compact"/>
              <w:spacing w:before="0" w:after="0" w:line="230" w:lineRule="exact"/>
              <w:rPr>
                <w:sz w:val="18"/>
                <w:szCs w:val="18"/>
              </w:rPr>
            </w:pPr>
            <w:r>
              <w:rPr>
                <w:sz w:val="18"/>
              </w:rPr>
              <w:t xml:space="preserve">For-profit</w:t>
            </w:r>
          </w:p>
        </w:tc>
        <w:tc>
          <w:tcPr>
            <w:tcW w:w="4213" w:type="dxa"/>
          </w:tcPr>
          <w:p>
            <w:pPr>
              <w:pStyle w:val="Compact"/>
              <w:spacing w:before="0" w:after="0" w:line="230" w:lineRule="exact"/>
              <w:rPr>
                <w:sz w:val="18"/>
                <w:szCs w:val="18"/>
              </w:rPr>
            </w:pPr>
            <w:r>
              <w:rPr>
                <w:sz w:val="18"/>
              </w:rPr>
              <w:t xml:space="preserve">Interoperable perturbation protocols (lead); scoped value-of-information planning layer; semantic foundation (co-lead)</w:t>
            </w:r>
          </w:p>
        </w:tc>
      </w:tr>
      <w:tr>
        <w:tc>
          <w:tcPr>
            <w:tcW w:w="2059" w:type="dxa"/>
          </w:tcPr>
          <w:p>
            <w:pPr>
              <w:pStyle w:val="Compact"/>
              <w:spacing w:before="0" w:after="0" w:line="230" w:lineRule="exact"/>
              <w:rPr>
                <w:sz w:val="18"/>
                <w:szCs w:val="18"/>
              </w:rPr>
            </w:pPr>
            <w:r>
              <w:rPr>
                <w:sz w:val="18"/>
              </w:rPr>
              <w:t xml:space="preserve">Cellanome</w:t>
            </w:r>
          </w:p>
        </w:tc>
        <w:tc>
          <w:tcPr>
            <w:tcW w:w="1684" w:type="dxa"/>
          </w:tcPr>
          <w:p>
            <w:pPr>
              <w:pStyle w:val="Compact"/>
              <w:spacing w:before="0" w:after="0" w:line="230" w:lineRule="exact"/>
              <w:rPr>
                <w:sz w:val="18"/>
                <w:szCs w:val="18"/>
              </w:rPr>
            </w:pPr>
            <w:r>
              <w:rPr>
                <w:sz w:val="18"/>
              </w:rPr>
              <w:t xml:space="preserve">POC to confirm</w:t>
            </w:r>
          </w:p>
        </w:tc>
        <w:tc>
          <w:tcPr>
            <w:tcW w:w="1404" w:type="dxa"/>
          </w:tcPr>
          <w:p>
            <w:pPr>
              <w:pStyle w:val="Compact"/>
              <w:spacing w:before="0" w:after="0" w:line="230" w:lineRule="exact"/>
              <w:rPr>
                <w:sz w:val="18"/>
                <w:szCs w:val="18"/>
              </w:rPr>
            </w:pPr>
            <w:r>
              <w:rPr>
                <w:sz w:val="18"/>
              </w:rPr>
              <w:t xml:space="preserve">For-profit</w:t>
            </w:r>
          </w:p>
        </w:tc>
        <w:tc>
          <w:tcPr>
            <w:tcW w:w="4213" w:type="dxa"/>
          </w:tcPr>
          <w:p>
            <w:pPr>
              <w:pStyle w:val="Compact"/>
              <w:spacing w:before="0" w:after="0" w:line="230" w:lineRule="exact"/>
              <w:rPr>
                <w:sz w:val="18"/>
                <w:szCs w:val="18"/>
              </w:rPr>
            </w:pPr>
            <w:r>
              <w:rPr>
                <w:sz w:val="18"/>
              </w:rPr>
              <w:t xml:space="preserve">Industry execution arm; live-cell imaging and same-cell Perturb-seq (R3200)</w:t>
            </w:r>
          </w:p>
        </w:tc>
      </w:tr>
      <w:tr>
        <w:tc>
          <w:tcPr>
            <w:tcW w:w="2059" w:type="dxa"/>
          </w:tcPr>
          <w:p>
            <w:pPr>
              <w:pStyle w:val="Compact"/>
              <w:spacing w:before="0" w:after="0" w:line="230" w:lineRule="exact"/>
              <w:rPr>
                <w:sz w:val="18"/>
                <w:szCs w:val="18"/>
              </w:rPr>
            </w:pPr>
            <w:r>
              <w:rPr>
                <w:sz w:val="18"/>
              </w:rPr>
              <w:t xml:space="preserve">Illumina (optional)</w:t>
            </w:r>
          </w:p>
        </w:tc>
        <w:tc>
          <w:tcPr>
            <w:tcW w:w="1684" w:type="dxa"/>
          </w:tcPr>
          <w:p>
            <w:pPr>
              <w:pStyle w:val="Compact"/>
              <w:spacing w:before="0" w:after="0" w:line="230" w:lineRule="exact"/>
              <w:rPr>
                <w:sz w:val="18"/>
                <w:szCs w:val="18"/>
              </w:rPr>
            </w:pPr>
            <w:r>
              <w:rPr>
                <w:sz w:val="18"/>
              </w:rPr>
              <w:t xml:space="preserve">James Han, Michael Mehan</w:t>
            </w:r>
          </w:p>
        </w:tc>
        <w:tc>
          <w:tcPr>
            <w:tcW w:w="1404" w:type="dxa"/>
          </w:tcPr>
          <w:p>
            <w:pPr>
              <w:pStyle w:val="Compact"/>
              <w:spacing w:before="0" w:after="0" w:line="230" w:lineRule="exact"/>
              <w:rPr>
                <w:sz w:val="18"/>
                <w:szCs w:val="18"/>
              </w:rPr>
            </w:pPr>
            <w:r>
              <w:rPr>
                <w:sz w:val="18"/>
              </w:rPr>
              <w:t xml:space="preserve">For-profit</w:t>
            </w:r>
          </w:p>
        </w:tc>
        <w:tc>
          <w:tcPr>
            <w:tcW w:w="4213" w:type="dxa"/>
          </w:tcPr>
          <w:p>
            <w:pPr>
              <w:pStyle w:val="Compact"/>
              <w:spacing w:before="0" w:after="0" w:line="230" w:lineRule="exact"/>
              <w:rPr>
                <w:sz w:val="18"/>
                <w:szCs w:val="18"/>
              </w:rPr>
            </w:pPr>
            <w:r>
              <w:rPr>
                <w:sz w:val="18"/>
              </w:rPr>
              <w:t xml:space="preserve">Sequencing and cloud platform; Billion Cell Atlas resource sharing</w:t>
            </w:r>
          </w:p>
        </w:tc>
      </w:tr>
    </w:tbl>
    <w:bookmarkEnd w:id="12"/>
    <w:bookmarkStart w:id="13" w:name="X4eab82293b49715d429fa979f0b801e90565be9"/>
    <w:p>
      <w:pPr>
        <w:pStyle w:val="Heading2"/>
      </w:pPr>
      <w:r>
        <w:t xml:space="preserve">1. Concept Summary</w:t>
      </w:r>
    </w:p>
    <w:p>
      <w:pPr>
        <w:pStyle w:val="FirstParagraph"/>
      </w:pPr>
      <w:r>
        <w:t xml:space="preserve">IGoR calls for a closed loop that turns hypotheses into validated knowledge at least 10x faster: mechanistic disease models, an AI engine that designs experiments, interoperable protocols, and a marketplace of validated laboratories. We propose that loop for psychiatric disease, beginning with schizophrenia in Phases I and II and extending to bipolar disorder in Phase III, a domain where mechanism is poorly understood and where a model that learns causally from every experiment would change how the field works. The proposal addresses all of the program's interest areas, with our deepest contribution in disease-mechanism modeling.</w:t>
      </w:r>
    </w:p>
    <w:p>
      <w:pPr>
        <w:pStyle w:val="BodyText"/>
      </w:pPr>
      <w:r>
        <w:t xml:space="preserve">Our distinctive idea is to treat disease-associated genetic variation as the perturbation that drives cellular biology, and to build a mechanistic, multiscale, self-updating causal model of how that perturbation moves cells from health toward disease. A New Science Engine interrogates that model itself, not just the literature, to find the most informative knowledge gap and design the next experiment. Interoperable perturbation protocols carry that experiment to validated laboratories that return model-ready data, which updates the model and closes the loop. Because schizophrenia is largely polygenic and hard to model in a dish, we begin from its penetrant, near-Mendelian forms (the 22q11.2 deletion and large-effect rare-variant genes), engineered as isogenic iPSC pairs, exactly as familial Alzheimer and Parkinson variants made those diseases tractable in cells. One architectural decision threads through the whole loop: a single semantic foundation, one shared vocabulary and identifier system authored once and used across every focus area, so an experiment transfers between the model, the protocol, and the laboratory without translation at the seams.</w:t>
      </w:r>
    </w:p>
    <w:bookmarkEnd w:id="13"/>
    <w:bookmarkStart w:id="14" w:name="Xf68048503f802adb2a792c20fbcc9b925640b60"/>
    <w:p>
      <w:pPr>
        <w:pStyle w:val="Heading2"/>
      </w:pPr>
      <w:r>
        <w:t xml:space="preserve">2. Innovation and Impact</w:t>
      </w:r>
    </w:p>
    <w:p>
      <w:pPr>
        <w:pStyle w:val="FirstParagraph"/>
      </w:pPr>
      <w:r>
        <w:rPr>
          <w:b/>
          <w:bCs/>
        </w:rPr>
        <w:t xml:space="preserve">Why genetics, and why it is not enough.</w:t>
      </w:r>
      <w:r>
        <w:t xml:space="preserve"> </w:t>
      </w:r>
      <w:r>
        <w:t xml:space="preserve">Drug targets with human genetic support reach approval roughly twice as often as targets without it (Nelson et al. 2015), a multiplier that rises to about 2.6x with a decade of added evidence and climbs further as confidence in the causal gene increases (Minikel et al. 2024). Yet most psychiatric signal is noncoding with ambiguous variant-to-gene mapping, and even an unambiguous gene rarely hands over a mechanism. Statistical-genetics and machine-learning target discovery, validated after the fact in cellular models, confirms that a variant does something but seldom explains how it drives disease, whether that axis is the disease-relevant one, or what else in the pathway is easier to drug.</w:t>
      </w:r>
    </w:p>
    <w:p>
      <w:pPr>
        <w:pStyle w:val="BodyText"/>
      </w:pPr>
      <w:r>
        <w:rPr>
          <w:b/>
          <w:bCs/>
        </w:rPr>
        <w:t xml:space="preserve">What current approaches miss.</w:t>
      </w:r>
      <w:r>
        <w:t xml:space="preserve"> </w:t>
      </w:r>
      <w:r>
        <w:t xml:space="preserve">Foundation cell models (Geneformer, scFoundation, and similar) are correlational and static (Theodoris et al. 2023; Hao et al. 2024); perturbation predictors are narrow and single-scale (Roohani et al. 2024); agentic-science systems wrap a language model around a literature search (Boiko et al. 2023; Swanson et al. 2025). None integrate atlas-scale data, causal-network inference, and circuit-scale physiology into a model that updates from new experiments, and none distinguish a therapeutic effect from a side effect.</w:t>
      </w:r>
    </w:p>
    <w:p>
      <w:pPr>
        <w:pStyle w:val="BodyText"/>
      </w:pPr>
      <w:r>
        <w:rPr>
          <w:b/>
          <w:bCs/>
        </w:rPr>
        <w:t xml:space="preserve">Our innovations.</w:t>
      </w:r>
      <w:r>
        <w:t xml:space="preserve"> </w:t>
      </w:r>
      <w:r>
        <w:t xml:space="preserve">First, dual grounding: engineered cellular perturbations give a known causal intervention on genes but in an artificial system, while natural population genetics give real, population-scale causal evidence that cannot be experimentally tested; each covers the other's blind spot, surfacing disease axes that are mechanistic, population-relevant, and robust to culture artifacts (genomic factorization, pathway-PRS lineage, aggregates weak convergent variants into interpretable axes; method proprietary, novelty claimed against the PRSet precedent, Choi et al. 2020). Second, disease as the causal perturbation operator: we invert the virtual-cell paradigm (Bunne et al. 2024) so disease-associated variation acts as a soft intervention on a latent causal model with identifiability guarantees (Schölkopf et al. 2021; Zhang et al. 2023). Third, a three-latent structural causal model separating basal state, disease effect, and a treatment effect that acts either directly (a side-effect route) or by modulating the disease (the therapeutic route), making efficacy versus side-effect liability a testable prediction. Fourth, a self-updating, multiscale, mechanistic model grounded in human genetics and clinical cohorts and paired with isogenic cellular models, not a static foundation model. Fifth, an Internet-style protocol stack for laboratories that extends LabOP (Bartley et al. 2023) and the SiLA 2 device-driver standard (Juchli 2022) and adds the missing piece, evidence-based parameter governance.</w:t>
      </w:r>
    </w:p>
    <w:p>
      <w:pPr>
        <w:pStyle w:val="BodyText"/>
      </w:pPr>
      <w:r>
        <w:t xml:space="preserve">Unlike foundation cell models, perturbation predictors, and agentic-science systems, none of which combine these properties, IGoR is simultaneously mechanistic and causal, multiscale from molecule to circuit, self-updating from new experiments, driven by disease genotype as the perturbation, grounded in both cellular and clinical evidence, able to separate therapy from side effect, and closed-loop to validated laboratories.</w:t>
      </w:r>
    </w:p>
    <w:p>
      <w:pPr>
        <w:pStyle w:val="BodyText"/>
      </w:pPr>
      <w:r>
        <w:rPr>
          <w:b/>
          <w:bCs/>
        </w:rPr>
        <w:t xml:space="preserve">Quantitative metrics, against the state of the art.</w:t>
      </w:r>
    </w:p>
    <w:tbl>
      <w:tblPr>
        <w:tblStyle w:val="Table"/>
        <w:tblW w:type="dxa" w:w="9360"/>
        <w:tblLook w:firstRow="1" w:lastRow="0" w:firstColumn="0" w:lastColumn="0" w:noHBand="0" w:noVBand="0" w:val="0020"/>
        <w:tblCellMar>
          <w:top w:w="25" w:type="dxa"/>
          <w:left w:w="80" w:type="dxa"/>
          <w:bottom w:w="25" w:type="dxa"/>
          <w:right w:w="80" w:type="dxa"/>
        </w:tblCellMar>
      </w:tblPr>
      <w:tblGrid>
        <w:gridCol w:w="2433"/>
        <w:gridCol w:w="1731"/>
        <w:gridCol w:w="1731"/>
        <w:gridCol w:w="1731"/>
        <w:gridCol w:w="1734"/>
      </w:tblGrid>
      <w:tr>
        <w:trPr>
          <w:tblHeader w:val="on"/>
        </w:trPr>
        <w:tc>
          <w:tcPr>
            <w:tcW w:w="2433" w:type="dxa"/>
          </w:tcPr>
          <w:p>
            <w:pPr>
              <w:pStyle w:val="Compact"/>
              <w:spacing w:before="0" w:after="0" w:line="230" w:lineRule="exact"/>
              <w:rPr>
                <w:sz w:val="18"/>
                <w:szCs w:val="18"/>
              </w:rPr>
            </w:pPr>
            <w:r>
              <w:rPr>
                <w:sz w:val="18"/>
              </w:rPr>
              <w:t xml:space="preserve">Metric</w:t>
            </w:r>
          </w:p>
        </w:tc>
        <w:tc>
          <w:tcPr>
            <w:tcW w:w="1731" w:type="dxa"/>
          </w:tcPr>
          <w:p>
            <w:pPr>
              <w:pStyle w:val="Compact"/>
              <w:spacing w:before="0" w:after="0" w:line="230" w:lineRule="exact"/>
              <w:rPr>
                <w:sz w:val="18"/>
                <w:szCs w:val="18"/>
              </w:rPr>
            </w:pPr>
            <w:r>
              <w:rPr>
                <w:sz w:val="18"/>
              </w:rPr>
              <w:t xml:space="preserve">SOTA baseline today</w:t>
            </w:r>
          </w:p>
        </w:tc>
        <w:tc>
          <w:tcPr>
            <w:tcW w:w="1731" w:type="dxa"/>
          </w:tcPr>
          <w:p>
            <w:pPr>
              <w:pStyle w:val="Compact"/>
              <w:spacing w:before="0" w:after="0" w:line="230" w:lineRule="exact"/>
              <w:rPr>
                <w:sz w:val="18"/>
                <w:szCs w:val="18"/>
              </w:rPr>
            </w:pPr>
            <w:r>
              <w:rPr>
                <w:sz w:val="18"/>
              </w:rPr>
              <w:t xml:space="preserve">Phase I target</w:t>
            </w:r>
          </w:p>
        </w:tc>
        <w:tc>
          <w:tcPr>
            <w:tcW w:w="1731" w:type="dxa"/>
          </w:tcPr>
          <w:p>
            <w:pPr>
              <w:pStyle w:val="Compact"/>
              <w:spacing w:before="0" w:after="0" w:line="230" w:lineRule="exact"/>
              <w:rPr>
                <w:sz w:val="18"/>
                <w:szCs w:val="18"/>
              </w:rPr>
            </w:pPr>
            <w:r>
              <w:rPr>
                <w:sz w:val="18"/>
              </w:rPr>
              <w:t xml:space="preserve">Phase II target</w:t>
            </w:r>
          </w:p>
        </w:tc>
        <w:tc>
          <w:tcPr>
            <w:tcW w:w="1734" w:type="dxa"/>
          </w:tcPr>
          <w:p>
            <w:pPr>
              <w:pStyle w:val="Compact"/>
              <w:spacing w:before="0" w:after="0" w:line="230" w:lineRule="exact"/>
              <w:rPr>
                <w:sz w:val="18"/>
                <w:szCs w:val="18"/>
              </w:rPr>
            </w:pPr>
            <w:r>
              <w:rPr>
                <w:sz w:val="18"/>
              </w:rPr>
              <w:t xml:space="preserve">Phase III target</w:t>
            </w:r>
          </w:p>
        </w:tc>
      </w:tr>
      <w:tr>
        <w:tc>
          <w:tcPr>
            <w:tcW w:w="2433" w:type="dxa"/>
          </w:tcPr>
          <w:p>
            <w:pPr>
              <w:pStyle w:val="Compact"/>
              <w:spacing w:before="0" w:after="0" w:line="230" w:lineRule="exact"/>
              <w:rPr>
                <w:sz w:val="18"/>
                <w:szCs w:val="18"/>
              </w:rPr>
            </w:pPr>
            <w:r>
              <w:rPr>
                <w:sz w:val="18"/>
              </w:rPr>
              <w:t xml:space="preserve">Experimental cycle time (hypothesis to model update)</w:t>
            </w:r>
          </w:p>
        </w:tc>
        <w:tc>
          <w:tcPr>
            <w:tcW w:w="1731" w:type="dxa"/>
          </w:tcPr>
          <w:p>
            <w:pPr>
              <w:pStyle w:val="Compact"/>
              <w:spacing w:before="0" w:after="0" w:line="230" w:lineRule="exact"/>
              <w:rPr>
                <w:sz w:val="18"/>
                <w:szCs w:val="18"/>
              </w:rPr>
            </w:pPr>
            <w:r>
              <w:rPr>
                <w:sz w:val="18"/>
              </w:rPr>
              <w:t xml:space="preserve">weeks to months, manual</w:t>
            </w:r>
          </w:p>
        </w:tc>
        <w:tc>
          <w:tcPr>
            <w:tcW w:w="1731" w:type="dxa"/>
          </w:tcPr>
          <w:p>
            <w:pPr>
              <w:pStyle w:val="Compact"/>
              <w:spacing w:before="0" w:after="0" w:line="230" w:lineRule="exact"/>
              <w:rPr>
                <w:sz w:val="18"/>
                <w:szCs w:val="18"/>
              </w:rPr>
            </w:pPr>
            <w:r>
              <w:rPr>
                <w:sz w:val="18"/>
              </w:rPr>
              <w:t xml:space="preserve">baseline established</w:t>
            </w:r>
          </w:p>
        </w:tc>
        <w:tc>
          <w:tcPr>
            <w:tcW w:w="1731" w:type="dxa"/>
          </w:tcPr>
          <w:p>
            <w:pPr>
              <w:pStyle w:val="Compact"/>
              <w:spacing w:before="0" w:after="0" w:line="230" w:lineRule="exact"/>
              <w:rPr>
                <w:sz w:val="18"/>
                <w:szCs w:val="18"/>
              </w:rPr>
            </w:pPr>
            <w:r>
              <w:rPr>
                <w:sz w:val="18"/>
              </w:rPr>
              <w:t xml:space="preserve">&gt;=4x faster</w:t>
            </w:r>
          </w:p>
        </w:tc>
        <w:tc>
          <w:tcPr>
            <w:tcW w:w="1734" w:type="dxa"/>
          </w:tcPr>
          <w:p>
            <w:pPr>
              <w:pStyle w:val="Compact"/>
              <w:spacing w:before="0" w:after="0" w:line="230" w:lineRule="exact"/>
              <w:rPr>
                <w:sz w:val="18"/>
                <w:szCs w:val="18"/>
              </w:rPr>
            </w:pPr>
            <w:r>
              <w:rPr>
                <w:b/>
                <w:bCs/>
                <w:sz w:val="18"/>
              </w:rPr>
              <w:t xml:space="preserve">&gt;=10x faster</w:t>
            </w:r>
          </w:p>
        </w:tc>
      </w:tr>
      <w:tr>
        <w:tc>
          <w:tcPr>
            <w:tcW w:w="2433" w:type="dxa"/>
          </w:tcPr>
          <w:p>
            <w:pPr>
              <w:pStyle w:val="Compact"/>
              <w:spacing w:before="0" w:after="0" w:line="230" w:lineRule="exact"/>
              <w:rPr>
                <w:sz w:val="18"/>
                <w:szCs w:val="18"/>
              </w:rPr>
            </w:pPr>
            <w:r>
              <w:rPr>
                <w:sz w:val="18"/>
              </w:rPr>
              <w:t xml:space="preserve">Inter-laboratory concordance</w:t>
            </w:r>
          </w:p>
        </w:tc>
        <w:tc>
          <w:tcPr>
            <w:tcW w:w="1731" w:type="dxa"/>
          </w:tcPr>
          <w:p>
            <w:pPr>
              <w:pStyle w:val="Compact"/>
              <w:spacing w:before="0" w:after="0" w:line="230" w:lineRule="exact"/>
              <w:rPr>
                <w:sz w:val="18"/>
                <w:szCs w:val="18"/>
              </w:rPr>
            </w:pPr>
            <w:r>
              <w:rPr>
                <w:sz w:val="18"/>
              </w:rPr>
              <w:t xml:space="preserve">not systematically measured; reproducibility often &lt;50%</w:t>
            </w:r>
          </w:p>
        </w:tc>
        <w:tc>
          <w:tcPr>
            <w:tcW w:w="1731" w:type="dxa"/>
          </w:tcPr>
          <w:p>
            <w:pPr>
              <w:pStyle w:val="Compact"/>
              <w:spacing w:before="0" w:after="0" w:line="230" w:lineRule="exact"/>
              <w:rPr>
                <w:sz w:val="18"/>
                <w:szCs w:val="18"/>
              </w:rPr>
            </w:pPr>
            <w:r>
              <w:rPr>
                <w:sz w:val="18"/>
              </w:rPr>
              <w:t xml:space="preserve">&gt;=80% (two labs)</w:t>
            </w:r>
          </w:p>
        </w:tc>
        <w:tc>
          <w:tcPr>
            <w:tcW w:w="1731" w:type="dxa"/>
          </w:tcPr>
          <w:p>
            <w:pPr>
              <w:pStyle w:val="Compact"/>
              <w:spacing w:before="0" w:after="0" w:line="230" w:lineRule="exact"/>
              <w:rPr>
                <w:sz w:val="18"/>
                <w:szCs w:val="18"/>
              </w:rPr>
            </w:pPr>
            <w:r>
              <w:rPr>
                <w:sz w:val="18"/>
              </w:rPr>
              <w:t xml:space="preserve">&gt;=90% (cross-team)</w:t>
            </w:r>
          </w:p>
        </w:tc>
        <w:tc>
          <w:tcPr>
            <w:tcW w:w="1734" w:type="dxa"/>
          </w:tcPr>
          <w:p>
            <w:pPr>
              <w:pStyle w:val="Compact"/>
              <w:spacing w:before="0" w:after="0" w:line="230" w:lineRule="exact"/>
              <w:rPr>
                <w:sz w:val="18"/>
                <w:szCs w:val="18"/>
              </w:rPr>
            </w:pPr>
            <w:r>
              <w:rPr>
                <w:sz w:val="18"/>
              </w:rPr>
              <w:t xml:space="preserve">&gt;=90% (marketplace)</w:t>
            </w:r>
          </w:p>
        </w:tc>
      </w:tr>
      <w:tr>
        <w:tc>
          <w:tcPr>
            <w:tcW w:w="2433" w:type="dxa"/>
          </w:tcPr>
          <w:p>
            <w:pPr>
              <w:pStyle w:val="Compact"/>
              <w:spacing w:before="0" w:after="0" w:line="230" w:lineRule="exact"/>
              <w:rPr>
                <w:sz w:val="18"/>
                <w:szCs w:val="18"/>
              </w:rPr>
            </w:pPr>
            <w:r>
              <w:rPr>
                <w:sz w:val="18"/>
              </w:rPr>
              <w:t xml:space="preserve">Variance explained in 22q11DS cell-type shifts</w:t>
            </w:r>
          </w:p>
        </w:tc>
        <w:tc>
          <w:tcPr>
            <w:tcW w:w="1731" w:type="dxa"/>
          </w:tcPr>
          <w:p>
            <w:pPr>
              <w:pStyle w:val="Compact"/>
              <w:spacing w:before="0" w:after="0" w:line="230" w:lineRule="exact"/>
              <w:rPr>
                <w:sz w:val="18"/>
                <w:szCs w:val="18"/>
              </w:rPr>
            </w:pPr>
            <w:r>
              <w:rPr>
                <w:sz w:val="18"/>
              </w:rPr>
              <w:t xml:space="preserve">literature-only, low</w:t>
            </w:r>
          </w:p>
        </w:tc>
        <w:tc>
          <w:tcPr>
            <w:tcW w:w="1731" w:type="dxa"/>
          </w:tcPr>
          <w:p>
            <w:pPr>
              <w:pStyle w:val="Compact"/>
              <w:spacing w:before="0" w:after="0" w:line="230" w:lineRule="exact"/>
              <w:rPr>
                <w:sz w:val="18"/>
                <w:szCs w:val="18"/>
              </w:rPr>
            </w:pPr>
            <w:r>
              <w:rPr>
                <w:sz w:val="18"/>
              </w:rPr>
              <w:t xml:space="preserve">&gt;=30%</w:t>
            </w:r>
          </w:p>
        </w:tc>
        <w:tc>
          <w:tcPr>
            <w:tcW w:w="1731" w:type="dxa"/>
          </w:tcPr>
          <w:p>
            <w:pPr>
              <w:pStyle w:val="Compact"/>
              <w:spacing w:before="0" w:after="0" w:line="230" w:lineRule="exact"/>
              <w:rPr>
                <w:sz w:val="18"/>
                <w:szCs w:val="18"/>
              </w:rPr>
            </w:pPr>
            <w:r>
              <w:rPr>
                <w:sz w:val="18"/>
              </w:rPr>
              <w:t xml:space="preserve">improved</w:t>
            </w:r>
          </w:p>
        </w:tc>
        <w:tc>
          <w:tcPr>
            <w:tcW w:w="1734" w:type="dxa"/>
          </w:tcPr>
          <w:p>
            <w:pPr>
              <w:pStyle w:val="Compact"/>
              <w:spacing w:before="0" w:after="0" w:line="230" w:lineRule="exact"/>
              <w:rPr>
                <w:sz w:val="18"/>
                <w:szCs w:val="18"/>
              </w:rPr>
            </w:pPr>
            <w:r>
              <w:rPr>
                <w:sz w:val="18"/>
              </w:rPr>
              <w:t xml:space="preserve">&gt;=2x Phase I</w:t>
            </w:r>
          </w:p>
        </w:tc>
      </w:tr>
      <w:tr>
        <w:tc>
          <w:tcPr>
            <w:tcW w:w="2433" w:type="dxa"/>
          </w:tcPr>
          <w:p>
            <w:pPr>
              <w:pStyle w:val="Compact"/>
              <w:spacing w:before="0" w:after="0" w:line="230" w:lineRule="exact"/>
              <w:rPr>
                <w:sz w:val="18"/>
                <w:szCs w:val="18"/>
              </w:rPr>
            </w:pPr>
            <w:r>
              <w:rPr>
                <w:sz w:val="18"/>
              </w:rPr>
              <w:t xml:space="preserve">Model update latency (data return to refreshed model)</w:t>
            </w:r>
          </w:p>
        </w:tc>
        <w:tc>
          <w:tcPr>
            <w:tcW w:w="1731" w:type="dxa"/>
          </w:tcPr>
          <w:p>
            <w:pPr>
              <w:pStyle w:val="Compact"/>
              <w:spacing w:before="0" w:after="0" w:line="230" w:lineRule="exact"/>
              <w:rPr>
                <w:sz w:val="18"/>
                <w:szCs w:val="18"/>
              </w:rPr>
            </w:pPr>
            <w:r>
              <w:rPr>
                <w:sz w:val="18"/>
              </w:rPr>
              <w:t xml:space="preserve">n/a (models are static)</w:t>
            </w:r>
          </w:p>
        </w:tc>
        <w:tc>
          <w:tcPr>
            <w:tcW w:w="1731" w:type="dxa"/>
          </w:tcPr>
          <w:p>
            <w:pPr>
              <w:pStyle w:val="Compact"/>
              <w:spacing w:before="0" w:after="0" w:line="230" w:lineRule="exact"/>
              <w:rPr>
                <w:sz w:val="18"/>
                <w:szCs w:val="18"/>
              </w:rPr>
            </w:pPr>
            <w:r>
              <w:rPr>
                <w:sz w:val="18"/>
              </w:rPr>
              <w:t xml:space="preserve">baseline</w:t>
            </w:r>
          </w:p>
        </w:tc>
        <w:tc>
          <w:tcPr>
            <w:tcW w:w="1731" w:type="dxa"/>
          </w:tcPr>
          <w:p>
            <w:pPr>
              <w:pStyle w:val="Compact"/>
              <w:spacing w:before="0" w:after="0" w:line="230" w:lineRule="exact"/>
              <w:rPr>
                <w:sz w:val="18"/>
                <w:szCs w:val="18"/>
              </w:rPr>
            </w:pPr>
            <w:r>
              <w:rPr>
                <w:sz w:val="18"/>
              </w:rPr>
              <w:t xml:space="preserve">&lt;=24 h</w:t>
            </w:r>
          </w:p>
        </w:tc>
        <w:tc>
          <w:tcPr>
            <w:tcW w:w="1734" w:type="dxa"/>
          </w:tcPr>
          <w:p>
            <w:pPr>
              <w:pStyle w:val="Compact"/>
              <w:spacing w:before="0" w:after="0" w:line="230" w:lineRule="exact"/>
              <w:rPr>
                <w:sz w:val="18"/>
                <w:szCs w:val="18"/>
              </w:rPr>
            </w:pPr>
            <w:r>
              <w:rPr>
                <w:sz w:val="18"/>
              </w:rPr>
              <w:t xml:space="preserve">&lt;=4 h</w:t>
            </w:r>
          </w:p>
        </w:tc>
      </w:tr>
      <w:tr>
        <w:tc>
          <w:tcPr>
            <w:tcW w:w="2433" w:type="dxa"/>
          </w:tcPr>
          <w:p>
            <w:pPr>
              <w:pStyle w:val="Compact"/>
              <w:spacing w:before="0" w:after="0" w:line="230" w:lineRule="exact"/>
              <w:rPr>
                <w:sz w:val="18"/>
                <w:szCs w:val="18"/>
              </w:rPr>
            </w:pPr>
            <w:r>
              <w:rPr>
                <w:sz w:val="18"/>
              </w:rPr>
              <w:t xml:space="preserve">Engine experiments rated high-value by expert panel</w:t>
            </w:r>
          </w:p>
        </w:tc>
        <w:tc>
          <w:tcPr>
            <w:tcW w:w="1731" w:type="dxa"/>
          </w:tcPr>
          <w:p>
            <w:pPr>
              <w:pStyle w:val="Compact"/>
              <w:spacing w:before="0" w:after="0" w:line="230" w:lineRule="exact"/>
              <w:rPr>
                <w:sz w:val="18"/>
                <w:szCs w:val="18"/>
              </w:rPr>
            </w:pPr>
            <w:r>
              <w:rPr>
                <w:sz w:val="18"/>
              </w:rPr>
              <w:t xml:space="preserve">n/a</w:t>
            </w:r>
          </w:p>
        </w:tc>
        <w:tc>
          <w:tcPr>
            <w:tcW w:w="1731" w:type="dxa"/>
          </w:tcPr>
          <w:p>
            <w:pPr>
              <w:pStyle w:val="Compact"/>
              <w:spacing w:before="0" w:after="0" w:line="230" w:lineRule="exact"/>
              <w:rPr>
                <w:sz w:val="18"/>
                <w:szCs w:val="18"/>
              </w:rPr>
            </w:pPr>
            <w:r>
              <w:rPr>
                <w:sz w:val="18"/>
              </w:rPr>
              <w:t xml:space="preserve">&gt;=50%</w:t>
            </w:r>
          </w:p>
        </w:tc>
        <w:tc>
          <w:tcPr>
            <w:tcW w:w="1731" w:type="dxa"/>
          </w:tcPr>
          <w:p>
            <w:pPr>
              <w:pStyle w:val="Compact"/>
              <w:spacing w:before="0" w:after="0" w:line="230" w:lineRule="exact"/>
              <w:rPr>
                <w:sz w:val="18"/>
                <w:szCs w:val="18"/>
              </w:rPr>
            </w:pPr>
            <w:r>
              <w:rPr>
                <w:sz w:val="18"/>
              </w:rPr>
              <w:t xml:space="preserve">&gt;=75%</w:t>
            </w:r>
          </w:p>
        </w:tc>
        <w:tc>
          <w:tcPr>
            <w:tcW w:w="1734" w:type="dxa"/>
          </w:tcPr>
          <w:p>
            <w:pPr>
              <w:pStyle w:val="Compact"/>
              <w:spacing w:before="0" w:after="0" w:line="230" w:lineRule="exact"/>
              <w:rPr>
                <w:sz w:val="18"/>
                <w:szCs w:val="18"/>
              </w:rPr>
            </w:pPr>
            <w:r>
              <w:rPr>
                <w:sz w:val="18"/>
              </w:rPr>
              <w:t xml:space="preserve">&gt;=85%</w:t>
            </w:r>
          </w:p>
        </w:tc>
      </w:tr>
      <w:tr>
        <w:tc>
          <w:tcPr>
            <w:tcW w:w="2433" w:type="dxa"/>
          </w:tcPr>
          <w:p>
            <w:pPr>
              <w:pStyle w:val="Compact"/>
              <w:spacing w:before="0" w:after="0" w:line="230" w:lineRule="exact"/>
              <w:rPr>
                <w:sz w:val="18"/>
                <w:szCs w:val="18"/>
              </w:rPr>
            </w:pPr>
            <w:r>
              <w:rPr>
                <w:sz w:val="18"/>
              </w:rPr>
              <w:t xml:space="preserve">Novel predictions experimentally confirmed</w:t>
            </w:r>
          </w:p>
        </w:tc>
        <w:tc>
          <w:tcPr>
            <w:tcW w:w="1731" w:type="dxa"/>
          </w:tcPr>
          <w:p>
            <w:pPr>
              <w:pStyle w:val="Compact"/>
              <w:spacing w:before="0" w:after="0" w:line="230" w:lineRule="exact"/>
              <w:rPr>
                <w:sz w:val="18"/>
                <w:szCs w:val="18"/>
              </w:rPr>
            </w:pPr>
            <w:r>
              <w:rPr>
                <w:sz w:val="18"/>
              </w:rPr>
              <w:t xml:space="preserve">rare, post-hoc</w:t>
            </w:r>
          </w:p>
        </w:tc>
        <w:tc>
          <w:tcPr>
            <w:tcW w:w="1731" w:type="dxa"/>
          </w:tcPr>
          <w:p>
            <w:pPr>
              <w:pStyle w:val="Compact"/>
              <w:spacing w:before="0" w:after="0" w:line="230" w:lineRule="exact"/>
              <w:rPr>
                <w:sz w:val="18"/>
                <w:szCs w:val="18"/>
              </w:rPr>
            </w:pPr>
            <w:r>
              <w:rPr>
                <w:sz w:val="18"/>
              </w:rPr>
              <w:t xml:space="preserve">design and baseline</w:t>
            </w:r>
          </w:p>
        </w:tc>
        <w:tc>
          <w:tcPr>
            <w:tcW w:w="1731" w:type="dxa"/>
          </w:tcPr>
          <w:p>
            <w:pPr>
              <w:pStyle w:val="Compact"/>
              <w:spacing w:before="0" w:after="0" w:line="230" w:lineRule="exact"/>
              <w:rPr>
                <w:sz w:val="18"/>
                <w:szCs w:val="18"/>
              </w:rPr>
            </w:pPr>
            <w:r>
              <w:rPr>
                <w:sz w:val="18"/>
              </w:rPr>
              <w:t xml:space="preserve">&gt;=1 confirmed</w:t>
            </w:r>
          </w:p>
        </w:tc>
        <w:tc>
          <w:tcPr>
            <w:tcW w:w="1734" w:type="dxa"/>
          </w:tcPr>
          <w:p>
            <w:pPr>
              <w:pStyle w:val="Compact"/>
              <w:spacing w:before="0" w:after="0" w:line="230" w:lineRule="exact"/>
              <w:rPr>
                <w:sz w:val="18"/>
                <w:szCs w:val="18"/>
              </w:rPr>
            </w:pPr>
            <w:r>
              <w:rPr>
                <w:sz w:val="18"/>
              </w:rPr>
              <w:t xml:space="preserve">both disease areas</w:t>
            </w:r>
          </w:p>
        </w:tc>
      </w:tr>
      <w:tr>
        <w:tc>
          <w:tcPr>
            <w:tcW w:w="2433" w:type="dxa"/>
          </w:tcPr>
          <w:p>
            <w:pPr>
              <w:pStyle w:val="Compact"/>
              <w:spacing w:before="0" w:after="0" w:line="230" w:lineRule="exact"/>
              <w:rPr>
                <w:sz w:val="18"/>
                <w:szCs w:val="18"/>
              </w:rPr>
            </w:pPr>
            <w:r>
              <w:rPr>
                <w:sz w:val="18"/>
              </w:rPr>
              <w:t xml:space="preserve">Disease areas covered</w:t>
            </w:r>
          </w:p>
        </w:tc>
        <w:tc>
          <w:tcPr>
            <w:tcW w:w="1731" w:type="dxa"/>
          </w:tcPr>
          <w:p>
            <w:pPr>
              <w:pStyle w:val="Compact"/>
              <w:spacing w:before="0" w:after="0" w:line="230" w:lineRule="exact"/>
              <w:rPr>
                <w:sz w:val="18"/>
                <w:szCs w:val="18"/>
              </w:rPr>
            </w:pPr>
            <w:r>
              <w:rPr>
                <w:sz w:val="18"/>
              </w:rPr>
              <w:t xml:space="preserve">one at a time</w:t>
            </w:r>
          </w:p>
        </w:tc>
        <w:tc>
          <w:tcPr>
            <w:tcW w:w="1731" w:type="dxa"/>
          </w:tcPr>
          <w:p>
            <w:pPr>
              <w:pStyle w:val="Compact"/>
              <w:spacing w:before="0" w:after="0" w:line="230" w:lineRule="exact"/>
              <w:rPr>
                <w:sz w:val="18"/>
                <w:szCs w:val="18"/>
              </w:rPr>
            </w:pPr>
            <w:r>
              <w:rPr>
                <w:sz w:val="18"/>
              </w:rPr>
              <w:t xml:space="preserve">1 (schizophrenia)</w:t>
            </w:r>
          </w:p>
        </w:tc>
        <w:tc>
          <w:tcPr>
            <w:tcW w:w="1731" w:type="dxa"/>
          </w:tcPr>
          <w:p>
            <w:pPr>
              <w:pStyle w:val="Compact"/>
              <w:spacing w:before="0" w:after="0" w:line="230" w:lineRule="exact"/>
              <w:rPr>
                <w:sz w:val="18"/>
                <w:szCs w:val="18"/>
              </w:rPr>
            </w:pPr>
            <w:r>
              <w:rPr>
                <w:sz w:val="18"/>
              </w:rPr>
              <w:t xml:space="preserve">1</w:t>
            </w:r>
          </w:p>
        </w:tc>
        <w:tc>
          <w:tcPr>
            <w:tcW w:w="1734" w:type="dxa"/>
          </w:tcPr>
          <w:p>
            <w:pPr>
              <w:pStyle w:val="Compact"/>
              <w:spacing w:before="0" w:after="0" w:line="230" w:lineRule="exact"/>
              <w:rPr>
                <w:sz w:val="18"/>
                <w:szCs w:val="18"/>
              </w:rPr>
            </w:pPr>
            <w:r>
              <w:rPr>
                <w:sz w:val="18"/>
              </w:rPr>
              <w:t xml:space="preserve">2nd (bipolar) added</w:t>
            </w:r>
          </w:p>
        </w:tc>
      </w:tr>
    </w:tbl>
    <w:p>
      <w:pPr>
        <w:pStyle w:val="BodyText"/>
      </w:pPr>
      <w:r>
        <w:rPr>
          <w:b/>
          <w:bCs/>
        </w:rPr>
        <w:t xml:space="preserve">Impact.</w:t>
      </w:r>
      <w:r>
        <w:t xml:space="preserve"> </w:t>
      </w:r>
      <w:r>
        <w:t xml:space="preserve">Targets with human genetic support reach the clinic roughly two to three times more often, and the multiplier rises with confidence in the causal gene, which is what dual grounding delivers. Penetrant forms calibrate disease axes that generalize to idiopathic schizophrenia and span bipolar disorder, and the therapy-versus-side-effect distinction directly serves drug discovery. The marquee outcome is at least 10x faster validated knowledge by Phase III, with the model, protocol stack, and marketplace interfaces deposited openly so the same infrastructure accelerates discovery across many diseases.</w:t>
      </w:r>
    </w:p>
    <w:bookmarkEnd w:id="14"/>
    <w:bookmarkStart w:id="18" w:name="X4c6c0da306c714e4e054ffb9a6fe49707f648ad"/>
    <w:p>
      <w:pPr>
        <w:pStyle w:val="Heading2"/>
      </w:pPr>
      <w:r>
        <w:t xml:space="preserve">3. Proposed Work</w:t>
      </w:r>
    </w:p>
    <w:p>
      <w:pPr>
        <w:pStyle w:val="FirstParagraph"/>
      </w:pPr>
      <w:r>
        <w:drawing>
          <wp:inline>
            <wp:extent cx="4114800" cy="850251"/>
            <wp:effectExtent b="0" l="0" r="0" t="0"/>
            <wp:docPr descr="" title="" id="16" name="Picture"/>
            <a:graphic>
              <a:graphicData uri="http://schemas.openxmlformats.org/drawingml/2006/picture">
                <pic:pic>
                  <pic:nvPicPr>
                    <pic:cNvPr descr="/home/mohammadi/Claude/Projects/Grants/02-submissions/Grants/ARPA-H/IGoR/solution_summary/IGoR_TA_loop_diagram.png" id="17" name="Picture"/>
                    <pic:cNvPicPr>
                      <a:picLocks noChangeArrowheads="1" noChangeAspect="1"/>
                    </pic:cNvPicPr>
                  </pic:nvPicPr>
                  <pic:blipFill>
                    <a:blip r:embed="rId15"/>
                    <a:stretch>
                      <a:fillRect/>
                    </a:stretch>
                  </pic:blipFill>
                  <pic:spPr bwMode="auto">
                    <a:xfrm>
                      <a:off x="0" y="0"/>
                      <a:ext cx="4114800" cy="850251"/>
                    </a:xfrm>
                    <a:prstGeom prst="rect">
                      <a:avLst/>
                    </a:prstGeom>
                    <a:noFill/>
                    <a:ln w="9525">
                      <a:noFill/>
                      <a:headEnd/>
                      <a:tailEnd/>
                    </a:ln>
                  </pic:spPr>
                </pic:pic>
              </a:graphicData>
            </a:graphic>
          </wp:inline>
        </w:drawing>
      </w:r>
      <w:r>
        <w:t xml:space="preserve">{width=4.5in}</w:t>
      </w:r>
    </w:p>
    <w:p>
      <w:pPr>
        <w:pStyle w:val="BodyText"/>
      </w:pPr>
      <w:r>
        <w:rPr>
          <w:b/>
          <w:bCs/>
        </w:rPr>
        <w:t xml:space="preserve">Final deliverable.</w:t>
      </w:r>
      <w:r>
        <w:t xml:space="preserve"> </w:t>
      </w:r>
      <w:r>
        <w:t xml:space="preserve">A closed-loop IGoR system demonstrated on schizophrenia and extended to bipolar disorder: a self-updating causal disease-mechanism model, an experiment-design engine that designs its own experiments, and an interoperable perturbation-protocol stack with validated laboratories that execute them, reaching the 10x cycle-time target. Phase I is anchored by a phenotypic-triage screen that empirically selects the genetic forms and cellular phenotypes the model is built on. The task structure mirrors the Task Description Document (Appendix C.2) and is cross-walked to the Cost Proposal (Appendix C.3).</w:t>
      </w:r>
    </w:p>
    <w:p>
      <w:pPr>
        <w:pStyle w:val="BodyText"/>
      </w:pPr>
      <w:r>
        <w:rPr>
          <w:b/>
          <w:bCs/>
        </w:rPr>
        <w:t xml:space="preserve">Disease-mechanism modeling (primary contribution; Cytognosis with IPAI).</w:t>
      </w:r>
      <w:r>
        <w:t xml:space="preserve"> </w:t>
      </w:r>
      <w:r>
        <w:t xml:space="preserve">We represent isogenic iPSC pairs and patient clinical cohorts in one pathway-space shift model, so cellular and clinical evidence constrain the same disease axes and culture artifacts do not masquerade as disease signal. We initialize from pretrained genomic foundation models to embed gene bodies and regulatory regions (the Enformer and AlphaGenome lineage; Avsec et al. 2021), contextualize them on a gene functional network, and factor the result into sparse, interpretable, transdiagnostic disease-axis factors that double as candidate biotypes (method proprietary; novelty claimed against the PRSet pathway-PRS precedent, Choi et al. 2020). A three-latent structural causal model separates basal state, disease effect, and treatment effect, extending soft-intervention identifiability (Zhang et al. 2023) to disease and treatment as separate, composable operators. The Phase I anchor is a phenotypic-triage screen across the penetrant-variant panel (the 22q11.2 deletion and TBX1, plus high-odds-ratio SCHEMA genes such as SETD1A, GRIN2A, and GRIA3; Singh et al. 2022), engineered as isogenic pairs and measured by transcriptomic, morphological, and functional calcium-imaging phenotypes, systematically extending the 22q11.2 phenomics precedent (Tegtmeyer et al. 2025).</w:t>
      </w:r>
    </w:p>
    <w:p>
      <w:pPr>
        <w:pStyle w:val="BodyText"/>
      </w:pPr>
      <w:r>
        <w:rPr>
          <w:b/>
          <w:bCs/>
        </w:rPr>
        <w:t xml:space="preserve">Experiment-design engine and hypothesis generation (IPAI lead, with Cytognosis).</w:t>
      </w:r>
      <w:r>
        <w:t xml:space="preserve"> </w:t>
      </w:r>
      <w:r>
        <w:t xml:space="preserve">A non-LLM-wrapper engine interrogates the disease model's own uncertain parameters and conflicting edges to choose the highest-value experiment, through a hypothesis tournament with adversarial critics grounded in mechanistic constraints, mechanism-grounded retrieval whose corpus is the structured output of the disease model rather than literature alone, and lightweight simulations that pre-screen designs. The engine runs on open, swappable scaffolding and explains its reasoning so the researcher directs the work; consequential actions require human authorization. Phylo (creator of Biomni) is an optional collaborator, and SIFT contributes a scoped value-of-information planning and scheduling layer under the Cytognosis and IPAI lead.</w:t>
      </w:r>
    </w:p>
    <w:p>
      <w:pPr>
        <w:pStyle w:val="BodyText"/>
      </w:pPr>
      <w:r>
        <w:rPr>
          <w:b/>
          <w:bCs/>
        </w:rPr>
        <w:t xml:space="preserve">Interoperable perturbation protocols (SIFT lead).</w:t>
      </w:r>
      <w:r>
        <w:t xml:space="preserve"> </w:t>
      </w:r>
      <w:r>
        <w:t xml:space="preserve">The protocols define a layered stack so the same experiment runs at any qualified laboratory: an intent layer (LabOP protocol objects written from the engine's ExperimentIntent), a process layer (LabOP primitives with LinkML-described metadata), a calibration layer (our RFC governance plus IV&amp;V reference artifacts, the novel contribution), and a hardware layer (LabOP specialized to SiLA 2, Opentrons, Autoprotocol, and Illumina). Two commitments make the stack distinctive. A single semantic foundation runs across all focus areas: every schema is authored once in LinkML, every entity grounded in the Biolink model and OBO ontologies, with Python and RDF generated from one source, so a gene is the same identifier in the model, the design, the protocol, and the laboratory record. We extend LabOP from synthetic biology to perturbation biology in three phases (cellular model, perturbation, readout), each with a quantitative quality-control gate so a downstream failure can be traced to its cause. SIFT estimates two to three full-time engineers and participates in the program bake-offs and connect-a-thon.</w:t>
      </w:r>
    </w:p>
    <w:p>
      <w:pPr>
        <w:pStyle w:val="BodyText"/>
      </w:pPr>
      <w:r>
        <w:rPr>
          <w:b/>
          <w:bCs/>
        </w:rPr>
        <w:t xml:space="preserve">Experimental execution and validated-lab marketplace (academic and industry arms).</w:t>
      </w:r>
      <w:r>
        <w:t xml:space="preserve"> </w:t>
      </w:r>
      <w:r>
        <w:t xml:space="preserve">The marketplace executes interoperable protocols and returns model-ready data through two independent arms, meeting the program's two-or-more-laboratory requirement. The academic arm is Matthew Tegtmeyer's lab (Purdue/IPAI), which runs all wet-lab experiments: iPSC-derived NGN2 neuron disease models with multi-modal fixed-cell high-plex readouts (RNA ~350-plex, protein ~50-plex, Cell-Painting-style morphology, and in-situ CRISPR-guide sequencing), building on Tegtmeyer et al. 2025. The industry arm is Cellanome, contributing live-cell imaging, same-cell scRNA-seq, and pooled CRISPR on the R3200. The two arms are orthogonal (fixed-cell high-plex versus live-cell temporal), enabling a designed cross-arm concordance milestone. Anne Carpenter (IPAI/Purdue) provides the common computational layer, interpretable morphology and cellular-imaging models that consume readouts from both arms with no wet bench (Tegtmeyer et al. 2025; Emani et al. 2024). Illumina adds high-throughput sequencing and Billion Cell Atlas resource sharing.</w:t>
      </w:r>
    </w:p>
    <w:p>
      <w:pPr>
        <w:pStyle w:val="BodyText"/>
      </w:pPr>
      <w:r>
        <w:rPr>
          <w:b/>
          <w:bCs/>
        </w:rPr>
        <w:t xml:space="preserve">Alternatives and risk.</w:t>
      </w:r>
      <w:r>
        <w:t xml:space="preserve"> </w:t>
      </w:r>
      <w:r>
        <w:t xml:space="preserve">We rejected a foundation-model-only approach as correlational and non-updating, and patient lines alone for lacking matched controls, which is why we engineer isogenic pairs. The central risk, that polygenic disease resists in-dish modeling, is mitigated by starting from penetrant forms and the phenotypic-triage screen; cross-laboratory concordance is mitigated by the calibration layer, reference materials, IV&amp;V artifacts, and RFC governance. ARPA-H expects substantial technical risk, counterbalanced here by transformative upside: a causal, self-updating disease model that distinguishes therapy from side effect, on infrastructure that compounds in value as data accrue. Phase-gated milestones are the metrics in Section 2.</w:t>
      </w:r>
    </w:p>
    <w:bookmarkEnd w:id="18"/>
    <w:bookmarkStart w:id="19" w:name="X76c03813d749873d49ef23147dacfc06f042df8"/>
    <w:p>
      <w:pPr>
        <w:pStyle w:val="Heading2"/>
      </w:pPr>
      <w:r>
        <w:t xml:space="preserve">4. Team Organization and Capabilities</w:t>
      </w:r>
    </w:p>
    <w:p>
      <w:pPr>
        <w:pStyle w:val="FirstParagraph"/>
      </w:pPr>
      <w:r>
        <w:t xml:space="preserve">We propose as Team PsychIGoR, one integrated performer under a single Principal Investigator. Confirmed members appear without a status note; roles still being finalized are marked.</w:t>
      </w:r>
    </w:p>
    <w:tbl>
      <w:tblPr>
        <w:tblStyle w:val="Table"/>
        <w:tblW w:type="dxa" w:w="9360"/>
        <w:tblLook w:firstRow="1" w:lastRow="0" w:firstColumn="0" w:lastColumn="0" w:noHBand="0" w:noVBand="0" w:val="0020"/>
        <w:tblCellMar>
          <w:top w:w="25" w:type="dxa"/>
          <w:left w:w="80" w:type="dxa"/>
          <w:bottom w:w="25" w:type="dxa"/>
          <w:right w:w="80" w:type="dxa"/>
        </w:tblCellMar>
      </w:tblPr>
      <w:tblGrid>
        <w:gridCol w:w="2620"/>
        <w:gridCol w:w="4680"/>
        <w:gridCol w:w="2060"/>
      </w:tblGrid>
      <w:tr>
        <w:trPr>
          <w:tblHeader w:val="on"/>
        </w:trPr>
        <w:tc>
          <w:tcPr>
            <w:tcW w:w="2620" w:type="dxa"/>
          </w:tcPr>
          <w:p>
            <w:pPr>
              <w:pStyle w:val="Compact"/>
              <w:spacing w:before="0" w:after="0" w:line="230" w:lineRule="exact"/>
              <w:rPr>
                <w:sz w:val="18"/>
                <w:szCs w:val="18"/>
              </w:rPr>
            </w:pPr>
            <w:r>
              <w:rPr>
                <w:sz w:val="18"/>
              </w:rPr>
              <w:t xml:space="preserve">Focus area / role</w:t>
            </w:r>
          </w:p>
        </w:tc>
        <w:tc>
          <w:tcPr>
            <w:tcW w:w="4680" w:type="dxa"/>
          </w:tcPr>
          <w:p>
            <w:pPr>
              <w:pStyle w:val="Compact"/>
              <w:spacing w:before="0" w:after="0" w:line="230" w:lineRule="exact"/>
              <w:rPr>
                <w:sz w:val="18"/>
                <w:szCs w:val="18"/>
              </w:rPr>
            </w:pPr>
            <w:r>
              <w:rPr>
                <w:sz w:val="18"/>
              </w:rPr>
              <w:t xml:space="preserve">Member and capability</w:t>
            </w:r>
          </w:p>
        </w:tc>
        <w:tc>
          <w:tcPr>
            <w:tcW w:w="2060" w:type="dxa"/>
          </w:tcPr>
          <w:p>
            <w:pPr>
              <w:pStyle w:val="Compact"/>
              <w:spacing w:before="0" w:after="0" w:line="230" w:lineRule="exact"/>
              <w:rPr>
                <w:sz w:val="18"/>
                <w:szCs w:val="18"/>
              </w:rPr>
            </w:pPr>
            <w:r>
              <w:rPr>
                <w:sz w:val="18"/>
              </w:rPr>
              <w:t xml:space="preserve">Status</w:t>
            </w:r>
          </w:p>
        </w:tc>
      </w:tr>
      <w:tr>
        <w:tc>
          <w:tcPr>
            <w:tcW w:w="2620" w:type="dxa"/>
          </w:tcPr>
          <w:p>
            <w:pPr>
              <w:pStyle w:val="Compact"/>
              <w:spacing w:before="0" w:after="0" w:line="230" w:lineRule="exact"/>
              <w:rPr>
                <w:sz w:val="18"/>
                <w:szCs w:val="18"/>
              </w:rPr>
            </w:pPr>
            <w:r>
              <w:rPr>
                <w:sz w:val="18"/>
              </w:rPr>
              <w:t xml:space="preserve">Principal Investigator and prime</w:t>
            </w:r>
          </w:p>
        </w:tc>
        <w:tc>
          <w:tcPr>
            <w:tcW w:w="4680" w:type="dxa"/>
          </w:tcPr>
          <w:p>
            <w:pPr>
              <w:pStyle w:val="Compact"/>
              <w:spacing w:before="0" w:after="0" w:line="230" w:lineRule="exact"/>
              <w:rPr>
                <w:sz w:val="18"/>
                <w:szCs w:val="18"/>
              </w:rPr>
            </w:pPr>
            <w:r>
              <w:rPr>
                <w:b/>
                <w:bCs/>
                <w:sz w:val="18"/>
              </w:rPr>
              <w:t xml:space="preserve">Ananth Grama, IPAI, Purdue.</w:t>
            </w:r>
            <w:r>
              <w:rPr>
                <w:sz w:val="18"/>
              </w:rPr>
              <w:t xml:space="preserve"> </w:t>
            </w:r>
            <w:r>
              <w:rPr>
                <w:sz w:val="18"/>
              </w:rPr>
              <w:t xml:space="preserve">Computational science at scale, systems integration, and program management; disease modeling and the experiment-design engine</w:t>
            </w:r>
          </w:p>
        </w:tc>
        <w:tc>
          <w:tcPr>
            <w:tcW w:w="2060" w:type="dxa"/>
          </w:tcPr>
          <w:p>
            <w:pPr>
              <w:pStyle w:val="Compact"/>
              <w:spacing w:before="0" w:after="0" w:line="230" w:lineRule="exact"/>
              <w:rPr>
                <w:sz w:val="18"/>
                <w:szCs w:val="18"/>
              </w:rPr>
            </w:pPr>
            <w:r>
              <w:rPr>
                <w:sz w:val="18"/>
              </w:rPr>
              <w:t xml:space="preserve">Confirmed</w:t>
            </w:r>
          </w:p>
        </w:tc>
      </w:tr>
      <w:tr>
        <w:tc>
          <w:tcPr>
            <w:tcW w:w="2620" w:type="dxa"/>
          </w:tcPr>
          <w:p>
            <w:pPr>
              <w:pStyle w:val="Compact"/>
              <w:spacing w:before="0" w:after="0" w:line="230" w:lineRule="exact"/>
              <w:rPr>
                <w:sz w:val="18"/>
                <w:szCs w:val="18"/>
              </w:rPr>
            </w:pPr>
            <w:r>
              <w:rPr>
                <w:sz w:val="18"/>
              </w:rPr>
              <w:t xml:space="preserve">Computational disease modeling; hypothesis and experiment-intent generation; semantic foundation (co-lead)</w:t>
            </w:r>
          </w:p>
        </w:tc>
        <w:tc>
          <w:tcPr>
            <w:tcW w:w="4680" w:type="dxa"/>
          </w:tcPr>
          <w:p>
            <w:pPr>
              <w:pStyle w:val="Compact"/>
              <w:spacing w:before="0" w:after="0" w:line="230" w:lineRule="exact"/>
              <w:rPr>
                <w:sz w:val="18"/>
                <w:szCs w:val="18"/>
              </w:rPr>
            </w:pPr>
            <w:r>
              <w:rPr>
                <w:b/>
                <w:bCs/>
                <w:sz w:val="18"/>
              </w:rPr>
              <w:t xml:space="preserve">Shahin Mohammadi, Cytognosis Foundation, with IPAI.</w:t>
            </w:r>
            <w:r>
              <w:rPr>
                <w:sz w:val="18"/>
              </w:rPr>
              <w:t xml:space="preserve"> </w:t>
            </w:r>
            <w:r>
              <w:rPr>
                <w:sz w:val="18"/>
              </w:rPr>
              <w:t xml:space="preserve">Single-cell atlases, causal and perturbation modeling, psychiatric genetics; co-author, schizophrenia single-cell atlas</w:t>
            </w:r>
          </w:p>
        </w:tc>
        <w:tc>
          <w:tcPr>
            <w:tcW w:w="2060" w:type="dxa"/>
          </w:tcPr>
          <w:p>
            <w:pPr>
              <w:pStyle w:val="Compact"/>
              <w:spacing w:before="0" w:after="0" w:line="230" w:lineRule="exact"/>
              <w:rPr>
                <w:sz w:val="18"/>
                <w:szCs w:val="18"/>
              </w:rPr>
            </w:pPr>
            <w:r>
              <w:rPr>
                <w:sz w:val="18"/>
              </w:rPr>
              <w:t xml:space="preserve">Confirmed</w:t>
            </w:r>
          </w:p>
        </w:tc>
      </w:tr>
      <w:tr>
        <w:tc>
          <w:tcPr>
            <w:tcW w:w="2620" w:type="dxa"/>
          </w:tcPr>
          <w:p>
            <w:pPr>
              <w:pStyle w:val="Compact"/>
              <w:spacing w:before="0" w:after="0" w:line="230" w:lineRule="exact"/>
              <w:rPr>
                <w:sz w:val="18"/>
                <w:szCs w:val="18"/>
              </w:rPr>
            </w:pPr>
            <w:r>
              <w:rPr>
                <w:sz w:val="18"/>
              </w:rPr>
              <w:t xml:space="preserve">Experimental disease modeling (academic execution arm)</w:t>
            </w:r>
          </w:p>
        </w:tc>
        <w:tc>
          <w:tcPr>
            <w:tcW w:w="4680" w:type="dxa"/>
          </w:tcPr>
          <w:p>
            <w:pPr>
              <w:pStyle w:val="Compact"/>
              <w:spacing w:before="0" w:after="0" w:line="230" w:lineRule="exact"/>
              <w:rPr>
                <w:sz w:val="18"/>
                <w:szCs w:val="18"/>
              </w:rPr>
            </w:pPr>
            <w:r>
              <w:rPr>
                <w:b/>
                <w:bCs/>
                <w:sz w:val="18"/>
              </w:rPr>
              <w:t xml:space="preserve">Matthew Tegtmeyer lab, Purdue.</w:t>
            </w:r>
            <w:r>
              <w:rPr>
                <w:sz w:val="18"/>
              </w:rPr>
              <w:t xml:space="preserve"> </w:t>
            </w:r>
            <w:r>
              <w:rPr>
                <w:sz w:val="18"/>
              </w:rPr>
              <w:t xml:space="preserve">iPSC-derived NGN2 neuron disease models, 22q11.2 phenomics and transcriptomics, fixed-cell high-plex multi-modal readouts</w:t>
            </w:r>
          </w:p>
        </w:tc>
        <w:tc>
          <w:tcPr>
            <w:tcW w:w="2060" w:type="dxa"/>
          </w:tcPr>
          <w:p>
            <w:pPr>
              <w:pStyle w:val="Compact"/>
              <w:spacing w:before="0" w:after="0" w:line="230" w:lineRule="exact"/>
              <w:rPr>
                <w:sz w:val="18"/>
                <w:szCs w:val="18"/>
              </w:rPr>
            </w:pPr>
            <w:r>
              <w:rPr>
                <w:sz w:val="18"/>
              </w:rPr>
              <w:t xml:space="preserve">Confirmed</w:t>
            </w:r>
          </w:p>
        </w:tc>
      </w:tr>
      <w:tr>
        <w:tc>
          <w:tcPr>
            <w:tcW w:w="2620" w:type="dxa"/>
          </w:tcPr>
          <w:p>
            <w:pPr>
              <w:pStyle w:val="Compact"/>
              <w:spacing w:before="0" w:after="0" w:line="230" w:lineRule="exact"/>
              <w:rPr>
                <w:sz w:val="18"/>
                <w:szCs w:val="18"/>
              </w:rPr>
            </w:pPr>
            <w:r>
              <w:rPr>
                <w:sz w:val="18"/>
              </w:rPr>
              <w:t xml:space="preserve">Computational morphology and imaging models</w:t>
            </w:r>
          </w:p>
        </w:tc>
        <w:tc>
          <w:tcPr>
            <w:tcW w:w="4680" w:type="dxa"/>
          </w:tcPr>
          <w:p>
            <w:pPr>
              <w:pStyle w:val="Compact"/>
              <w:spacing w:before="0" w:after="0" w:line="230" w:lineRule="exact"/>
              <w:rPr>
                <w:sz w:val="18"/>
                <w:szCs w:val="18"/>
              </w:rPr>
            </w:pPr>
            <w:r>
              <w:rPr>
                <w:b/>
                <w:bCs/>
                <w:sz w:val="18"/>
              </w:rPr>
              <w:t xml:space="preserve">Anne Carpenter, IPAI/Purdue.</w:t>
            </w:r>
            <w:r>
              <w:rPr>
                <w:sz w:val="18"/>
              </w:rPr>
              <w:t xml:space="preserve"> </w:t>
            </w:r>
            <w:r>
              <w:rPr>
                <w:sz w:val="18"/>
              </w:rPr>
              <w:t xml:space="preserve">Inventor of Cell Painting and CellProfiler; interpretable morphology and cellular-imaging models; common analysis layer across the execution arms (no wet bench)</w:t>
            </w:r>
          </w:p>
        </w:tc>
        <w:tc>
          <w:tcPr>
            <w:tcW w:w="2060" w:type="dxa"/>
          </w:tcPr>
          <w:p>
            <w:pPr>
              <w:pStyle w:val="Compact"/>
              <w:spacing w:before="0" w:after="0" w:line="230" w:lineRule="exact"/>
              <w:rPr>
                <w:sz w:val="18"/>
                <w:szCs w:val="18"/>
              </w:rPr>
            </w:pPr>
            <w:r>
              <w:rPr>
                <w:sz w:val="18"/>
              </w:rPr>
              <w:t xml:space="preserve">Confirmed</w:t>
            </w:r>
          </w:p>
        </w:tc>
      </w:tr>
      <w:tr>
        <w:tc>
          <w:tcPr>
            <w:tcW w:w="2620" w:type="dxa"/>
          </w:tcPr>
          <w:p>
            <w:pPr>
              <w:pStyle w:val="Compact"/>
              <w:spacing w:before="0" w:after="0" w:line="230" w:lineRule="exact"/>
              <w:rPr>
                <w:sz w:val="18"/>
                <w:szCs w:val="18"/>
              </w:rPr>
            </w:pPr>
            <w:r>
              <w:rPr>
                <w:sz w:val="18"/>
              </w:rPr>
              <w:t xml:space="preserve">Clinical and translational disease modeling</w:t>
            </w:r>
          </w:p>
        </w:tc>
        <w:tc>
          <w:tcPr>
            <w:tcW w:w="4680" w:type="dxa"/>
          </w:tcPr>
          <w:p>
            <w:pPr>
              <w:pStyle w:val="Compact"/>
              <w:spacing w:before="0" w:after="0" w:line="230" w:lineRule="exact"/>
              <w:rPr>
                <w:sz w:val="18"/>
                <w:szCs w:val="18"/>
              </w:rPr>
            </w:pPr>
            <w:r>
              <w:rPr>
                <w:b/>
                <w:bCs/>
                <w:sz w:val="18"/>
              </w:rPr>
              <w:t xml:space="preserve">W. Brad Ruzicka, McLean Hospital and HMS.</w:t>
            </w:r>
            <w:r>
              <w:rPr>
                <w:sz w:val="18"/>
              </w:rPr>
              <w:t xml:space="preserve"> </w:t>
            </w:r>
            <w:r>
              <w:rPr>
                <w:sz w:val="18"/>
              </w:rPr>
              <w:t xml:space="preserve">Psychiatric single-cell genomics, cohort interpretation, and data governance</w:t>
            </w:r>
          </w:p>
        </w:tc>
        <w:tc>
          <w:tcPr>
            <w:tcW w:w="2060" w:type="dxa"/>
          </w:tcPr>
          <w:p>
            <w:pPr>
              <w:pStyle w:val="Compact"/>
              <w:spacing w:before="0" w:after="0" w:line="230" w:lineRule="exact"/>
              <w:rPr>
                <w:sz w:val="18"/>
                <w:szCs w:val="18"/>
              </w:rPr>
            </w:pPr>
            <w:r>
              <w:rPr>
                <w:sz w:val="18"/>
              </w:rPr>
              <w:t xml:space="preserve">Confirmed</w:t>
            </w:r>
          </w:p>
        </w:tc>
      </w:tr>
      <w:tr>
        <w:tc>
          <w:tcPr>
            <w:tcW w:w="2620" w:type="dxa"/>
          </w:tcPr>
          <w:p>
            <w:pPr>
              <w:pStyle w:val="Compact"/>
              <w:spacing w:before="0" w:after="0" w:line="230" w:lineRule="exact"/>
              <w:rPr>
                <w:sz w:val="18"/>
                <w:szCs w:val="18"/>
              </w:rPr>
            </w:pPr>
            <w:r>
              <w:rPr>
                <w:sz w:val="18"/>
              </w:rPr>
              <w:t xml:space="preserve">Interoperable perturbation protocols; semantic foundation (co-lead)</w:t>
            </w:r>
          </w:p>
        </w:tc>
        <w:tc>
          <w:tcPr>
            <w:tcW w:w="4680" w:type="dxa"/>
          </w:tcPr>
          <w:p>
            <w:pPr>
              <w:pStyle w:val="Compact"/>
              <w:spacing w:before="0" w:after="0" w:line="230" w:lineRule="exact"/>
              <w:rPr>
                <w:sz w:val="18"/>
                <w:szCs w:val="18"/>
              </w:rPr>
            </w:pPr>
            <w:r>
              <w:rPr>
                <w:b/>
                <w:bCs/>
                <w:sz w:val="18"/>
              </w:rPr>
              <w:t xml:space="preserve">SIFT; Daniel Bryce (lead), Robert Goldman (advisory).</w:t>
            </w:r>
            <w:r>
              <w:rPr>
                <w:sz w:val="18"/>
              </w:rPr>
              <w:t xml:space="preserve"> </w:t>
            </w:r>
            <w:r>
              <w:rPr>
                <w:sz w:val="18"/>
              </w:rPr>
              <w:t xml:space="preserve">LabOP co-authors; protocol semantics, automated planning, and standards delivery</w:t>
            </w:r>
          </w:p>
        </w:tc>
        <w:tc>
          <w:tcPr>
            <w:tcW w:w="2060" w:type="dxa"/>
          </w:tcPr>
          <w:p>
            <w:pPr>
              <w:pStyle w:val="Compact"/>
              <w:spacing w:before="0" w:after="0" w:line="230" w:lineRule="exact"/>
              <w:rPr>
                <w:sz w:val="18"/>
                <w:szCs w:val="18"/>
              </w:rPr>
            </w:pPr>
            <w:r>
              <w:rPr>
                <w:sz w:val="18"/>
              </w:rPr>
              <w:t xml:space="preserve">Confirmed</w:t>
            </w:r>
          </w:p>
        </w:tc>
      </w:tr>
      <w:tr>
        <w:tc>
          <w:tcPr>
            <w:tcW w:w="2620" w:type="dxa"/>
          </w:tcPr>
          <w:p>
            <w:pPr>
              <w:pStyle w:val="Compact"/>
              <w:spacing w:before="0" w:after="0" w:line="230" w:lineRule="exact"/>
              <w:rPr>
                <w:sz w:val="18"/>
                <w:szCs w:val="18"/>
              </w:rPr>
            </w:pPr>
            <w:r>
              <w:rPr>
                <w:sz w:val="18"/>
              </w:rPr>
              <w:t xml:space="preserve">Software and Systems Architect</w:t>
            </w:r>
          </w:p>
        </w:tc>
        <w:tc>
          <w:tcPr>
            <w:tcW w:w="4680" w:type="dxa"/>
          </w:tcPr>
          <w:p>
            <w:pPr>
              <w:pStyle w:val="Compact"/>
              <w:spacing w:before="0" w:after="0" w:line="230" w:lineRule="exact"/>
              <w:rPr>
                <w:sz w:val="18"/>
                <w:szCs w:val="18"/>
              </w:rPr>
            </w:pPr>
            <w:r>
              <w:rPr>
                <w:b/>
                <w:bCs/>
                <w:sz w:val="18"/>
              </w:rPr>
              <w:t xml:space="preserve">Cytognosis hire (recruiting); IPAI interim (Elham Jebalbarezi Sarbijan).</w:t>
            </w:r>
            <w:r>
              <w:rPr>
                <w:sz w:val="18"/>
              </w:rPr>
              <w:t xml:space="preserve"> </w:t>
            </w:r>
            <w:r>
              <w:rPr>
                <w:sz w:val="18"/>
              </w:rPr>
              <w:t xml:space="preserve">Interoperability and open-source systems architecture</w:t>
            </w:r>
          </w:p>
        </w:tc>
        <w:tc>
          <w:tcPr>
            <w:tcW w:w="2060" w:type="dxa"/>
          </w:tcPr>
          <w:p>
            <w:pPr>
              <w:pStyle w:val="Compact"/>
              <w:spacing w:before="0" w:after="0" w:line="230" w:lineRule="exact"/>
              <w:rPr>
                <w:sz w:val="18"/>
                <w:szCs w:val="18"/>
              </w:rPr>
            </w:pPr>
            <w:r>
              <w:rPr>
                <w:sz w:val="18"/>
              </w:rPr>
              <w:t xml:space="preserve">Recruiting</w:t>
            </w:r>
          </w:p>
        </w:tc>
      </w:tr>
      <w:tr>
        <w:tc>
          <w:tcPr>
            <w:tcW w:w="2620" w:type="dxa"/>
          </w:tcPr>
          <w:p>
            <w:pPr>
              <w:pStyle w:val="Compact"/>
              <w:spacing w:before="0" w:after="0" w:line="230" w:lineRule="exact"/>
              <w:rPr>
                <w:sz w:val="18"/>
                <w:szCs w:val="18"/>
              </w:rPr>
            </w:pPr>
            <w:r>
              <w:rPr>
                <w:sz w:val="18"/>
              </w:rPr>
              <w:t xml:space="preserve">Project Manager</w:t>
            </w:r>
          </w:p>
        </w:tc>
        <w:tc>
          <w:tcPr>
            <w:tcW w:w="4680" w:type="dxa"/>
          </w:tcPr>
          <w:p>
            <w:pPr>
              <w:pStyle w:val="Compact"/>
              <w:spacing w:before="0" w:after="0" w:line="230" w:lineRule="exact"/>
              <w:rPr>
                <w:sz w:val="18"/>
                <w:szCs w:val="18"/>
              </w:rPr>
            </w:pPr>
            <w:r>
              <w:rPr>
                <w:b/>
                <w:bCs/>
                <w:sz w:val="18"/>
              </w:rPr>
              <w:t xml:space="preserve">Patricia Purcell (hired via Cytognosis).</w:t>
            </w:r>
            <w:r>
              <w:rPr>
                <w:sz w:val="18"/>
              </w:rPr>
              <w:t xml:space="preserve"> </w:t>
            </w:r>
            <w:r>
              <w:rPr>
                <w:sz w:val="18"/>
              </w:rPr>
              <w:t xml:space="preserve">Multi-team program and delivery management</w:t>
            </w:r>
          </w:p>
        </w:tc>
        <w:tc>
          <w:tcPr>
            <w:tcW w:w="2060" w:type="dxa"/>
          </w:tcPr>
          <w:p>
            <w:pPr>
              <w:pStyle w:val="Compact"/>
              <w:spacing w:before="0" w:after="0" w:line="230" w:lineRule="exact"/>
              <w:rPr>
                <w:sz w:val="18"/>
                <w:szCs w:val="18"/>
              </w:rPr>
            </w:pPr>
            <w:r>
              <w:rPr>
                <w:sz w:val="18"/>
              </w:rPr>
              <w:t xml:space="preserve">Confirmed</w:t>
            </w:r>
          </w:p>
        </w:tc>
      </w:tr>
      <w:tr>
        <w:tc>
          <w:tcPr>
            <w:tcW w:w="2620" w:type="dxa"/>
          </w:tcPr>
          <w:p>
            <w:pPr>
              <w:pStyle w:val="Compact"/>
              <w:spacing w:before="0" w:after="0" w:line="230" w:lineRule="exact"/>
              <w:rPr>
                <w:sz w:val="18"/>
                <w:szCs w:val="18"/>
              </w:rPr>
            </w:pPr>
            <w:r>
              <w:rPr>
                <w:sz w:val="18"/>
              </w:rPr>
              <w:t xml:space="preserve">Experimental execution (industry arm)</w:t>
            </w:r>
          </w:p>
        </w:tc>
        <w:tc>
          <w:tcPr>
            <w:tcW w:w="4680" w:type="dxa"/>
          </w:tcPr>
          <w:p>
            <w:pPr>
              <w:pStyle w:val="Compact"/>
              <w:spacing w:before="0" w:after="0" w:line="230" w:lineRule="exact"/>
              <w:rPr>
                <w:sz w:val="18"/>
                <w:szCs w:val="18"/>
              </w:rPr>
            </w:pPr>
            <w:r>
              <w:rPr>
                <w:b/>
                <w:bCs/>
                <w:sz w:val="18"/>
              </w:rPr>
              <w:t xml:space="preserve">Cellanome.</w:t>
            </w:r>
            <w:r>
              <w:rPr>
                <w:sz w:val="18"/>
              </w:rPr>
              <w:t xml:space="preserve"> </w:t>
            </w:r>
            <w:r>
              <w:rPr>
                <w:sz w:val="18"/>
              </w:rPr>
              <w:t xml:space="preserve">Live-cell imaging, same-cell scRNA-seq and Perturb-seq (R3200)</w:t>
            </w:r>
          </w:p>
        </w:tc>
        <w:tc>
          <w:tcPr>
            <w:tcW w:w="2060" w:type="dxa"/>
          </w:tcPr>
          <w:p>
            <w:pPr>
              <w:pStyle w:val="Compact"/>
              <w:spacing w:before="0" w:after="0" w:line="230" w:lineRule="exact"/>
              <w:rPr>
                <w:sz w:val="18"/>
                <w:szCs w:val="18"/>
              </w:rPr>
            </w:pPr>
            <w:r>
              <w:rPr>
                <w:sz w:val="18"/>
              </w:rPr>
              <w:t xml:space="preserve">Confirmed (cost and partnership documents pending)</w:t>
            </w:r>
          </w:p>
        </w:tc>
      </w:tr>
      <w:tr>
        <w:tc>
          <w:tcPr>
            <w:tcW w:w="2620" w:type="dxa"/>
          </w:tcPr>
          <w:p>
            <w:pPr>
              <w:pStyle w:val="Compact"/>
              <w:spacing w:before="0" w:after="0" w:line="230" w:lineRule="exact"/>
              <w:rPr>
                <w:sz w:val="18"/>
                <w:szCs w:val="18"/>
              </w:rPr>
            </w:pPr>
            <w:r>
              <w:rPr>
                <w:sz w:val="18"/>
              </w:rPr>
              <w:t xml:space="preserve">Sequencing and cloud platform</w:t>
            </w:r>
          </w:p>
        </w:tc>
        <w:tc>
          <w:tcPr>
            <w:tcW w:w="4680" w:type="dxa"/>
          </w:tcPr>
          <w:p>
            <w:pPr>
              <w:pStyle w:val="Compact"/>
              <w:spacing w:before="0" w:after="0" w:line="230" w:lineRule="exact"/>
              <w:rPr>
                <w:sz w:val="18"/>
                <w:szCs w:val="18"/>
              </w:rPr>
            </w:pPr>
            <w:r>
              <w:rPr>
                <w:b/>
                <w:bCs/>
                <w:sz w:val="18"/>
              </w:rPr>
              <w:t xml:space="preserve">Illumina</w:t>
            </w:r>
            <w:r>
              <w:rPr>
                <w:sz w:val="18"/>
              </w:rPr>
              <w:t xml:space="preserve"> </w:t>
            </w:r>
            <w:r>
              <w:rPr>
                <w:sz w:val="18"/>
              </w:rPr>
              <w:t xml:space="preserve">(James Han, Michael Mehan)</w:t>
            </w:r>
          </w:p>
        </w:tc>
        <w:tc>
          <w:tcPr>
            <w:tcW w:w="2060" w:type="dxa"/>
          </w:tcPr>
          <w:p>
            <w:pPr>
              <w:pStyle w:val="Compact"/>
              <w:spacing w:before="0" w:after="0" w:line="230" w:lineRule="exact"/>
              <w:rPr>
                <w:sz w:val="18"/>
                <w:szCs w:val="18"/>
              </w:rPr>
            </w:pPr>
            <w:r>
              <w:rPr>
                <w:sz w:val="18"/>
              </w:rPr>
              <w:t xml:space="preserve">Optional</w:t>
            </w:r>
          </w:p>
        </w:tc>
      </w:tr>
    </w:tbl>
    <w:p>
      <w:pPr>
        <w:pStyle w:val="BodyText"/>
      </w:pPr>
      <w:r>
        <w:t xml:space="preserve">Every confirmed member sits on the critical path, and Tegtmeyer and Carpenter cover complementary, non-overlapping ground (wet-lab execution versus computational morphology and imaging-model analysis). The Project Manager and the Software and Systems Architect are distinct roles from the PI, as the ISO requires, and the disease-modeling core is staffed in-house to protect the mission-critical work.</w:t>
      </w:r>
    </w:p>
    <w:bookmarkEnd w:id="19"/>
    <w:bookmarkStart w:id="20" w:name="X99ee6034066f4aae1a570c57c43754279dda6ec"/>
    <w:p>
      <w:pPr>
        <w:pStyle w:val="Heading2"/>
        <w:pageBreakBefore/>
      </w:pPr>
      <w:r>
        <w:t xml:space="preserve">5. Basis of Estimate (not counted in the page limit)</w:t>
      </w:r>
    </w:p>
    <w:p>
      <w:pPr>
        <w:pStyle w:val="FirstParagraph"/>
      </w:pPr>
      <w:r>
        <w:t xml:space="preserve">Total request:</w:t>
      </w:r>
      <w:r>
        <w:t xml:space="preserve"> </w:t>
      </w:r>
      <m:oMath>
        <m:r>
          <m:t>50.0</m:t>
        </m:r>
        <m:r>
          <m:t>M</m:t>
        </m:r>
        <m:r>
          <m:t>o</m:t>
        </m:r>
        <m:r>
          <m:t>v</m:t>
        </m:r>
        <m:r>
          <m:t>e</m:t>
        </m:r>
        <m:r>
          <m:t>r</m:t>
        </m:r>
        <m:r>
          <m:t>60</m:t>
        </m:r>
        <m:r>
          <m:t>m</m:t>
        </m:r>
        <m:r>
          <m:t>o</m:t>
        </m:r>
        <m:r>
          <m:t>n</m:t>
        </m:r>
        <m:r>
          <m:t>t</m:t>
        </m:r>
        <m:r>
          <m:t>h</m:t>
        </m:r>
        <m:r>
          <m:t>s</m:t>
        </m:r>
        <m:r>
          <m:rPr>
            <m:sty m:val="p"/>
          </m:rPr>
          <m:t>*</m:t>
        </m:r>
        <m:r>
          <m:rPr>
            <m:sty m:val="p"/>
          </m:rPr>
          <m:t>*</m:t>
        </m:r>
        <m:r>
          <m:rPr>
            <m:sty m:val="p"/>
          </m:rPr>
          <m:t>,</m:t>
        </m:r>
        <m:r>
          <m:t>w</m:t>
        </m:r>
        <m:r>
          <m:t>i</m:t>
        </m:r>
        <m:r>
          <m:t>t</m:t>
        </m:r>
        <m:r>
          <m:t>h</m:t>
        </m:r>
        <m:r>
          <m:t> </m:t>
        </m:r>
      </m:oMath>
      <w:r>
        <w:rPr>
          <w:b/>
          <w:bCs/>
        </w:rPr>
        <w:t xml:space="preserve">4.0M Performer in-kind resource sharing for a total project value of ~</w:t>
      </w:r>
      <m:oMath>
        <m:r>
          <m:t>54.0</m:t>
        </m:r>
        <m:r>
          <m:t>M</m:t>
        </m:r>
        <m:r>
          <m:rPr>
            <m:sty m:val="p"/>
          </m:rPr>
          <m:t>.</m:t>
        </m:r>
        <m:r>
          <m:t>P</m:t>
        </m:r>
        <m:r>
          <m:t>h</m:t>
        </m:r>
        <m:r>
          <m:t>a</m:t>
        </m:r>
        <m:r>
          <m:t>s</m:t>
        </m:r>
        <m:r>
          <m:t>e</m:t>
        </m:r>
        <m:r>
          <m:t>a</m:t>
        </m:r>
        <m:r>
          <m:t>l</m:t>
        </m:r>
        <m:r>
          <m:t>l</m:t>
        </m:r>
        <m:r>
          <m:t>o</m:t>
        </m:r>
        <m:r>
          <m:t>c</m:t>
        </m:r>
        <m:r>
          <m:t>a</m:t>
        </m:r>
        <m:r>
          <m:t>t</m:t>
        </m:r>
        <m:r>
          <m:t>i</m:t>
        </m:r>
        <m:r>
          <m:t>o</m:t>
        </m:r>
        <m:r>
          <m:t>n</m:t>
        </m:r>
        <m:r>
          <m:rPr>
            <m:sty m:val="p"/>
          </m:rPr>
          <m:t>:</m:t>
        </m:r>
        <m:r>
          <m:rPr>
            <m:sty m:val="p"/>
          </m:rPr>
          <m:t>*</m:t>
        </m:r>
        <m:r>
          <m:rPr>
            <m:sty m:val="p"/>
          </m:rPr>
          <m:t>*</m:t>
        </m:r>
      </m:oMath>
      <w:r>
        <w:rPr>
          <w:b/>
          <w:bCs/>
        </w:rPr>
        <w:t xml:space="preserve">13.5M, $15.0M, $21.5M</w:t>
      </w:r>
      <w:r>
        <w:t xml:space="preserve"> </w:t>
      </w:r>
      <w:r>
        <w:t xml:space="preserve">for Phases I, II, and III. The team fields approximately 26 funded full-time-equivalents per year, ramping from about 24.5 in Phase I to about 27.8 in Phase III as the second disease area and scaled experimentation come online.</w:t>
      </w:r>
    </w:p>
    <w:p>
      <w:pPr>
        <w:pStyle w:val="BodyText"/>
      </w:pPr>
      <w:r>
        <w:rPr>
          <w:b/>
          <w:bCs/>
        </w:rPr>
        <w:t xml:space="preserve">Consolidated basis of estimate by category.</w:t>
      </w:r>
    </w:p>
    <w:tbl>
      <w:tblPr>
        <w:tblStyle w:val="Table"/>
        <w:tblW w:type="dxa" w:w="9360"/>
        <w:tblLook w:firstRow="1" w:lastRow="0" w:firstColumn="0" w:lastColumn="0" w:noHBand="0" w:noVBand="0" w:val="0020"/>
        <w:tblCellMar>
          <w:top w:w="25" w:type="dxa"/>
          <w:left w:w="80" w:type="dxa"/>
          <w:bottom w:w="25" w:type="dxa"/>
          <w:right w:w="80" w:type="dxa"/>
        </w:tblCellMar>
      </w:tblPr>
      <w:tblGrid>
        <w:gridCol w:w="2808"/>
        <w:gridCol w:w="1123"/>
        <w:gridCol w:w="5429"/>
      </w:tblGrid>
      <w:tr>
        <w:trPr>
          <w:tblHeader w:val="on"/>
        </w:trPr>
        <w:tc>
          <w:tcPr>
            <w:tcW w:w="2808" w:type="dxa"/>
          </w:tcPr>
          <w:p>
            <w:pPr>
              <w:pStyle w:val="Compact"/>
              <w:spacing w:before="0" w:after="0" w:line="230" w:lineRule="exact"/>
              <w:rPr>
                <w:sz w:val="18"/>
                <w:szCs w:val="18"/>
              </w:rPr>
            </w:pPr>
            <w:r>
              <w:rPr>
                <w:sz w:val="18"/>
              </w:rPr>
              <w:t xml:space="preserve">Category</w:t>
            </w:r>
          </w:p>
        </w:tc>
        <w:tc>
          <w:tcPr>
            <w:tcW w:w="1123" w:type="dxa"/>
          </w:tcPr>
          <w:p>
            <w:pPr>
              <w:pStyle w:val="Compact"/>
              <w:spacing w:before="0" w:after="0" w:line="230" w:lineRule="exact"/>
              <w:rPr>
                <w:sz w:val="18"/>
                <w:szCs w:val="18"/>
              </w:rPr>
            </w:pPr>
            <w:r>
              <w:rPr>
                <w:sz w:val="18"/>
              </w:rPr>
              <w:t xml:space="preserve">Amount</w:t>
            </w:r>
          </w:p>
        </w:tc>
        <w:tc>
          <w:tcPr>
            <w:tcW w:w="5429" w:type="dxa"/>
          </w:tcPr>
          <w:p>
            <w:pPr>
              <w:pStyle w:val="Compact"/>
              <w:spacing w:before="0" w:after="0" w:line="230" w:lineRule="exact"/>
              <w:rPr>
                <w:sz w:val="18"/>
                <w:szCs w:val="18"/>
              </w:rPr>
            </w:pPr>
            <w:r>
              <w:rPr>
                <w:sz w:val="18"/>
              </w:rPr>
              <w:t xml:space="preserve">Basis of estimate</w:t>
            </w:r>
          </w:p>
        </w:tc>
      </w:tr>
      <w:tr>
        <w:tc>
          <w:tcPr>
            <w:tcW w:w="2808" w:type="dxa"/>
          </w:tcPr>
          <w:p>
            <w:pPr>
              <w:pStyle w:val="Compact"/>
              <w:spacing w:before="0" w:after="0" w:line="230" w:lineRule="exact"/>
              <w:rPr>
                <w:sz w:val="18"/>
                <w:szCs w:val="18"/>
              </w:rPr>
            </w:pPr>
            <w:r>
              <w:rPr>
                <w:sz w:val="18"/>
              </w:rPr>
              <w:t xml:space="preserve">Direct labor (fully burdened, ~147,000 hours)</w:t>
            </w:r>
          </w:p>
        </w:tc>
        <w:tc>
          <w:tcPr>
            <w:tcW w:w="1123" w:type="dxa"/>
          </w:tcPr>
          <w:p>
            <w:pPr>
              <w:pStyle w:val="Compact"/>
              <w:spacing w:before="0" w:after="0" w:line="230" w:lineRule="exact"/>
              <w:rPr>
                <w:sz w:val="18"/>
                <w:szCs w:val="18"/>
              </w:rPr>
            </w:pPr>
            <w:r>
              <w:rPr>
                <w:sz w:val="18"/>
              </w:rPr>
              <w:t xml:space="preserve">$22.0M</w:t>
            </w:r>
          </w:p>
        </w:tc>
        <w:tc>
          <w:tcPr>
            <w:tcW w:w="5429" w:type="dxa"/>
          </w:tcPr>
          <w:p>
            <w:pPr>
              <w:pStyle w:val="Compact"/>
              <w:spacing w:before="0" w:after="0" w:line="230" w:lineRule="exact"/>
              <w:rPr>
                <w:sz w:val="18"/>
                <w:szCs w:val="18"/>
              </w:rPr>
            </w:pPr>
            <w:r>
              <w:rPr>
                <w:sz w:val="18"/>
              </w:rPr>
              <w:t xml:space="preserve">~26 funded FTE/yr blended across performers at 2026 loaded rates; faculty at 2 to 3 person-months/yr, with postdocs, students, staff scientists, and engineers at full time</w:t>
            </w:r>
          </w:p>
        </w:tc>
      </w:tr>
      <w:tr>
        <w:tc>
          <w:tcPr>
            <w:tcW w:w="2808" w:type="dxa"/>
          </w:tcPr>
          <w:p>
            <w:pPr>
              <w:pStyle w:val="Compact"/>
              <w:spacing w:before="0" w:after="0" w:line="230" w:lineRule="exact"/>
              <w:rPr>
                <w:sz w:val="18"/>
                <w:szCs w:val="18"/>
              </w:rPr>
            </w:pPr>
            <w:r>
              <w:rPr>
                <w:sz w:val="18"/>
              </w:rPr>
              <w:t xml:space="preserve">Subcontracts and consultants</w:t>
            </w:r>
          </w:p>
        </w:tc>
        <w:tc>
          <w:tcPr>
            <w:tcW w:w="1123" w:type="dxa"/>
          </w:tcPr>
          <w:p>
            <w:pPr>
              <w:pStyle w:val="Compact"/>
              <w:spacing w:before="0" w:after="0" w:line="230" w:lineRule="exact"/>
              <w:rPr>
                <w:sz w:val="18"/>
                <w:szCs w:val="18"/>
              </w:rPr>
            </w:pPr>
            <w:r>
              <w:rPr>
                <w:sz w:val="18"/>
              </w:rPr>
              <w:t xml:space="preserve">$0.7M</w:t>
            </w:r>
          </w:p>
        </w:tc>
        <w:tc>
          <w:tcPr>
            <w:tcW w:w="5429" w:type="dxa"/>
          </w:tcPr>
          <w:p>
            <w:pPr>
              <w:pStyle w:val="Compact"/>
              <w:spacing w:before="0" w:after="0" w:line="230" w:lineRule="exact"/>
              <w:rPr>
                <w:sz w:val="18"/>
                <w:szCs w:val="18"/>
              </w:rPr>
            </w:pPr>
            <w:r>
              <w:rPr>
                <w:sz w:val="18"/>
              </w:rPr>
              <w:t xml:space="preserve">Clinical co-lead (Ruzicka) effort, biostatistics, ethics and IRB, standards consultants</w:t>
            </w:r>
          </w:p>
        </w:tc>
      </w:tr>
      <w:tr>
        <w:tc>
          <w:tcPr>
            <w:tcW w:w="2808" w:type="dxa"/>
          </w:tcPr>
          <w:p>
            <w:pPr>
              <w:pStyle w:val="Compact"/>
              <w:spacing w:before="0" w:after="0" w:line="230" w:lineRule="exact"/>
              <w:rPr>
                <w:sz w:val="18"/>
                <w:szCs w:val="18"/>
              </w:rPr>
            </w:pPr>
            <w:r>
              <w:rPr>
                <w:sz w:val="18"/>
              </w:rPr>
              <w:t xml:space="preserve">Materials and supplies</w:t>
            </w:r>
          </w:p>
        </w:tc>
        <w:tc>
          <w:tcPr>
            <w:tcW w:w="1123" w:type="dxa"/>
          </w:tcPr>
          <w:p>
            <w:pPr>
              <w:pStyle w:val="Compact"/>
              <w:spacing w:before="0" w:after="0" w:line="230" w:lineRule="exact"/>
              <w:rPr>
                <w:sz w:val="18"/>
                <w:szCs w:val="18"/>
              </w:rPr>
            </w:pPr>
            <w:r>
              <w:rPr>
                <w:sz w:val="18"/>
              </w:rPr>
              <w:t xml:space="preserve">$6.0M</w:t>
            </w:r>
          </w:p>
        </w:tc>
        <w:tc>
          <w:tcPr>
            <w:tcW w:w="5429" w:type="dxa"/>
          </w:tcPr>
          <w:p>
            <w:pPr>
              <w:pStyle w:val="Compact"/>
              <w:spacing w:before="0" w:after="0" w:line="230" w:lineRule="exact"/>
              <w:rPr>
                <w:sz w:val="18"/>
                <w:szCs w:val="18"/>
              </w:rPr>
            </w:pPr>
            <w:r>
              <w:rPr>
                <w:sz w:val="18"/>
              </w:rPr>
              <w:t xml:space="preserve">iPSC lines and NGN2 differentiation, CRISPRi/a libraries and lentivirus, Perturb-seq kits, Cell Painting reagents, sequencing consumables</w:t>
            </w:r>
          </w:p>
        </w:tc>
      </w:tr>
      <w:tr>
        <w:tc>
          <w:tcPr>
            <w:tcW w:w="2808" w:type="dxa"/>
          </w:tcPr>
          <w:p>
            <w:pPr>
              <w:pStyle w:val="Compact"/>
              <w:spacing w:before="0" w:after="0" w:line="230" w:lineRule="exact"/>
              <w:rPr>
                <w:sz w:val="18"/>
                <w:szCs w:val="18"/>
              </w:rPr>
            </w:pPr>
            <w:r>
              <w:rPr>
                <w:sz w:val="18"/>
              </w:rPr>
              <w:t xml:space="preserve">Equipment</w:t>
            </w:r>
          </w:p>
        </w:tc>
        <w:tc>
          <w:tcPr>
            <w:tcW w:w="1123" w:type="dxa"/>
          </w:tcPr>
          <w:p>
            <w:pPr>
              <w:pStyle w:val="Compact"/>
              <w:spacing w:before="0" w:after="0" w:line="230" w:lineRule="exact"/>
              <w:rPr>
                <w:sz w:val="18"/>
                <w:szCs w:val="18"/>
              </w:rPr>
            </w:pPr>
            <w:r>
              <w:rPr>
                <w:sz w:val="18"/>
              </w:rPr>
              <w:t xml:space="preserve">$2.8M</w:t>
            </w:r>
          </w:p>
        </w:tc>
        <w:tc>
          <w:tcPr>
            <w:tcW w:w="5429" w:type="dxa"/>
          </w:tcPr>
          <w:p>
            <w:pPr>
              <w:pStyle w:val="Compact"/>
              <w:spacing w:before="0" w:after="0" w:line="230" w:lineRule="exact"/>
              <w:rPr>
                <w:sz w:val="18"/>
                <w:szCs w:val="18"/>
              </w:rPr>
            </w:pPr>
            <w:r>
              <w:rPr>
                <w:sz w:val="18"/>
              </w:rPr>
              <w:t xml:space="preserve">Phase I imaging stand-up at Purdue for the Tegtmeyer wet-lab (high-content imager, confocal and calcium-imaging rig, liquid handlers), plus compute hardware; items over $10K carry vendor quotes</w:t>
            </w:r>
          </w:p>
        </w:tc>
      </w:tr>
      <w:tr>
        <w:tc>
          <w:tcPr>
            <w:tcW w:w="2808" w:type="dxa"/>
          </w:tcPr>
          <w:p>
            <w:pPr>
              <w:pStyle w:val="Compact"/>
              <w:spacing w:before="0" w:after="0" w:line="230" w:lineRule="exact"/>
              <w:rPr>
                <w:sz w:val="18"/>
                <w:szCs w:val="18"/>
              </w:rPr>
            </w:pPr>
            <w:r>
              <w:rPr>
                <w:sz w:val="18"/>
              </w:rPr>
              <w:t xml:space="preserve">Travel</w:t>
            </w:r>
          </w:p>
        </w:tc>
        <w:tc>
          <w:tcPr>
            <w:tcW w:w="1123" w:type="dxa"/>
          </w:tcPr>
          <w:p>
            <w:pPr>
              <w:pStyle w:val="Compact"/>
              <w:spacing w:before="0" w:after="0" w:line="230" w:lineRule="exact"/>
              <w:rPr>
                <w:sz w:val="18"/>
                <w:szCs w:val="18"/>
              </w:rPr>
            </w:pPr>
            <w:r>
              <w:rPr>
                <w:sz w:val="18"/>
              </w:rPr>
              <w:t xml:space="preserve">$1.0M</w:t>
            </w:r>
          </w:p>
        </w:tc>
        <w:tc>
          <w:tcPr>
            <w:tcW w:w="5429" w:type="dxa"/>
          </w:tcPr>
          <w:p>
            <w:pPr>
              <w:pStyle w:val="Compact"/>
              <w:spacing w:before="0" w:after="0" w:line="230" w:lineRule="exact"/>
              <w:rPr>
                <w:sz w:val="18"/>
                <w:szCs w:val="18"/>
              </w:rPr>
            </w:pPr>
            <w:r>
              <w:rPr>
                <w:sz w:val="18"/>
              </w:rPr>
              <w:t xml:space="preserve">DDD workshop, protocol bake-offs, Phase III connect-a-thon, biannual IV&amp;V reviews, dissemination; each trip tied to a milestone</w:t>
            </w:r>
          </w:p>
        </w:tc>
      </w:tr>
      <w:tr>
        <w:tc>
          <w:tcPr>
            <w:tcW w:w="2808" w:type="dxa"/>
          </w:tcPr>
          <w:p>
            <w:pPr>
              <w:pStyle w:val="Compact"/>
              <w:spacing w:before="0" w:after="0" w:line="230" w:lineRule="exact"/>
              <w:rPr>
                <w:sz w:val="18"/>
                <w:szCs w:val="18"/>
              </w:rPr>
            </w:pPr>
            <w:r>
              <w:rPr>
                <w:sz w:val="18"/>
              </w:rPr>
              <w:t xml:space="preserve">Other direct costs</w:t>
            </w:r>
          </w:p>
        </w:tc>
        <w:tc>
          <w:tcPr>
            <w:tcW w:w="1123" w:type="dxa"/>
          </w:tcPr>
          <w:p>
            <w:pPr>
              <w:pStyle w:val="Compact"/>
              <w:spacing w:before="0" w:after="0" w:line="230" w:lineRule="exact"/>
              <w:rPr>
                <w:sz w:val="18"/>
                <w:szCs w:val="18"/>
              </w:rPr>
            </w:pPr>
            <w:r>
              <w:rPr>
                <w:sz w:val="18"/>
              </w:rPr>
              <w:t xml:space="preserve">$7.0M</w:t>
            </w:r>
          </w:p>
        </w:tc>
        <w:tc>
          <w:tcPr>
            <w:tcW w:w="5429" w:type="dxa"/>
          </w:tcPr>
          <w:p>
            <w:pPr>
              <w:pStyle w:val="Compact"/>
              <w:spacing w:before="0" w:after="0" w:line="230" w:lineRule="exact"/>
              <w:rPr>
                <w:sz w:val="18"/>
                <w:szCs w:val="18"/>
              </w:rPr>
            </w:pPr>
            <w:r>
              <w:rPr>
                <w:sz w:val="18"/>
              </w:rPr>
              <w:t xml:space="preserve">GPU and cloud compute (disease-model training and engine inference), sequencing as a service, storage, software and API licenses, graduate tuition, part-time project management</w:t>
            </w:r>
          </w:p>
        </w:tc>
      </w:tr>
      <w:tr>
        <w:tc>
          <w:tcPr>
            <w:tcW w:w="2808" w:type="dxa"/>
          </w:tcPr>
          <w:p>
            <w:pPr>
              <w:pStyle w:val="Compact"/>
              <w:spacing w:before="0" w:after="0" w:line="230" w:lineRule="exact"/>
              <w:rPr>
                <w:sz w:val="18"/>
                <w:szCs w:val="18"/>
              </w:rPr>
            </w:pPr>
            <w:r>
              <w:rPr>
                <w:sz w:val="18"/>
              </w:rPr>
              <w:t xml:space="preserve">Indirect (F&amp;A / overhead)</w:t>
            </w:r>
          </w:p>
        </w:tc>
        <w:tc>
          <w:tcPr>
            <w:tcW w:w="1123" w:type="dxa"/>
          </w:tcPr>
          <w:p>
            <w:pPr>
              <w:pStyle w:val="Compact"/>
              <w:spacing w:before="0" w:after="0" w:line="230" w:lineRule="exact"/>
              <w:rPr>
                <w:sz w:val="18"/>
                <w:szCs w:val="18"/>
              </w:rPr>
            </w:pPr>
            <w:r>
              <w:rPr>
                <w:sz w:val="18"/>
              </w:rPr>
              <w:t xml:space="preserve">$9.0M</w:t>
            </w:r>
          </w:p>
        </w:tc>
        <w:tc>
          <w:tcPr>
            <w:tcW w:w="5429" w:type="dxa"/>
          </w:tcPr>
          <w:p>
            <w:pPr>
              <w:pStyle w:val="Compact"/>
              <w:spacing w:before="0" w:after="0" w:line="230" w:lineRule="exact"/>
              <w:rPr>
                <w:sz w:val="18"/>
                <w:szCs w:val="18"/>
              </w:rPr>
            </w:pPr>
            <w:r>
              <w:rPr>
                <w:sz w:val="18"/>
              </w:rPr>
              <w:t xml:space="preserve">Cytognosis 15% de minimis MTDC (2 CFR 200.414(f)); Purdue ~57% on-campus F&amp;A; commercial subs' overhead embedded in loaded rates</w:t>
            </w:r>
          </w:p>
        </w:tc>
      </w:tr>
      <w:tr>
        <w:tc>
          <w:tcPr>
            <w:tcW w:w="2808" w:type="dxa"/>
          </w:tcPr>
          <w:p>
            <w:pPr>
              <w:pStyle w:val="Compact"/>
              <w:spacing w:before="0" w:after="0" w:line="230" w:lineRule="exact"/>
              <w:rPr>
                <w:sz w:val="18"/>
                <w:szCs w:val="18"/>
              </w:rPr>
            </w:pPr>
            <w:r>
              <w:rPr>
                <w:sz w:val="18"/>
              </w:rPr>
              <w:t xml:space="preserve">Profit and fee</w:t>
            </w:r>
          </w:p>
        </w:tc>
        <w:tc>
          <w:tcPr>
            <w:tcW w:w="1123" w:type="dxa"/>
          </w:tcPr>
          <w:p>
            <w:pPr>
              <w:pStyle w:val="Compact"/>
              <w:spacing w:before="0" w:after="0" w:line="230" w:lineRule="exact"/>
              <w:rPr>
                <w:sz w:val="18"/>
                <w:szCs w:val="18"/>
              </w:rPr>
            </w:pPr>
            <w:r>
              <w:rPr>
                <w:sz w:val="18"/>
              </w:rPr>
              <w:t xml:space="preserve">$1.5M</w:t>
            </w:r>
          </w:p>
        </w:tc>
        <w:tc>
          <w:tcPr>
            <w:tcW w:w="5429" w:type="dxa"/>
          </w:tcPr>
          <w:p>
            <w:pPr>
              <w:pStyle w:val="Compact"/>
              <w:spacing w:before="0" w:after="0" w:line="230" w:lineRule="exact"/>
              <w:rPr>
                <w:sz w:val="18"/>
                <w:szCs w:val="18"/>
              </w:rPr>
            </w:pPr>
            <w:r>
              <w:rPr>
                <w:sz w:val="18"/>
              </w:rPr>
              <w:t xml:space="preserve">Commercial subs (SIFT, Cellanome, Illumina, Phylo) ~7 to 10% on cost base; none for non-profit or academia</w:t>
            </w:r>
          </w:p>
        </w:tc>
      </w:tr>
      <w:tr>
        <w:tc>
          <w:tcPr>
            <w:tcW w:w="2808" w:type="dxa"/>
          </w:tcPr>
          <w:p>
            <w:pPr>
              <w:pStyle w:val="Compact"/>
              <w:spacing w:before="0" w:after="0" w:line="230" w:lineRule="exact"/>
              <w:rPr>
                <w:sz w:val="18"/>
                <w:szCs w:val="18"/>
              </w:rPr>
            </w:pPr>
            <w:r>
              <w:rPr>
                <w:b/>
                <w:bCs/>
                <w:sz w:val="18"/>
              </w:rPr>
              <w:t xml:space="preserve">Total, all phases</w:t>
            </w:r>
          </w:p>
        </w:tc>
        <w:tc>
          <w:tcPr>
            <w:tcW w:w="1123" w:type="dxa"/>
          </w:tcPr>
          <w:p>
            <w:pPr>
              <w:pStyle w:val="Compact"/>
              <w:spacing w:before="0" w:after="0" w:line="230" w:lineRule="exact"/>
              <w:rPr>
                <w:sz w:val="18"/>
                <w:szCs w:val="18"/>
              </w:rPr>
            </w:pPr>
            <w:r>
              <w:rPr>
                <w:b/>
                <w:bCs/>
                <w:sz w:val="18"/>
              </w:rPr>
              <w:t xml:space="preserve">$50.0M</w:t>
            </w:r>
          </w:p>
        </w:tc>
        <w:tc>
          <w:tcPr>
            <w:tcW w:w="5429" w:type="dxa"/>
          </w:tcPr>
          <w:p>
            <w:pPr>
              <w:pStyle w:val="Compact"/>
              <w:spacing w:before="0" w:after="0" w:line="230" w:lineRule="exact"/>
              <w:rPr>
                <w:sz w:val="18"/>
                <w:szCs w:val="18"/>
              </w:rPr>
            </w:pPr>
          </w:p>
        </w:tc>
      </w:tr>
      <w:tr>
        <w:tc>
          <w:tcPr>
            <w:tcW w:w="2808" w:type="dxa"/>
          </w:tcPr>
          <w:p>
            <w:pPr>
              <w:pStyle w:val="Compact"/>
              <w:spacing w:before="0" w:after="0" w:line="230" w:lineRule="exact"/>
              <w:rPr>
                <w:sz w:val="18"/>
                <w:szCs w:val="18"/>
              </w:rPr>
            </w:pPr>
            <w:r>
              <w:rPr>
                <w:sz w:val="18"/>
              </w:rPr>
              <w:t xml:space="preserve">Resource sharing (in-kind, Performer)</w:t>
            </w:r>
          </w:p>
        </w:tc>
        <w:tc>
          <w:tcPr>
            <w:tcW w:w="1123" w:type="dxa"/>
          </w:tcPr>
          <w:p>
            <w:pPr>
              <w:pStyle w:val="Compact"/>
              <w:spacing w:before="0" w:after="0" w:line="230" w:lineRule="exact"/>
              <w:rPr>
                <w:sz w:val="18"/>
                <w:szCs w:val="18"/>
              </w:rPr>
            </w:pPr>
            <w:r>
              <w:rPr>
                <w:sz w:val="18"/>
              </w:rPr>
              <w:t xml:space="preserve">~$4.0M</w:t>
            </w:r>
          </w:p>
        </w:tc>
        <w:tc>
          <w:tcPr>
            <w:tcW w:w="5429" w:type="dxa"/>
          </w:tcPr>
          <w:p>
            <w:pPr>
              <w:pStyle w:val="Compact"/>
              <w:spacing w:before="0" w:after="0" w:line="230" w:lineRule="exact"/>
              <w:rPr>
                <w:sz w:val="18"/>
                <w:szCs w:val="18"/>
              </w:rPr>
            </w:pPr>
            <w:r>
              <w:rPr>
                <w:sz w:val="18"/>
              </w:rPr>
              <w:t xml:space="preserve">Illumina Billion Cell Atlas data and sequencing credits, Cellanome instrument access, cloud research credits, open JUMP Cell Painting reference data</w:t>
            </w:r>
          </w:p>
        </w:tc>
      </w:tr>
    </w:tbl>
    <w:p>
      <w:pPr>
        <w:pStyle w:val="BodyText"/>
      </w:pPr>
      <w:r>
        <w:rPr>
          <w:b/>
          <w:bCs/>
        </w:rPr>
        <w:t xml:space="preserve">Per-performer allocation.</w:t>
      </w:r>
      <w:r>
        <w:t xml:space="preserve"> </w:t>
      </w:r>
      <w:r>
        <w:t xml:space="preserve">Rows show total project value including in-kind and sum to ~$54.0M; the ARPA-H request is</w:t>
      </w:r>
      <w:r>
        <w:t xml:space="preserve"> </w:t>
      </w:r>
      <m:oMath>
        <m:r>
          <m:t>50.0</m:t>
        </m:r>
        <m:r>
          <m:t>M</m:t>
        </m:r>
        <m:r>
          <m:rPr>
            <m:sty m:val="p"/>
          </m:rPr>
          <m:t>(</m:t>
        </m:r>
      </m:oMath>
      <w:r>
        <w:t xml:space="preserve">13.5M / $15.0M /</w:t>
      </w:r>
      <w:r>
        <w:t xml:space="preserve"> </w:t>
      </w:r>
      <m:oMath>
        <m:r>
          <m:t>21.5</m:t>
        </m:r>
        <m:r>
          <m:t>M</m:t>
        </m:r>
        <m:r>
          <m:t>b</m:t>
        </m:r>
        <m:r>
          <m:t>y</m:t>
        </m:r>
        <m:r>
          <m:t>p</m:t>
        </m:r>
        <m:r>
          <m:t>h</m:t>
        </m:r>
        <m:r>
          <m:t>a</m:t>
        </m:r>
        <m:r>
          <m:t>s</m:t>
        </m:r>
        <m:r>
          <m:t>e</m:t>
        </m:r>
        <m:r>
          <m:rPr>
            <m:sty m:val="p"/>
          </m:rPr>
          <m:t>)</m:t>
        </m:r>
        <m:r>
          <m:rPr>
            <m:sty m:val="p"/>
          </m:rPr>
          <m:t>,</m:t>
        </m:r>
        <m:r>
          <m:t>w</m:t>
        </m:r>
        <m:r>
          <m:t>i</m:t>
        </m:r>
        <m:r>
          <m:t>t</m:t>
        </m:r>
        <m:r>
          <m:t>h</m:t>
        </m:r>
        <m:r>
          <m:t>t</m:t>
        </m:r>
        <m:r>
          <m:t>h</m:t>
        </m:r>
        <m:r>
          <m:t>e</m:t>
        </m:r>
        <m:r>
          <m:t> </m:t>
        </m:r>
      </m:oMath>
      <w:r>
        <w:t xml:space="preserve">4.0M difference being Performer in-kind embedded in the rows. Per-performer ARPA-H-only splits are itemized in the Appendix C.4 workbook (controlling).</w:t>
      </w:r>
    </w:p>
    <w:tbl>
      <w:tblPr>
        <w:tblStyle w:val="Table"/>
        <w:tblW w:type="dxa" w:w="9360"/>
        <w:tblLook w:firstRow="1" w:lastRow="0" w:firstColumn="0" w:lastColumn="0" w:noHBand="0" w:noVBand="0" w:val="0020"/>
        <w:tblCellMar>
          <w:top w:w="25" w:type="dxa"/>
          <w:left w:w="80" w:type="dxa"/>
          <w:bottom w:w="25" w:type="dxa"/>
          <w:right w:w="80" w:type="dxa"/>
        </w:tblCellMar>
      </w:tblPr>
      <w:tblGrid>
        <w:gridCol w:w="1872"/>
        <w:gridCol w:w="1872"/>
        <w:gridCol w:w="1404"/>
        <w:gridCol w:w="1404"/>
        <w:gridCol w:w="1404"/>
        <w:gridCol w:w="1404"/>
      </w:tblGrid>
      <w:tr>
        <w:trPr>
          <w:tblHeader w:val="on"/>
        </w:trPr>
        <w:tc>
          <w:tcPr>
            <w:tcW w:w="1872" w:type="dxa"/>
          </w:tcPr>
          <w:p>
            <w:pPr>
              <w:pStyle w:val="Compact"/>
              <w:spacing w:before="0" w:after="0" w:line="230" w:lineRule="exact"/>
              <w:rPr>
                <w:sz w:val="18"/>
                <w:szCs w:val="18"/>
              </w:rPr>
            </w:pPr>
            <w:r>
              <w:rPr>
                <w:sz w:val="18"/>
              </w:rPr>
              <w:t xml:space="preserve">Performer</w:t>
            </w:r>
          </w:p>
        </w:tc>
        <w:tc>
          <w:tcPr>
            <w:tcW w:w="1872" w:type="dxa"/>
          </w:tcPr>
          <w:p>
            <w:pPr>
              <w:pStyle w:val="Compact"/>
              <w:spacing w:before="0" w:after="0" w:line="230" w:lineRule="exact"/>
              <w:rPr>
                <w:sz w:val="18"/>
                <w:szCs w:val="18"/>
              </w:rPr>
            </w:pPr>
            <w:r>
              <w:rPr>
                <w:sz w:val="18"/>
              </w:rPr>
              <w:t xml:space="preserve">Role / focus</w:t>
            </w:r>
          </w:p>
        </w:tc>
        <w:tc>
          <w:tcPr>
            <w:tcW w:w="1404" w:type="dxa"/>
          </w:tcPr>
          <w:p>
            <w:pPr>
              <w:pStyle w:val="Compact"/>
              <w:spacing w:before="0" w:after="0" w:line="230" w:lineRule="exact"/>
              <w:rPr>
                <w:sz w:val="18"/>
                <w:szCs w:val="18"/>
              </w:rPr>
            </w:pPr>
            <w:r>
              <w:rPr>
                <w:sz w:val="18"/>
              </w:rPr>
              <w:t xml:space="preserve">5-yr total</w:t>
            </w:r>
          </w:p>
        </w:tc>
        <w:tc>
          <w:tcPr>
            <w:tcW w:w="1404" w:type="dxa"/>
          </w:tcPr>
          <w:p>
            <w:pPr>
              <w:pStyle w:val="Compact"/>
              <w:spacing w:before="0" w:after="0" w:line="230" w:lineRule="exact"/>
              <w:rPr>
                <w:sz w:val="18"/>
                <w:szCs w:val="18"/>
              </w:rPr>
            </w:pPr>
            <w:r>
              <w:rPr>
                <w:sz w:val="18"/>
              </w:rPr>
              <w:t xml:space="preserve">Phase I</w:t>
            </w:r>
          </w:p>
        </w:tc>
        <w:tc>
          <w:tcPr>
            <w:tcW w:w="1404" w:type="dxa"/>
          </w:tcPr>
          <w:p>
            <w:pPr>
              <w:pStyle w:val="Compact"/>
              <w:spacing w:before="0" w:after="0" w:line="230" w:lineRule="exact"/>
              <w:rPr>
                <w:sz w:val="18"/>
                <w:szCs w:val="18"/>
              </w:rPr>
            </w:pPr>
            <w:r>
              <w:rPr>
                <w:sz w:val="18"/>
              </w:rPr>
              <w:t xml:space="preserve">Phase II</w:t>
            </w:r>
          </w:p>
        </w:tc>
        <w:tc>
          <w:tcPr>
            <w:tcW w:w="1404" w:type="dxa"/>
          </w:tcPr>
          <w:p>
            <w:pPr>
              <w:pStyle w:val="Compact"/>
              <w:spacing w:before="0" w:after="0" w:line="230" w:lineRule="exact"/>
              <w:rPr>
                <w:sz w:val="18"/>
                <w:szCs w:val="18"/>
              </w:rPr>
            </w:pPr>
            <w:r>
              <w:rPr>
                <w:sz w:val="18"/>
              </w:rPr>
              <w:t xml:space="preserve">Phase III</w:t>
            </w:r>
          </w:p>
        </w:tc>
      </w:tr>
      <w:tr>
        <w:tc>
          <w:tcPr>
            <w:tcW w:w="1872" w:type="dxa"/>
          </w:tcPr>
          <w:p>
            <w:pPr>
              <w:pStyle w:val="Compact"/>
              <w:spacing w:before="0" w:after="0" w:line="230" w:lineRule="exact"/>
              <w:rPr>
                <w:sz w:val="18"/>
                <w:szCs w:val="18"/>
              </w:rPr>
            </w:pPr>
            <w:r>
              <w:rPr>
                <w:sz w:val="18"/>
              </w:rPr>
              <w:t xml:space="preserve">IPAI / Purdue (Prime)</w:t>
            </w:r>
          </w:p>
        </w:tc>
        <w:tc>
          <w:tcPr>
            <w:tcW w:w="1872" w:type="dxa"/>
          </w:tcPr>
          <w:p>
            <w:pPr>
              <w:pStyle w:val="Compact"/>
              <w:spacing w:before="0" w:after="0" w:line="230" w:lineRule="exact"/>
              <w:rPr>
                <w:sz w:val="18"/>
                <w:szCs w:val="18"/>
              </w:rPr>
            </w:pPr>
            <w:r>
              <w:rPr>
                <w:sz w:val="18"/>
              </w:rPr>
              <w:t xml:space="preserve">Coordination, PI, software architecture, modeling and engine support, in-house academic execution arm: Tegtmeyer (iPSC-neuron with fixed-cell high-plex readouts), Carpenter (computational morphology and imaging models; Anne in-house, no separate Broad sub-award)</w:t>
            </w:r>
          </w:p>
        </w:tc>
        <w:tc>
          <w:tcPr>
            <w:tcW w:w="1404" w:type="dxa"/>
          </w:tcPr>
          <w:p>
            <w:pPr>
              <w:pStyle w:val="Compact"/>
              <w:spacing w:before="0" w:after="0" w:line="230" w:lineRule="exact"/>
              <w:rPr>
                <w:sz w:val="18"/>
                <w:szCs w:val="18"/>
              </w:rPr>
            </w:pPr>
            <w:r>
              <w:rPr>
                <w:sz w:val="18"/>
              </w:rPr>
              <w:t xml:space="preserve">$15.5M</w:t>
            </w:r>
          </w:p>
        </w:tc>
        <w:tc>
          <w:tcPr>
            <w:tcW w:w="1404" w:type="dxa"/>
          </w:tcPr>
          <w:p>
            <w:pPr>
              <w:pStyle w:val="Compact"/>
              <w:spacing w:before="0" w:after="0" w:line="230" w:lineRule="exact"/>
              <w:rPr>
                <w:sz w:val="18"/>
                <w:szCs w:val="18"/>
              </w:rPr>
            </w:pPr>
            <w:r>
              <w:rPr>
                <w:sz w:val="18"/>
              </w:rPr>
              <w:t xml:space="preserve">$4.5M</w:t>
            </w:r>
          </w:p>
        </w:tc>
        <w:tc>
          <w:tcPr>
            <w:tcW w:w="1404" w:type="dxa"/>
          </w:tcPr>
          <w:p>
            <w:pPr>
              <w:pStyle w:val="Compact"/>
              <w:spacing w:before="0" w:after="0" w:line="230" w:lineRule="exact"/>
              <w:rPr>
                <w:sz w:val="18"/>
                <w:szCs w:val="18"/>
              </w:rPr>
            </w:pPr>
            <w:r>
              <w:rPr>
                <w:sz w:val="18"/>
              </w:rPr>
              <w:t xml:space="preserve">$4.4M</w:t>
            </w:r>
          </w:p>
        </w:tc>
        <w:tc>
          <w:tcPr>
            <w:tcW w:w="1404" w:type="dxa"/>
          </w:tcPr>
          <w:p>
            <w:pPr>
              <w:pStyle w:val="Compact"/>
              <w:spacing w:before="0" w:after="0" w:line="230" w:lineRule="exact"/>
              <w:rPr>
                <w:sz w:val="18"/>
                <w:szCs w:val="18"/>
              </w:rPr>
            </w:pPr>
            <w:r>
              <w:rPr>
                <w:sz w:val="18"/>
              </w:rPr>
              <w:t xml:space="preserve">$6.6M</w:t>
            </w:r>
          </w:p>
        </w:tc>
      </w:tr>
      <w:tr>
        <w:tc>
          <w:tcPr>
            <w:tcW w:w="1872" w:type="dxa"/>
          </w:tcPr>
          <w:p>
            <w:pPr>
              <w:pStyle w:val="Compact"/>
              <w:spacing w:before="0" w:after="0" w:line="230" w:lineRule="exact"/>
              <w:rPr>
                <w:sz w:val="18"/>
                <w:szCs w:val="18"/>
              </w:rPr>
            </w:pPr>
            <w:r>
              <w:rPr>
                <w:sz w:val="18"/>
              </w:rPr>
              <w:t xml:space="preserve">Cytognosis (sub)</w:t>
            </w:r>
          </w:p>
        </w:tc>
        <w:tc>
          <w:tcPr>
            <w:tcW w:w="1872" w:type="dxa"/>
          </w:tcPr>
          <w:p>
            <w:pPr>
              <w:pStyle w:val="Compact"/>
              <w:spacing w:before="0" w:after="0" w:line="230" w:lineRule="exact"/>
              <w:rPr>
                <w:sz w:val="18"/>
                <w:szCs w:val="18"/>
              </w:rPr>
            </w:pPr>
            <w:r>
              <w:rPr>
                <w:sz w:val="18"/>
              </w:rPr>
              <w:t xml:space="preserve">Disease-model and engine co-leads; computational and AI core</w:t>
            </w:r>
          </w:p>
        </w:tc>
        <w:tc>
          <w:tcPr>
            <w:tcW w:w="1404" w:type="dxa"/>
          </w:tcPr>
          <w:p>
            <w:pPr>
              <w:pStyle w:val="Compact"/>
              <w:spacing w:before="0" w:after="0" w:line="230" w:lineRule="exact"/>
              <w:rPr>
                <w:sz w:val="18"/>
                <w:szCs w:val="18"/>
              </w:rPr>
            </w:pPr>
            <w:r>
              <w:rPr>
                <w:sz w:val="18"/>
              </w:rPr>
              <w:t xml:space="preserve">$14.0M</w:t>
            </w:r>
          </w:p>
        </w:tc>
        <w:tc>
          <w:tcPr>
            <w:tcW w:w="1404" w:type="dxa"/>
          </w:tcPr>
          <w:p>
            <w:pPr>
              <w:pStyle w:val="Compact"/>
              <w:spacing w:before="0" w:after="0" w:line="230" w:lineRule="exact"/>
              <w:rPr>
                <w:sz w:val="18"/>
                <w:szCs w:val="18"/>
              </w:rPr>
            </w:pPr>
            <w:r>
              <w:rPr>
                <w:sz w:val="18"/>
              </w:rPr>
              <w:t xml:space="preserve">$4.0M</w:t>
            </w:r>
          </w:p>
        </w:tc>
        <w:tc>
          <w:tcPr>
            <w:tcW w:w="1404" w:type="dxa"/>
          </w:tcPr>
          <w:p>
            <w:pPr>
              <w:pStyle w:val="Compact"/>
              <w:spacing w:before="0" w:after="0" w:line="230" w:lineRule="exact"/>
              <w:rPr>
                <w:sz w:val="18"/>
                <w:szCs w:val="18"/>
              </w:rPr>
            </w:pPr>
            <w:r>
              <w:rPr>
                <w:sz w:val="18"/>
              </w:rPr>
              <w:t xml:space="preserve">$4.2M</w:t>
            </w:r>
          </w:p>
        </w:tc>
        <w:tc>
          <w:tcPr>
            <w:tcW w:w="1404" w:type="dxa"/>
          </w:tcPr>
          <w:p>
            <w:pPr>
              <w:pStyle w:val="Compact"/>
              <w:spacing w:before="0" w:after="0" w:line="230" w:lineRule="exact"/>
              <w:rPr>
                <w:sz w:val="18"/>
                <w:szCs w:val="18"/>
              </w:rPr>
            </w:pPr>
            <w:r>
              <w:rPr>
                <w:sz w:val="18"/>
              </w:rPr>
              <w:t xml:space="preserve">$5.8M</w:t>
            </w:r>
          </w:p>
        </w:tc>
      </w:tr>
      <w:tr>
        <w:tc>
          <w:tcPr>
            <w:tcW w:w="1872" w:type="dxa"/>
          </w:tcPr>
          <w:p>
            <w:pPr>
              <w:pStyle w:val="Compact"/>
              <w:spacing w:before="0" w:after="0" w:line="230" w:lineRule="exact"/>
              <w:rPr>
                <w:sz w:val="18"/>
                <w:szCs w:val="18"/>
              </w:rPr>
            </w:pPr>
            <w:r>
              <w:rPr>
                <w:sz w:val="18"/>
              </w:rPr>
              <w:t xml:space="preserve">SIFT (sub)</w:t>
            </w:r>
          </w:p>
        </w:tc>
        <w:tc>
          <w:tcPr>
            <w:tcW w:w="1872" w:type="dxa"/>
          </w:tcPr>
          <w:p>
            <w:pPr>
              <w:pStyle w:val="Compact"/>
              <w:spacing w:before="0" w:after="0" w:line="230" w:lineRule="exact"/>
              <w:rPr>
                <w:sz w:val="18"/>
                <w:szCs w:val="18"/>
              </w:rPr>
            </w:pPr>
            <w:r>
              <w:rPr>
                <w:sz w:val="18"/>
              </w:rPr>
              <w:t xml:space="preserve">Interoperable perturbation protocols lead (LabOP stack); scoped value-of-information layer</w:t>
            </w:r>
          </w:p>
        </w:tc>
        <w:tc>
          <w:tcPr>
            <w:tcW w:w="1404" w:type="dxa"/>
          </w:tcPr>
          <w:p>
            <w:pPr>
              <w:pStyle w:val="Compact"/>
              <w:spacing w:before="0" w:after="0" w:line="230" w:lineRule="exact"/>
              <w:rPr>
                <w:sz w:val="18"/>
                <w:szCs w:val="18"/>
              </w:rPr>
            </w:pPr>
            <w:r>
              <w:rPr>
                <w:sz w:val="18"/>
              </w:rPr>
              <w:t xml:space="preserve">$5.0M</w:t>
            </w:r>
          </w:p>
        </w:tc>
        <w:tc>
          <w:tcPr>
            <w:tcW w:w="1404" w:type="dxa"/>
          </w:tcPr>
          <w:p>
            <w:pPr>
              <w:pStyle w:val="Compact"/>
              <w:spacing w:before="0" w:after="0" w:line="230" w:lineRule="exact"/>
              <w:rPr>
                <w:sz w:val="18"/>
                <w:szCs w:val="18"/>
              </w:rPr>
            </w:pPr>
            <w:r>
              <w:rPr>
                <w:sz w:val="18"/>
              </w:rPr>
              <w:t xml:space="preserve">$1.5M</w:t>
            </w:r>
          </w:p>
        </w:tc>
        <w:tc>
          <w:tcPr>
            <w:tcW w:w="1404" w:type="dxa"/>
          </w:tcPr>
          <w:p>
            <w:pPr>
              <w:pStyle w:val="Compact"/>
              <w:spacing w:before="0" w:after="0" w:line="230" w:lineRule="exact"/>
              <w:rPr>
                <w:sz w:val="18"/>
                <w:szCs w:val="18"/>
              </w:rPr>
            </w:pPr>
            <w:r>
              <w:rPr>
                <w:sz w:val="18"/>
              </w:rPr>
              <w:t xml:space="preserve">$1.5M</w:t>
            </w:r>
          </w:p>
        </w:tc>
        <w:tc>
          <w:tcPr>
            <w:tcW w:w="1404" w:type="dxa"/>
          </w:tcPr>
          <w:p>
            <w:pPr>
              <w:pStyle w:val="Compact"/>
              <w:spacing w:before="0" w:after="0" w:line="230" w:lineRule="exact"/>
              <w:rPr>
                <w:sz w:val="18"/>
                <w:szCs w:val="18"/>
              </w:rPr>
            </w:pPr>
            <w:r>
              <w:rPr>
                <w:sz w:val="18"/>
              </w:rPr>
              <w:t xml:space="preserve">$2.0M</w:t>
            </w:r>
          </w:p>
        </w:tc>
      </w:tr>
      <w:tr>
        <w:tc>
          <w:tcPr>
            <w:tcW w:w="1872" w:type="dxa"/>
          </w:tcPr>
          <w:p>
            <w:pPr>
              <w:pStyle w:val="Compact"/>
              <w:spacing w:before="0" w:after="0" w:line="230" w:lineRule="exact"/>
              <w:rPr>
                <w:sz w:val="18"/>
                <w:szCs w:val="18"/>
              </w:rPr>
            </w:pPr>
            <w:r>
              <w:rPr>
                <w:sz w:val="18"/>
              </w:rPr>
              <w:t xml:space="preserve">Cellanome (sub)</w:t>
            </w:r>
          </w:p>
        </w:tc>
        <w:tc>
          <w:tcPr>
            <w:tcW w:w="1872" w:type="dxa"/>
          </w:tcPr>
          <w:p>
            <w:pPr>
              <w:pStyle w:val="Compact"/>
              <w:spacing w:before="0" w:after="0" w:line="230" w:lineRule="exact"/>
              <w:rPr>
                <w:sz w:val="18"/>
                <w:szCs w:val="18"/>
              </w:rPr>
            </w:pPr>
            <w:r>
              <w:rPr>
                <w:sz w:val="18"/>
              </w:rPr>
              <w:t xml:space="preserve">Industry execution arm, live-cell and Perturb-seq (confirmed; cost and partnership docs pending; held pending June 23 response and capex-vs-opex decision)</w:t>
            </w:r>
          </w:p>
        </w:tc>
        <w:tc>
          <w:tcPr>
            <w:tcW w:w="1404" w:type="dxa"/>
          </w:tcPr>
          <w:p>
            <w:pPr>
              <w:pStyle w:val="Compact"/>
              <w:spacing w:before="0" w:after="0" w:line="230" w:lineRule="exact"/>
              <w:rPr>
                <w:sz w:val="18"/>
                <w:szCs w:val="18"/>
              </w:rPr>
            </w:pPr>
            <w:r>
              <w:rPr>
                <w:sz w:val="18"/>
              </w:rPr>
              <w:t xml:space="preserve">$8.0M</w:t>
            </w:r>
          </w:p>
        </w:tc>
        <w:tc>
          <w:tcPr>
            <w:tcW w:w="1404" w:type="dxa"/>
          </w:tcPr>
          <w:p>
            <w:pPr>
              <w:pStyle w:val="Compact"/>
              <w:spacing w:before="0" w:after="0" w:line="230" w:lineRule="exact"/>
              <w:rPr>
                <w:sz w:val="18"/>
                <w:szCs w:val="18"/>
              </w:rPr>
            </w:pPr>
            <w:r>
              <w:rPr>
                <w:sz w:val="18"/>
              </w:rPr>
              <w:t xml:space="preserve">$2.0M</w:t>
            </w:r>
          </w:p>
        </w:tc>
        <w:tc>
          <w:tcPr>
            <w:tcW w:w="1404" w:type="dxa"/>
          </w:tcPr>
          <w:p>
            <w:pPr>
              <w:pStyle w:val="Compact"/>
              <w:spacing w:before="0" w:after="0" w:line="230" w:lineRule="exact"/>
              <w:rPr>
                <w:sz w:val="18"/>
                <w:szCs w:val="18"/>
              </w:rPr>
            </w:pPr>
            <w:r>
              <w:rPr>
                <w:sz w:val="18"/>
              </w:rPr>
              <w:t xml:space="preserve">$2.4M</w:t>
            </w:r>
          </w:p>
        </w:tc>
        <w:tc>
          <w:tcPr>
            <w:tcW w:w="1404" w:type="dxa"/>
          </w:tcPr>
          <w:p>
            <w:pPr>
              <w:pStyle w:val="Compact"/>
              <w:spacing w:before="0" w:after="0" w:line="230" w:lineRule="exact"/>
              <w:rPr>
                <w:sz w:val="18"/>
                <w:szCs w:val="18"/>
              </w:rPr>
            </w:pPr>
            <w:r>
              <w:rPr>
                <w:sz w:val="18"/>
              </w:rPr>
              <w:t xml:space="preserve">$3.6M</w:t>
            </w:r>
          </w:p>
        </w:tc>
      </w:tr>
      <w:tr>
        <w:tc>
          <w:tcPr>
            <w:tcW w:w="1872" w:type="dxa"/>
          </w:tcPr>
          <w:p>
            <w:pPr>
              <w:pStyle w:val="Compact"/>
              <w:spacing w:before="0" w:after="0" w:line="230" w:lineRule="exact"/>
              <w:rPr>
                <w:sz w:val="18"/>
                <w:szCs w:val="18"/>
              </w:rPr>
            </w:pPr>
            <w:r>
              <w:rPr>
                <w:sz w:val="18"/>
              </w:rPr>
              <w:t xml:space="preserve">Illumina (sub)</w:t>
            </w:r>
          </w:p>
        </w:tc>
        <w:tc>
          <w:tcPr>
            <w:tcW w:w="1872" w:type="dxa"/>
          </w:tcPr>
          <w:p>
            <w:pPr>
              <w:pStyle w:val="Compact"/>
              <w:spacing w:before="0" w:after="0" w:line="230" w:lineRule="exact"/>
              <w:rPr>
                <w:sz w:val="18"/>
                <w:szCs w:val="18"/>
              </w:rPr>
            </w:pPr>
            <w:r>
              <w:rPr>
                <w:sz w:val="18"/>
              </w:rPr>
              <w:t xml:space="preserve">Sequencing and cloud platform (optional)</w:t>
            </w:r>
          </w:p>
        </w:tc>
        <w:tc>
          <w:tcPr>
            <w:tcW w:w="1404" w:type="dxa"/>
          </w:tcPr>
          <w:p>
            <w:pPr>
              <w:pStyle w:val="Compact"/>
              <w:spacing w:before="0" w:after="0" w:line="230" w:lineRule="exact"/>
              <w:rPr>
                <w:sz w:val="18"/>
                <w:szCs w:val="18"/>
              </w:rPr>
            </w:pPr>
            <w:r>
              <w:rPr>
                <w:sz w:val="18"/>
              </w:rPr>
              <w:t xml:space="preserve">$4.0M</w:t>
            </w:r>
          </w:p>
        </w:tc>
        <w:tc>
          <w:tcPr>
            <w:tcW w:w="1404" w:type="dxa"/>
          </w:tcPr>
          <w:p>
            <w:pPr>
              <w:pStyle w:val="Compact"/>
              <w:spacing w:before="0" w:after="0" w:line="230" w:lineRule="exact"/>
              <w:rPr>
                <w:sz w:val="18"/>
                <w:szCs w:val="18"/>
              </w:rPr>
            </w:pPr>
            <w:r>
              <w:rPr>
                <w:sz w:val="18"/>
              </w:rPr>
              <w:t xml:space="preserve">$0.9M</w:t>
            </w:r>
          </w:p>
        </w:tc>
        <w:tc>
          <w:tcPr>
            <w:tcW w:w="1404" w:type="dxa"/>
          </w:tcPr>
          <w:p>
            <w:pPr>
              <w:pStyle w:val="Compact"/>
              <w:spacing w:before="0" w:after="0" w:line="230" w:lineRule="exact"/>
              <w:rPr>
                <w:sz w:val="18"/>
                <w:szCs w:val="18"/>
              </w:rPr>
            </w:pPr>
            <w:r>
              <w:rPr>
                <w:sz w:val="18"/>
              </w:rPr>
              <w:t xml:space="preserve">$1.2M</w:t>
            </w:r>
          </w:p>
        </w:tc>
        <w:tc>
          <w:tcPr>
            <w:tcW w:w="1404" w:type="dxa"/>
          </w:tcPr>
          <w:p>
            <w:pPr>
              <w:pStyle w:val="Compact"/>
              <w:spacing w:before="0" w:after="0" w:line="230" w:lineRule="exact"/>
              <w:rPr>
                <w:sz w:val="18"/>
                <w:szCs w:val="18"/>
              </w:rPr>
            </w:pPr>
            <w:r>
              <w:rPr>
                <w:sz w:val="18"/>
              </w:rPr>
              <w:t xml:space="preserve">$1.9M</w:t>
            </w:r>
          </w:p>
        </w:tc>
      </w:tr>
      <w:tr>
        <w:tc>
          <w:tcPr>
            <w:tcW w:w="1872" w:type="dxa"/>
          </w:tcPr>
          <w:p>
            <w:pPr>
              <w:pStyle w:val="Compact"/>
              <w:spacing w:before="0" w:after="0" w:line="230" w:lineRule="exact"/>
              <w:rPr>
                <w:sz w:val="18"/>
                <w:szCs w:val="18"/>
              </w:rPr>
            </w:pPr>
            <w:r>
              <w:rPr>
                <w:sz w:val="18"/>
              </w:rPr>
              <w:t xml:space="preserve">McLean / HMS (sub)</w:t>
            </w:r>
          </w:p>
        </w:tc>
        <w:tc>
          <w:tcPr>
            <w:tcW w:w="1872" w:type="dxa"/>
          </w:tcPr>
          <w:p>
            <w:pPr>
              <w:pStyle w:val="Compact"/>
              <w:spacing w:before="0" w:after="0" w:line="230" w:lineRule="exact"/>
              <w:rPr>
                <w:sz w:val="18"/>
                <w:szCs w:val="18"/>
              </w:rPr>
            </w:pPr>
            <w:r>
              <w:rPr>
                <w:sz w:val="18"/>
              </w:rPr>
              <w:t xml:space="preserve">Clinical and cohort interpretation</w:t>
            </w:r>
          </w:p>
        </w:tc>
        <w:tc>
          <w:tcPr>
            <w:tcW w:w="1404" w:type="dxa"/>
          </w:tcPr>
          <w:p>
            <w:pPr>
              <w:pStyle w:val="Compact"/>
              <w:spacing w:before="0" w:after="0" w:line="230" w:lineRule="exact"/>
              <w:rPr>
                <w:sz w:val="18"/>
                <w:szCs w:val="18"/>
              </w:rPr>
            </w:pPr>
            <w:r>
              <w:rPr>
                <w:sz w:val="18"/>
              </w:rPr>
              <w:t xml:space="preserve">$0.7M</w:t>
            </w:r>
          </w:p>
        </w:tc>
        <w:tc>
          <w:tcPr>
            <w:tcW w:w="1404" w:type="dxa"/>
          </w:tcPr>
          <w:p>
            <w:pPr>
              <w:pStyle w:val="Compact"/>
              <w:spacing w:before="0" w:after="0" w:line="230" w:lineRule="exact"/>
              <w:rPr>
                <w:sz w:val="18"/>
                <w:szCs w:val="18"/>
              </w:rPr>
            </w:pPr>
            <w:r>
              <w:rPr>
                <w:sz w:val="18"/>
              </w:rPr>
              <w:t xml:space="preserve">$0.2M</w:t>
            </w:r>
          </w:p>
        </w:tc>
        <w:tc>
          <w:tcPr>
            <w:tcW w:w="1404" w:type="dxa"/>
          </w:tcPr>
          <w:p>
            <w:pPr>
              <w:pStyle w:val="Compact"/>
              <w:spacing w:before="0" w:after="0" w:line="230" w:lineRule="exact"/>
              <w:rPr>
                <w:sz w:val="18"/>
                <w:szCs w:val="18"/>
              </w:rPr>
            </w:pPr>
            <w:r>
              <w:rPr>
                <w:sz w:val="18"/>
              </w:rPr>
              <w:t xml:space="preserve">$0.2M</w:t>
            </w:r>
          </w:p>
        </w:tc>
        <w:tc>
          <w:tcPr>
            <w:tcW w:w="1404" w:type="dxa"/>
          </w:tcPr>
          <w:p>
            <w:pPr>
              <w:pStyle w:val="Compact"/>
              <w:spacing w:before="0" w:after="0" w:line="230" w:lineRule="exact"/>
              <w:rPr>
                <w:sz w:val="18"/>
                <w:szCs w:val="18"/>
              </w:rPr>
            </w:pPr>
            <w:r>
              <w:rPr>
                <w:sz w:val="18"/>
              </w:rPr>
              <w:t xml:space="preserve">$0.3M</w:t>
            </w:r>
          </w:p>
        </w:tc>
      </w:tr>
      <w:tr>
        <w:tc>
          <w:tcPr>
            <w:tcW w:w="1872" w:type="dxa"/>
          </w:tcPr>
          <w:p>
            <w:pPr>
              <w:pStyle w:val="Compact"/>
              <w:spacing w:before="0" w:after="0" w:line="230" w:lineRule="exact"/>
              <w:rPr>
                <w:sz w:val="18"/>
                <w:szCs w:val="18"/>
              </w:rPr>
            </w:pPr>
            <w:r>
              <w:rPr>
                <w:sz w:val="18"/>
              </w:rPr>
              <w:t xml:space="preserve">Phylo (sub, optional)</w:t>
            </w:r>
          </w:p>
        </w:tc>
        <w:tc>
          <w:tcPr>
            <w:tcW w:w="1872" w:type="dxa"/>
          </w:tcPr>
          <w:p>
            <w:pPr>
              <w:pStyle w:val="Compact"/>
              <w:spacing w:before="0" w:after="0" w:line="230" w:lineRule="exact"/>
              <w:rPr>
                <w:sz w:val="18"/>
                <w:szCs w:val="18"/>
              </w:rPr>
            </w:pPr>
            <w:r>
              <w:rPr>
                <w:sz w:val="18"/>
              </w:rPr>
              <w:t xml:space="preserve">Experiment-design engine agentic-science collaborator</w:t>
            </w:r>
          </w:p>
        </w:tc>
        <w:tc>
          <w:tcPr>
            <w:tcW w:w="1404" w:type="dxa"/>
          </w:tcPr>
          <w:p>
            <w:pPr>
              <w:pStyle w:val="Compact"/>
              <w:spacing w:before="0" w:after="0" w:line="230" w:lineRule="exact"/>
              <w:rPr>
                <w:sz w:val="18"/>
                <w:szCs w:val="18"/>
              </w:rPr>
            </w:pPr>
            <w:r>
              <w:rPr>
                <w:sz w:val="18"/>
              </w:rPr>
              <w:t xml:space="preserve">$4.0M</w:t>
            </w:r>
          </w:p>
        </w:tc>
        <w:tc>
          <w:tcPr>
            <w:tcW w:w="1404" w:type="dxa"/>
          </w:tcPr>
          <w:p>
            <w:pPr>
              <w:pStyle w:val="Compact"/>
              <w:spacing w:before="0" w:after="0" w:line="230" w:lineRule="exact"/>
              <w:rPr>
                <w:sz w:val="18"/>
                <w:szCs w:val="18"/>
              </w:rPr>
            </w:pPr>
            <w:r>
              <w:rPr>
                <w:sz w:val="18"/>
              </w:rPr>
              <w:t xml:space="preserve">$1.1M</w:t>
            </w:r>
          </w:p>
        </w:tc>
        <w:tc>
          <w:tcPr>
            <w:tcW w:w="1404" w:type="dxa"/>
          </w:tcPr>
          <w:p>
            <w:pPr>
              <w:pStyle w:val="Compact"/>
              <w:spacing w:before="0" w:after="0" w:line="230" w:lineRule="exact"/>
              <w:rPr>
                <w:sz w:val="18"/>
                <w:szCs w:val="18"/>
              </w:rPr>
            </w:pPr>
            <w:r>
              <w:rPr>
                <w:sz w:val="18"/>
              </w:rPr>
              <w:t xml:space="preserve">$1.2M</w:t>
            </w:r>
          </w:p>
        </w:tc>
        <w:tc>
          <w:tcPr>
            <w:tcW w:w="1404" w:type="dxa"/>
          </w:tcPr>
          <w:p>
            <w:pPr>
              <w:pStyle w:val="Compact"/>
              <w:spacing w:before="0" w:after="0" w:line="230" w:lineRule="exact"/>
              <w:rPr>
                <w:sz w:val="18"/>
                <w:szCs w:val="18"/>
              </w:rPr>
            </w:pPr>
            <w:r>
              <w:rPr>
                <w:sz w:val="18"/>
              </w:rPr>
              <w:t xml:space="preserve">$1.7M</w:t>
            </w:r>
          </w:p>
        </w:tc>
      </w:tr>
      <w:tr>
        <w:tc>
          <w:tcPr>
            <w:tcW w:w="1872" w:type="dxa"/>
          </w:tcPr>
          <w:p>
            <w:pPr>
              <w:pStyle w:val="Compact"/>
              <w:spacing w:before="0" w:after="0" w:line="230" w:lineRule="exact"/>
              <w:rPr>
                <w:sz w:val="18"/>
                <w:szCs w:val="18"/>
              </w:rPr>
            </w:pPr>
            <w:r>
              <w:rPr>
                <w:sz w:val="18"/>
              </w:rPr>
              <w:t xml:space="preserve">Cross-team, integration, reserve</w:t>
            </w:r>
          </w:p>
        </w:tc>
        <w:tc>
          <w:tcPr>
            <w:tcW w:w="1872" w:type="dxa"/>
          </w:tcPr>
          <w:p>
            <w:pPr>
              <w:pStyle w:val="Compact"/>
              <w:spacing w:before="0" w:after="0" w:line="230" w:lineRule="exact"/>
              <w:rPr>
                <w:sz w:val="18"/>
                <w:szCs w:val="18"/>
              </w:rPr>
            </w:pPr>
            <w:r>
              <w:rPr>
                <w:sz w:val="18"/>
              </w:rPr>
              <w:t xml:space="preserve">DDD workshop, bake-offs, connect-a-thon, management reserve</w:t>
            </w:r>
          </w:p>
        </w:tc>
        <w:tc>
          <w:tcPr>
            <w:tcW w:w="1404" w:type="dxa"/>
          </w:tcPr>
          <w:p>
            <w:pPr>
              <w:pStyle w:val="Compact"/>
              <w:spacing w:before="0" w:after="0" w:line="230" w:lineRule="exact"/>
              <w:rPr>
                <w:sz w:val="18"/>
                <w:szCs w:val="18"/>
              </w:rPr>
            </w:pPr>
            <w:r>
              <w:rPr>
                <w:sz w:val="18"/>
              </w:rPr>
              <w:t xml:space="preserve">$2.8M</w:t>
            </w:r>
          </w:p>
        </w:tc>
        <w:tc>
          <w:tcPr>
            <w:tcW w:w="1404" w:type="dxa"/>
          </w:tcPr>
          <w:p>
            <w:pPr>
              <w:pStyle w:val="Compact"/>
              <w:spacing w:before="0" w:after="0" w:line="230" w:lineRule="exact"/>
              <w:rPr>
                <w:sz w:val="18"/>
                <w:szCs w:val="18"/>
              </w:rPr>
            </w:pPr>
            <w:r>
              <w:rPr>
                <w:sz w:val="18"/>
              </w:rPr>
              <w:t xml:space="preserve">$0.8M</w:t>
            </w:r>
          </w:p>
        </w:tc>
        <w:tc>
          <w:tcPr>
            <w:tcW w:w="1404" w:type="dxa"/>
          </w:tcPr>
          <w:p>
            <w:pPr>
              <w:pStyle w:val="Compact"/>
              <w:spacing w:before="0" w:after="0" w:line="230" w:lineRule="exact"/>
              <w:rPr>
                <w:sz w:val="18"/>
                <w:szCs w:val="18"/>
              </w:rPr>
            </w:pPr>
            <w:r>
              <w:rPr>
                <w:sz w:val="18"/>
              </w:rPr>
              <w:t xml:space="preserve">$0.9M</w:t>
            </w:r>
          </w:p>
        </w:tc>
        <w:tc>
          <w:tcPr>
            <w:tcW w:w="1404" w:type="dxa"/>
          </w:tcPr>
          <w:p>
            <w:pPr>
              <w:pStyle w:val="Compact"/>
              <w:spacing w:before="0" w:after="0" w:line="230" w:lineRule="exact"/>
              <w:rPr>
                <w:sz w:val="18"/>
                <w:szCs w:val="18"/>
              </w:rPr>
            </w:pPr>
            <w:r>
              <w:rPr>
                <w:sz w:val="18"/>
              </w:rPr>
              <w:t xml:space="preserve">$1.1M</w:t>
            </w:r>
          </w:p>
        </w:tc>
      </w:tr>
      <w:tr>
        <w:tc>
          <w:tcPr>
            <w:tcW w:w="1872" w:type="dxa"/>
          </w:tcPr>
          <w:p>
            <w:pPr>
              <w:pStyle w:val="Compact"/>
              <w:spacing w:before="0" w:after="0" w:line="230" w:lineRule="exact"/>
              <w:rPr>
                <w:sz w:val="18"/>
                <w:szCs w:val="18"/>
              </w:rPr>
            </w:pPr>
            <w:r>
              <w:rPr>
                <w:b/>
                <w:bCs/>
                <w:sz w:val="18"/>
              </w:rPr>
              <w:t xml:space="preserve">Total project value (incl. ~$4.0M in-kind)</w:t>
            </w:r>
          </w:p>
        </w:tc>
        <w:tc>
          <w:tcPr>
            <w:tcW w:w="1872" w:type="dxa"/>
          </w:tcPr>
          <w:p>
            <w:pPr>
              <w:pStyle w:val="Compact"/>
              <w:spacing w:before="0" w:after="0" w:line="230" w:lineRule="exact"/>
              <w:rPr>
                <w:sz w:val="18"/>
                <w:szCs w:val="18"/>
              </w:rPr>
            </w:pPr>
          </w:p>
        </w:tc>
        <w:tc>
          <w:tcPr>
            <w:tcW w:w="1404" w:type="dxa"/>
          </w:tcPr>
          <w:p>
            <w:pPr>
              <w:pStyle w:val="Compact"/>
              <w:spacing w:before="0" w:after="0" w:line="230" w:lineRule="exact"/>
              <w:rPr>
                <w:sz w:val="18"/>
                <w:szCs w:val="18"/>
              </w:rPr>
            </w:pPr>
            <w:r>
              <w:rPr>
                <w:b/>
                <w:bCs/>
                <w:sz w:val="18"/>
              </w:rPr>
              <w:t xml:space="preserve">$54.0M</w:t>
            </w:r>
          </w:p>
        </w:tc>
        <w:tc>
          <w:tcPr>
            <w:tcW w:w="1404" w:type="dxa"/>
          </w:tcPr>
          <w:p>
            <w:pPr>
              <w:pStyle w:val="Compact"/>
              <w:spacing w:before="0" w:after="0" w:line="230" w:lineRule="exact"/>
              <w:rPr>
                <w:sz w:val="18"/>
                <w:szCs w:val="18"/>
              </w:rPr>
            </w:pPr>
            <w:r>
              <w:rPr>
                <w:b/>
                <w:bCs/>
                <w:sz w:val="18"/>
              </w:rPr>
              <w:t xml:space="preserve">$15.0M</w:t>
            </w:r>
          </w:p>
        </w:tc>
        <w:tc>
          <w:tcPr>
            <w:tcW w:w="1404" w:type="dxa"/>
          </w:tcPr>
          <w:p>
            <w:pPr>
              <w:pStyle w:val="Compact"/>
              <w:spacing w:before="0" w:after="0" w:line="230" w:lineRule="exact"/>
              <w:rPr>
                <w:sz w:val="18"/>
                <w:szCs w:val="18"/>
              </w:rPr>
            </w:pPr>
            <w:r>
              <w:rPr>
                <w:b/>
                <w:bCs/>
                <w:sz w:val="18"/>
              </w:rPr>
              <w:t xml:space="preserve">$16.0M</w:t>
            </w:r>
          </w:p>
        </w:tc>
        <w:tc>
          <w:tcPr>
            <w:tcW w:w="1404" w:type="dxa"/>
          </w:tcPr>
          <w:p>
            <w:pPr>
              <w:pStyle w:val="Compact"/>
              <w:spacing w:before="0" w:after="0" w:line="230" w:lineRule="exact"/>
              <w:rPr>
                <w:sz w:val="18"/>
                <w:szCs w:val="18"/>
              </w:rPr>
            </w:pPr>
            <w:r>
              <w:rPr>
                <w:b/>
                <w:bCs/>
                <w:sz w:val="18"/>
              </w:rPr>
              <w:t xml:space="preserve">$23.0M</w:t>
            </w:r>
          </w:p>
        </w:tc>
      </w:tr>
      <w:tr>
        <w:tc>
          <w:tcPr>
            <w:tcW w:w="1872" w:type="dxa"/>
          </w:tcPr>
          <w:p>
            <w:pPr>
              <w:pStyle w:val="Compact"/>
              <w:spacing w:before="0" w:after="0" w:line="230" w:lineRule="exact"/>
              <w:rPr>
                <w:sz w:val="18"/>
                <w:szCs w:val="18"/>
              </w:rPr>
            </w:pPr>
            <w:r>
              <w:rPr>
                <w:b/>
                <w:bCs/>
                <w:sz w:val="18"/>
              </w:rPr>
              <w:t xml:space="preserve">ARPA-H request only</w:t>
            </w:r>
          </w:p>
        </w:tc>
        <w:tc>
          <w:tcPr>
            <w:tcW w:w="1872" w:type="dxa"/>
          </w:tcPr>
          <w:p>
            <w:pPr>
              <w:pStyle w:val="Compact"/>
              <w:spacing w:before="0" w:after="0" w:line="230" w:lineRule="exact"/>
              <w:rPr>
                <w:sz w:val="18"/>
                <w:szCs w:val="18"/>
              </w:rPr>
            </w:pPr>
          </w:p>
        </w:tc>
        <w:tc>
          <w:tcPr>
            <w:tcW w:w="1404" w:type="dxa"/>
          </w:tcPr>
          <w:p>
            <w:pPr>
              <w:pStyle w:val="Compact"/>
              <w:spacing w:before="0" w:after="0" w:line="230" w:lineRule="exact"/>
              <w:rPr>
                <w:sz w:val="18"/>
                <w:szCs w:val="18"/>
              </w:rPr>
            </w:pPr>
            <w:r>
              <w:rPr>
                <w:b/>
                <w:bCs/>
                <w:sz w:val="18"/>
              </w:rPr>
              <w:t xml:space="preserve">$50.0M</w:t>
            </w:r>
          </w:p>
        </w:tc>
        <w:tc>
          <w:tcPr>
            <w:tcW w:w="1404" w:type="dxa"/>
          </w:tcPr>
          <w:p>
            <w:pPr>
              <w:pStyle w:val="Compact"/>
              <w:spacing w:before="0" w:after="0" w:line="230" w:lineRule="exact"/>
              <w:rPr>
                <w:sz w:val="18"/>
                <w:szCs w:val="18"/>
              </w:rPr>
            </w:pPr>
            <w:r>
              <w:rPr>
                <w:b/>
                <w:bCs/>
                <w:sz w:val="18"/>
              </w:rPr>
              <w:t xml:space="preserve">$13.5M</w:t>
            </w:r>
          </w:p>
        </w:tc>
        <w:tc>
          <w:tcPr>
            <w:tcW w:w="1404" w:type="dxa"/>
          </w:tcPr>
          <w:p>
            <w:pPr>
              <w:pStyle w:val="Compact"/>
              <w:spacing w:before="0" w:after="0" w:line="230" w:lineRule="exact"/>
              <w:rPr>
                <w:sz w:val="18"/>
                <w:szCs w:val="18"/>
              </w:rPr>
            </w:pPr>
            <w:r>
              <w:rPr>
                <w:b/>
                <w:bCs/>
                <w:sz w:val="18"/>
              </w:rPr>
              <w:t xml:space="preserve">$15.0M</w:t>
            </w:r>
          </w:p>
        </w:tc>
        <w:tc>
          <w:tcPr>
            <w:tcW w:w="1404" w:type="dxa"/>
          </w:tcPr>
          <w:p>
            <w:pPr>
              <w:pStyle w:val="Compact"/>
              <w:spacing w:before="0" w:after="0" w:line="230" w:lineRule="exact"/>
              <w:rPr>
                <w:sz w:val="18"/>
                <w:szCs w:val="18"/>
              </w:rPr>
            </w:pPr>
            <w:r>
              <w:rPr>
                <w:b/>
                <w:bCs/>
                <w:sz w:val="18"/>
              </w:rPr>
              <w:t xml:space="preserve">$21.5M</w:t>
            </w:r>
          </w:p>
        </w:tc>
      </w:tr>
    </w:tbl>
    <w:p>
      <w:pPr>
        <w:pStyle w:val="BodyText"/>
      </w:pPr>
      <w:r>
        <w:rPr>
          <w:b/>
          <w:bCs/>
        </w:rPr>
        <w:t xml:space="preserve">Salary cap.</w:t>
      </w:r>
      <w:r>
        <w:t xml:space="preserve"> </w:t>
      </w:r>
      <w:r>
        <w:t xml:space="preserve">All ARPA-H-funded direct salary is capped at the Federal Executive Schedule Level II rate, $228,000 for 2026 obligations (effective 2026-01-11; NIH NOT-OD-26-034). The cap applies only to the federally funded portion of direct salary, not to total institutional compensation, so senior faculty whose institutional base exceeds the cap (Grama, Carpenter, Ruzicka) are funded at the capped rate prorated to their small effort fractions (0.2 to 0.25 FTE), with no distortion to the budget.</w:t>
      </w:r>
    </w:p>
    <w:p>
      <w:pPr>
        <w:pStyle w:val="BodyText"/>
      </w:pPr>
      <w:r>
        <w:rPr>
          <w:b/>
          <w:bCs/>
        </w:rPr>
        <w:t xml:space="preserve">Equipment and space.</w:t>
      </w:r>
      <w:r>
        <w:t xml:space="preserve"> </w:t>
      </w:r>
      <w:r>
        <w:t xml:space="preserve">The budget includes a Phase I equipment stand-up at Purdue for the Tegtmeyer wet-lab (~$0.95 to 1.35M: high-content imager, spinning-disk confocal with a calcium-imaging rig, liquid handlers, and core cell-culture instruments). Carpenter's footprint is computational (personnel and compute), not wet-lab capex. No direct space-rental line is required for any performer; laboratory and office space is covered by institutional F&amp;A (Purdue, McLean) or by commercial overhead (SIFT, Cellanome, Illumina). Any Purdue laboratory build-out is treated as institutional cost-share, not a direct cost.</w:t>
      </w:r>
    </w:p>
    <w:p>
      <w:pPr>
        <w:pStyle w:val="BodyText"/>
      </w:pPr>
      <w:r>
        <w:rPr>
          <w:b/>
          <w:bCs/>
        </w:rPr>
        <w:t xml:space="preserve">Value to the U.S. taxpayer.</w:t>
      </w:r>
      <w:r>
        <w:t xml:space="preserve"> </w:t>
      </w:r>
      <w:r>
        <w:t xml:space="preserve">The deliverables are open: a self-updating causal disease model, an experiment-design engine, open protocol standards (LabOP extensions, the ExperimentIntent and LabCapabilityProfile schemas), and a validated-laboratory loop, all deposited in a public repository under permissive licenses. Because the targets the engine surfaces carry human-genetic support, they are roughly two to three times more likely to reach the clinic, and the same platform generalizes across psychiatric and, ultimately, other complex diseases, multiplying the return on a single investment.</w:t>
      </w:r>
    </w:p>
    <w:bookmarkEnd w:id="20"/>
    <w:bookmarkStart w:id="21" w:name="Xb926fbe341e1c6f173b33d541599c9ff0a79d27"/>
    <w:p>
      <w:pPr>
        <w:pStyle w:val="Heading2"/>
        <w:pageBreakBefore/>
      </w:pPr>
      <w:r>
        <w:t xml:space="preserve">6. References Cited (not counted in the page limit)</w:t>
      </w:r>
    </w:p>
    <w:p>
      <w:pPr>
        <w:pStyle w:val="FirstParagraph"/>
      </w:pPr>
      <w:r>
        <w:t xml:space="preserve">Format: first author, title, source, year, volume and pages where available, and a persistent identifier (DOI or PMID).</w:t>
      </w:r>
    </w:p>
    <w:p>
      <w:pPr>
        <w:pStyle w:val="Compact"/>
        <w:numPr>
          <w:ilvl w:val="0"/>
          <w:numId w:val="1001"/>
        </w:numPr>
      </w:pPr>
      <w:r>
        <w:t xml:space="preserve">Nelson MR, Tipney H, Painter JL, et al. The support of human genetic evidence for approved drug indications.</w:t>
      </w:r>
      <w:r>
        <w:t xml:space="preserve"> </w:t>
      </w:r>
      <w:r>
        <w:rPr>
          <w:i/>
          <w:iCs/>
        </w:rPr>
        <w:t xml:space="preserve">Nat Genet</w:t>
      </w:r>
      <w:r>
        <w:t xml:space="preserve"> </w:t>
      </w:r>
      <w:r>
        <w:t xml:space="preserve">2015;47(8):856-860. doi:10.1038/ng.3314.</w:t>
      </w:r>
    </w:p>
    <w:p>
      <w:pPr>
        <w:pStyle w:val="Compact"/>
        <w:numPr>
          <w:ilvl w:val="0"/>
          <w:numId w:val="1001"/>
        </w:numPr>
      </w:pPr>
      <w:r>
        <w:t xml:space="preserve">Minikel EV, Painter JL, Dong CC, Nelson MR. Refining the impact of genetic evidence on clinical success.</w:t>
      </w:r>
      <w:r>
        <w:t xml:space="preserve"> </w:t>
      </w:r>
      <w:r>
        <w:rPr>
          <w:i/>
          <w:iCs/>
        </w:rPr>
        <w:t xml:space="preserve">Nature</w:t>
      </w:r>
      <w:r>
        <w:t xml:space="preserve"> </w:t>
      </w:r>
      <w:r>
        <w:t xml:space="preserve">2024;629(8012):624-629. doi:10.1038/s41586-024-07316-0.</w:t>
      </w:r>
    </w:p>
    <w:p>
      <w:pPr>
        <w:pStyle w:val="Compact"/>
        <w:numPr>
          <w:ilvl w:val="0"/>
          <w:numId w:val="1001"/>
        </w:numPr>
      </w:pPr>
      <w:r>
        <w:t xml:space="preserve">Bunne C, Roohani Y, Rosen Y, et al. How to build the virtual cell with artificial intelligence: priorities and opportunities.</w:t>
      </w:r>
      <w:r>
        <w:t xml:space="preserve"> </w:t>
      </w:r>
      <w:r>
        <w:rPr>
          <w:i/>
          <w:iCs/>
        </w:rPr>
        <w:t xml:space="preserve">Cell</w:t>
      </w:r>
      <w:r>
        <w:t xml:space="preserve"> </w:t>
      </w:r>
      <w:r>
        <w:t xml:space="preserve">2024;187(25):7045-7063. doi:10.1016/j.cell.2024.11.015.</w:t>
      </w:r>
    </w:p>
    <w:p>
      <w:pPr>
        <w:pStyle w:val="Compact"/>
        <w:numPr>
          <w:ilvl w:val="0"/>
          <w:numId w:val="1001"/>
        </w:numPr>
      </w:pPr>
      <w:r>
        <w:t xml:space="preserve">Schölkopf B, Locatello F, Bauer S, et al. Toward causal representation learning.</w:t>
      </w:r>
      <w:r>
        <w:t xml:space="preserve"> </w:t>
      </w:r>
      <w:r>
        <w:rPr>
          <w:i/>
          <w:iCs/>
        </w:rPr>
        <w:t xml:space="preserve">Proc IEEE</w:t>
      </w:r>
      <w:r>
        <w:t xml:space="preserve"> </w:t>
      </w:r>
      <w:r>
        <w:t xml:space="preserve">2021;109(5):612-634. doi:10.1109/JPROC.2021.3058954.</w:t>
      </w:r>
    </w:p>
    <w:p>
      <w:pPr>
        <w:pStyle w:val="Compact"/>
        <w:numPr>
          <w:ilvl w:val="0"/>
          <w:numId w:val="1001"/>
        </w:numPr>
      </w:pPr>
      <w:r>
        <w:t xml:space="preserve">Zhang J, Greenewald K, Squires C, et al. Identifiability guarantees for causal disentanglement from soft interventions. NeurIPS 2023. arXiv:2307.06250.</w:t>
      </w:r>
    </w:p>
    <w:p>
      <w:pPr>
        <w:pStyle w:val="Compact"/>
        <w:numPr>
          <w:ilvl w:val="0"/>
          <w:numId w:val="1001"/>
        </w:numPr>
      </w:pPr>
      <w:r>
        <w:t xml:space="preserve">Bereket M, Karaletsos T. Modelling cellular perturbations with the sparse additive mechanism shift VAE (SAMS-VAE). NeurIPS 2023. arXiv:2311.02794.</w:t>
      </w:r>
    </w:p>
    <w:p>
      <w:pPr>
        <w:pStyle w:val="Compact"/>
        <w:numPr>
          <w:ilvl w:val="0"/>
          <w:numId w:val="1001"/>
        </w:numPr>
      </w:pPr>
      <w:r>
        <w:t xml:space="preserve">Theodoris CV, Xiao L, Bhatt P, et al. Transfer learning enables predictions in network biology (Geneformer).</w:t>
      </w:r>
      <w:r>
        <w:t xml:space="preserve"> </w:t>
      </w:r>
      <w:r>
        <w:rPr>
          <w:i/>
          <w:iCs/>
        </w:rPr>
        <w:t xml:space="preserve">Nature</w:t>
      </w:r>
      <w:r>
        <w:t xml:space="preserve"> </w:t>
      </w:r>
      <w:r>
        <w:t xml:space="preserve">2023;618(7965):616-624. doi:10.1038/s41586-023-06139-9.</w:t>
      </w:r>
    </w:p>
    <w:p>
      <w:pPr>
        <w:pStyle w:val="Compact"/>
        <w:numPr>
          <w:ilvl w:val="0"/>
          <w:numId w:val="1001"/>
        </w:numPr>
      </w:pPr>
      <w:r>
        <w:t xml:space="preserve">Hao M, Gong J, Zeng X, et al. Large-scale foundation model on single-cell transcriptomics (scFoundation).</w:t>
      </w:r>
      <w:r>
        <w:t xml:space="preserve"> </w:t>
      </w:r>
      <w:r>
        <w:rPr>
          <w:i/>
          <w:iCs/>
        </w:rPr>
        <w:t xml:space="preserve">Nat Methods</w:t>
      </w:r>
      <w:r>
        <w:t xml:space="preserve"> </w:t>
      </w:r>
      <w:r>
        <w:t xml:space="preserve">2024;21:1481-1491. doi:10.1038/s41592-024-02305-7.</w:t>
      </w:r>
    </w:p>
    <w:p>
      <w:pPr>
        <w:pStyle w:val="Compact"/>
        <w:numPr>
          <w:ilvl w:val="0"/>
          <w:numId w:val="1001"/>
        </w:numPr>
      </w:pPr>
      <w:r>
        <w:t xml:space="preserve">Roohani Y, Huang K, Leskovec J. Predicting transcriptional outcomes of novel multigene perturbations with GEARS.</w:t>
      </w:r>
      <w:r>
        <w:t xml:space="preserve"> </w:t>
      </w:r>
      <w:r>
        <w:rPr>
          <w:i/>
          <w:iCs/>
        </w:rPr>
        <w:t xml:space="preserve">Nat Biotechnol</w:t>
      </w:r>
      <w:r>
        <w:t xml:space="preserve"> </w:t>
      </w:r>
      <w:r>
        <w:t xml:space="preserve">2024;42:216-228. doi:10.1038/s41587-023-01905-6.</w:t>
      </w:r>
    </w:p>
    <w:p>
      <w:pPr>
        <w:pStyle w:val="Compact"/>
        <w:numPr>
          <w:ilvl w:val="0"/>
          <w:numId w:val="1001"/>
        </w:numPr>
      </w:pPr>
      <w:r>
        <w:t xml:space="preserve">Boiko DA, MacKnight R, Kline B, Gomes G. Autonomous chemical research with large language models.</w:t>
      </w:r>
      <w:r>
        <w:t xml:space="preserve"> </w:t>
      </w:r>
      <w:r>
        <w:rPr>
          <w:i/>
          <w:iCs/>
        </w:rPr>
        <w:t xml:space="preserve">Nature</w:t>
      </w:r>
      <w:r>
        <w:t xml:space="preserve"> </w:t>
      </w:r>
      <w:r>
        <w:t xml:space="preserve">2023;624(7992):570-578. doi:10.1038/s41586-023-06792-0.</w:t>
      </w:r>
    </w:p>
    <w:p>
      <w:pPr>
        <w:pStyle w:val="Compact"/>
        <w:numPr>
          <w:ilvl w:val="0"/>
          <w:numId w:val="1001"/>
        </w:numPr>
      </w:pPr>
      <w:r>
        <w:t xml:space="preserve">Swanson K, Wu T, Bulaong NL, et al. The Virtual Lab: AI agents design new SARS-CoV-2 nanobodies with experimental validation.</w:t>
      </w:r>
      <w:r>
        <w:t xml:space="preserve"> </w:t>
      </w:r>
      <w:r>
        <w:rPr>
          <w:i/>
          <w:iCs/>
        </w:rPr>
        <w:t xml:space="preserve">Nat Biomed Eng</w:t>
      </w:r>
      <w:r>
        <w:t xml:space="preserve"> </w:t>
      </w:r>
      <w:r>
        <w:t xml:space="preserve">2025. arXiv:2408.09618.</w:t>
      </w:r>
    </w:p>
    <w:p>
      <w:pPr>
        <w:pStyle w:val="Compact"/>
        <w:numPr>
          <w:ilvl w:val="0"/>
          <w:numId w:val="1001"/>
        </w:numPr>
      </w:pPr>
      <w:r>
        <w:t xml:space="preserve">Avsec Z, Agarwal V, Visentin D, et al. Effective gene expression prediction from sequence by integrating long-range interactions (Enformer).</w:t>
      </w:r>
      <w:r>
        <w:t xml:space="preserve"> </w:t>
      </w:r>
      <w:r>
        <w:rPr>
          <w:i/>
          <w:iCs/>
        </w:rPr>
        <w:t xml:space="preserve">Nat Methods</w:t>
      </w:r>
      <w:r>
        <w:t xml:space="preserve"> </w:t>
      </w:r>
      <w:r>
        <w:t xml:space="preserve">2021;18(10):1196-1203. doi:10.1038/s41592-021-01252-x.</w:t>
      </w:r>
    </w:p>
    <w:p>
      <w:pPr>
        <w:pStyle w:val="Compact"/>
        <w:numPr>
          <w:ilvl w:val="0"/>
          <w:numId w:val="1001"/>
        </w:numPr>
      </w:pPr>
      <w:r>
        <w:t xml:space="preserve">Choi SW, Mak TSH, O'Reilly PF. Tutorial: a guide to performing polygenic risk score analyses (PRSet / PRSice-2).</w:t>
      </w:r>
      <w:r>
        <w:t xml:space="preserve"> </w:t>
      </w:r>
      <w:r>
        <w:rPr>
          <w:i/>
          <w:iCs/>
        </w:rPr>
        <w:t xml:space="preserve">Nat Protoc</w:t>
      </w:r>
      <w:r>
        <w:t xml:space="preserve"> </w:t>
      </w:r>
      <w:r>
        <w:t xml:space="preserve">2020;15(9):2759-2772. doi:10.1038/s41596-020-0353-1.</w:t>
      </w:r>
    </w:p>
    <w:p>
      <w:pPr>
        <w:pStyle w:val="Compact"/>
        <w:numPr>
          <w:ilvl w:val="0"/>
          <w:numId w:val="1001"/>
        </w:numPr>
      </w:pPr>
      <w:r>
        <w:t xml:space="preserve">Replogle JM, Saunders RA, Pogson AN, et al. Mapping information-rich genotype-phenotype landscapes with genome-scale Perturb-seq.</w:t>
      </w:r>
      <w:r>
        <w:t xml:space="preserve"> </w:t>
      </w:r>
      <w:r>
        <w:rPr>
          <w:i/>
          <w:iCs/>
        </w:rPr>
        <w:t xml:space="preserve">Cell</w:t>
      </w:r>
      <w:r>
        <w:t xml:space="preserve"> </w:t>
      </w:r>
      <w:r>
        <w:t xml:space="preserve">2022;185(19):3615-3632. doi:10.1016/j.cell.2022.05.013.</w:t>
      </w:r>
    </w:p>
    <w:p>
      <w:pPr>
        <w:pStyle w:val="Compact"/>
        <w:numPr>
          <w:ilvl w:val="0"/>
          <w:numId w:val="1001"/>
        </w:numPr>
      </w:pPr>
      <w:r>
        <w:t xml:space="preserve">Singh T, Poterba T, Curtis D, et al. Rare coding variants in ten genes confer substantial risk for schizophrenia (SCHEMA).</w:t>
      </w:r>
      <w:r>
        <w:t xml:space="preserve"> </w:t>
      </w:r>
      <w:r>
        <w:rPr>
          <w:i/>
          <w:iCs/>
        </w:rPr>
        <w:t xml:space="preserve">Nature</w:t>
      </w:r>
      <w:r>
        <w:t xml:space="preserve"> </w:t>
      </w:r>
      <w:r>
        <w:t xml:space="preserve">2022;604(7906):509-516. doi:10.1038/s41586-022-04556-w (PMID:35396579).</w:t>
      </w:r>
    </w:p>
    <w:p>
      <w:pPr>
        <w:pStyle w:val="Compact"/>
        <w:numPr>
          <w:ilvl w:val="0"/>
          <w:numId w:val="1001"/>
        </w:numPr>
      </w:pPr>
      <w:r>
        <w:t xml:space="preserve">Trubetskoy V, Pardinas AF, Qi T, et al. Mapping genomic loci implicates genes and synaptic biology in schizophrenia (PGC).</w:t>
      </w:r>
      <w:r>
        <w:t xml:space="preserve"> </w:t>
      </w:r>
      <w:r>
        <w:rPr>
          <w:i/>
          <w:iCs/>
        </w:rPr>
        <w:t xml:space="preserve">Nature</w:t>
      </w:r>
      <w:r>
        <w:t xml:space="preserve"> </w:t>
      </w:r>
      <w:r>
        <w:t xml:space="preserve">2022;604(7906):502-508. doi:10.1038/s41586-022-04434-5.</w:t>
      </w:r>
    </w:p>
    <w:p>
      <w:pPr>
        <w:pStyle w:val="Compact"/>
        <w:numPr>
          <w:ilvl w:val="0"/>
          <w:numId w:val="1001"/>
        </w:numPr>
      </w:pPr>
      <w:r>
        <w:t xml:space="preserve">Tegtmeyer M, Liyanage D, Han Y, et al. Combining phenomics with transcriptomics reveals cell-type-specific morphological and molecular signatures of the 22q11.2 deletion (NeuroPainting).</w:t>
      </w:r>
      <w:r>
        <w:t xml:space="preserve"> </w:t>
      </w:r>
      <w:r>
        <w:rPr>
          <w:i/>
          <w:iCs/>
        </w:rPr>
        <w:t xml:space="preserve">Nat Commun</w:t>
      </w:r>
      <w:r>
        <w:t xml:space="preserve"> </w:t>
      </w:r>
      <w:r>
        <w:t xml:space="preserve">2025;16(1):6332. doi:10.1038/s41467-025-61547-x.</w:t>
      </w:r>
    </w:p>
    <w:p>
      <w:pPr>
        <w:pStyle w:val="Compact"/>
        <w:numPr>
          <w:ilvl w:val="0"/>
          <w:numId w:val="1001"/>
        </w:numPr>
      </w:pPr>
      <w:r>
        <w:t xml:space="preserve">Ruzicka WB, Mohammadi S, Fullard JF, et al. Single-cell multi-cohort dissection of the schizophrenia transcriptome.</w:t>
      </w:r>
      <w:r>
        <w:t xml:space="preserve"> </w:t>
      </w:r>
      <w:r>
        <w:rPr>
          <w:i/>
          <w:iCs/>
        </w:rPr>
        <w:t xml:space="preserve">Science</w:t>
      </w:r>
      <w:r>
        <w:t xml:space="preserve"> </w:t>
      </w:r>
      <w:r>
        <w:t xml:space="preserve">2024;384(6698):eadg5136. doi:10.1126/science.adg5136.</w:t>
      </w:r>
    </w:p>
    <w:p>
      <w:pPr>
        <w:pStyle w:val="Compact"/>
        <w:numPr>
          <w:ilvl w:val="0"/>
          <w:numId w:val="1001"/>
        </w:numPr>
      </w:pPr>
      <w:r>
        <w:t xml:space="preserve">Emani PS, Liu JJ, Clarke D, et al. Single-cell genomics and regulatory networks for 388 human brains (PsychENCODE brainSCOPE).</w:t>
      </w:r>
      <w:r>
        <w:t xml:space="preserve"> </w:t>
      </w:r>
      <w:r>
        <w:rPr>
          <w:i/>
          <w:iCs/>
        </w:rPr>
        <w:t xml:space="preserve">Science</w:t>
      </w:r>
      <w:r>
        <w:t xml:space="preserve"> </w:t>
      </w:r>
      <w:r>
        <w:t xml:space="preserve">2024;384(6698):eadi5199. doi:10.1126/science.adi5199.</w:t>
      </w:r>
    </w:p>
    <w:p>
      <w:pPr>
        <w:pStyle w:val="Compact"/>
        <w:numPr>
          <w:ilvl w:val="0"/>
          <w:numId w:val="1001"/>
        </w:numPr>
      </w:pPr>
      <w:r>
        <w:t xml:space="preserve">Schneider M, Debbané M, Bassett AS, et al. Psychiatric disorders in 22q11.2 deletion syndrome (International Consortium).</w:t>
      </w:r>
      <w:r>
        <w:t xml:space="preserve"> </w:t>
      </w:r>
      <w:r>
        <w:rPr>
          <w:i/>
          <w:iCs/>
        </w:rPr>
        <w:t xml:space="preserve">Am J Psychiatry</w:t>
      </w:r>
      <w:r>
        <w:t xml:space="preserve"> </w:t>
      </w:r>
      <w:r>
        <w:t xml:space="preserve">/ meta-analysis. PMID:36786112.</w:t>
      </w:r>
    </w:p>
    <w:p>
      <w:pPr>
        <w:pStyle w:val="Compact"/>
        <w:numPr>
          <w:ilvl w:val="0"/>
          <w:numId w:val="1001"/>
        </w:numPr>
      </w:pPr>
      <w:r>
        <w:t xml:space="preserve">Murphy KC, Jones LA, Owen MJ. High rates of schizophrenia in adults with velo-cardio-facial syndrome.</w:t>
      </w:r>
      <w:r>
        <w:t xml:space="preserve"> </w:t>
      </w:r>
      <w:r>
        <w:rPr>
          <w:i/>
          <w:iCs/>
        </w:rPr>
        <w:t xml:space="preserve">Arch Gen Psychiatry</w:t>
      </w:r>
      <w:r>
        <w:t xml:space="preserve"> </w:t>
      </w:r>
      <w:r>
        <w:t xml:space="preserve">1999;56(10):940-945. PMID:10199234.</w:t>
      </w:r>
    </w:p>
    <w:p>
      <w:pPr>
        <w:pStyle w:val="Compact"/>
        <w:numPr>
          <w:ilvl w:val="0"/>
          <w:numId w:val="1001"/>
        </w:numPr>
      </w:pPr>
      <w:r>
        <w:t xml:space="preserve">Paylor R, Glaser B, Mupo A, et al. Tbx1 haploinsufficiency is linked to behavioral disorders in mice and humans.</w:t>
      </w:r>
      <w:r>
        <w:t xml:space="preserve"> </w:t>
      </w:r>
      <w:r>
        <w:rPr>
          <w:i/>
          <w:iCs/>
        </w:rPr>
        <w:t xml:space="preserve">PNAS</w:t>
      </w:r>
      <w:r>
        <w:t xml:space="preserve"> </w:t>
      </w:r>
      <w:r>
        <w:t xml:space="preserve">2006;103(20):7729-7734. doi:10.1073/pnas.0600206103 (PMID:16684884).</w:t>
      </w:r>
    </w:p>
    <w:p>
      <w:pPr>
        <w:pStyle w:val="Compact"/>
        <w:numPr>
          <w:ilvl w:val="0"/>
          <w:numId w:val="1001"/>
        </w:numPr>
      </w:pPr>
      <w:r>
        <w:t xml:space="preserve">Bartley B, Beal J, Karr JR, et al. The Laboratory Open Protocol language (LabOP / PAML).</w:t>
      </w:r>
      <w:r>
        <w:t xml:space="preserve"> </w:t>
      </w:r>
      <w:r>
        <w:rPr>
          <w:i/>
          <w:iCs/>
        </w:rPr>
        <w:t xml:space="preserve">ACM JETC</w:t>
      </w:r>
      <w:r>
        <w:t xml:space="preserve"> </w:t>
      </w:r>
      <w:r>
        <w:t xml:space="preserve">2023. doi:10.1145/3604568.</w:t>
      </w:r>
    </w:p>
    <w:p>
      <w:pPr>
        <w:pStyle w:val="Compact"/>
        <w:numPr>
          <w:ilvl w:val="0"/>
          <w:numId w:val="1001"/>
        </w:numPr>
      </w:pPr>
      <w:r>
        <w:t xml:space="preserve">Juchli M. SiLA 2: standardized device interfaces for laboratory automation. 2022. doi:10.1007/10_2022_204.</w:t>
      </w:r>
    </w:p>
    <w:bookmarkEnd w:id="21"/>
    <w:bookmarkEnd w:id="22"/>
    <w:sectPr>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40" w:before="0" w:line="260" w:lineRule="exact"/>
    </w:pPr>
    <w:rPr>
      <w:rFonts w:ascii="Inter Variable" w:hAnsi="Inter Variable"/>
      <w:b w:val="0"/>
      <w:sz w:val="22"/>
    </w:rPr>
  </w:style>
  <w:style w:styleId="BodyText" w:type="paragraph">
    <w:name w:val="Body Text"/>
    <w:basedOn w:val="Normal"/>
    <w:link w:val="BodyTextChar"/>
    <w:qFormat/>
    <w:pPr>
      <w:spacing w:after="40" w:before="0" w:line="260" w:lineRule="exact"/>
    </w:pPr>
    <w:rPr>
      <w:rFonts w:ascii="Inter Variable" w:hAnsi="Inter Variable"/>
      <w:b w:val="0"/>
      <w:sz w:val="22"/>
    </w:rPr>
  </w:style>
  <w:style w:customStyle="1" w:styleId="FirstParagraph" w:type="paragraph">
    <w:name w:val="First Paragraph"/>
    <w:basedOn w:val="BodyText"/>
    <w:next w:val="BodyText"/>
    <w:qFormat/>
    <w:pPr>
      <w:spacing w:after="40"/>
    </w:pPr>
  </w:style>
  <w:style w:customStyle="1" w:styleId="Compact" w:type="paragraph">
    <w:name w:val="Compact"/>
    <w:basedOn w:val="BodyText"/>
    <w:qFormat/>
    <w:pPr>
      <w:spacing w:after="40" w:before="0" w:line="240" w:lineRule="exact"/>
    </w:pPr>
    <w:rPr>
      <w:rFonts w:ascii="Inter Variable" w:hAnsi="Inter Variable"/>
      <w:b w:val="0"/>
      <w:sz w:val="22"/>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Inter Variable" w:asciiTheme="majorHAnsi" w:cstheme="majorBidi" w:eastAsiaTheme="majorEastAsia" w:hAnsi="Inter Variable" w:hAnsiTheme="majorHAnsi"/>
      <w:b/>
      <w:color w:val="5145A8"/>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 w:before="80"/>
      <w:outlineLvl w:val="0"/>
    </w:pPr>
    <w:rPr>
      <w:rFonts w:ascii="Inter Variable" w:asciiTheme="majorHAnsi" w:cstheme="majorBidi" w:eastAsiaTheme="majorEastAsia" w:hAnsi="Inter Variable" w:hAnsiTheme="majorHAnsi"/>
      <w:b/>
      <w:color w:val="5145A8"/>
      <w:sz w:val="26"/>
      <w:szCs w:val="40"/>
    </w:rPr>
  </w:style>
  <w:style w:styleId="Heading2" w:type="paragraph">
    <w:name w:val="heading 2"/>
    <w:basedOn w:val="Normal"/>
    <w:next w:val="BodyText"/>
    <w:link w:val="Heading2Char"/>
    <w:uiPriority w:val="9"/>
    <w:semiHidden/>
    <w:unhideWhenUsed/>
    <w:qFormat/>
    <w:rsid w:val="00A10FD9"/>
    <w:pPr>
      <w:keepNext/>
      <w:keepLines/>
      <w:spacing w:after="20" w:before="40"/>
      <w:outlineLvl w:val="1"/>
    </w:pPr>
    <w:rPr>
      <w:rFonts w:ascii="Inter Variable" w:asciiTheme="majorHAnsi" w:cstheme="majorBidi" w:eastAsiaTheme="majorEastAsia" w:hAnsi="Inter Variable" w:hAnsiTheme="majorHAnsi"/>
      <w:b/>
      <w:color w:val="8B3FC7"/>
      <w:sz w:val="23"/>
      <w:szCs w:val="32"/>
    </w:rPr>
  </w:style>
  <w:style w:styleId="Heading3" w:type="paragraph">
    <w:name w:val="heading 3"/>
    <w:basedOn w:val="Normal"/>
    <w:next w:val="BodyText"/>
    <w:link w:val="Heading3Char"/>
    <w:uiPriority w:val="9"/>
    <w:semiHidden/>
    <w:unhideWhenUsed/>
    <w:qFormat/>
    <w:rsid w:val="00A10FD9"/>
    <w:pPr>
      <w:keepNext/>
      <w:keepLines/>
      <w:spacing w:after="20" w:before="40"/>
      <w:outlineLvl w:val="2"/>
    </w:pPr>
    <w:rPr>
      <w:rFonts w:ascii="Inter Variable" w:cstheme="majorBidi" w:eastAsiaTheme="majorEastAsia" w:hAnsi="Inter Variable"/>
      <w:b/>
      <w:color w:val="8B3FC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9" Type="http://schemas.openxmlformats.org/officeDocument/2006/relationships/hyperlink" Target="mailto:ayg@purdue.edu" TargetMode="External"/><Relationship Id="rId11" Type="http://schemas.openxmlformats.org/officeDocument/2006/relationships/hyperlink" Target="mailto:cinowski@purdue.edu" TargetMode="External"/><Relationship Id="rId10" Type="http://schemas.openxmlformats.org/officeDocument/2006/relationships/hyperlink" Target="mailto:mohammadi@cytognosis.org"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mailto:ayg@purdue.edu" TargetMode="External"/><Relationship Id="rId11" Type="http://schemas.openxmlformats.org/officeDocument/2006/relationships/hyperlink" Target="mailto:cinowski@purdue.edu" TargetMode="External"/><Relationship Id="rId10" Type="http://schemas.openxmlformats.org/officeDocument/2006/relationships/hyperlink" Target="mailto:mohammadi@cytognosi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2026-06-19T21:16:29Z</dcterms:created>
  <dcterms:modified xsi:type="dcterms:W3CDTF">2026-06-19T21:16:29Z</dcterms:modified>
</cp:coreProperties>
</file>

<file path=docProps/custom.xml><?xml version="1.0" encoding="utf-8"?>
<Properties xmlns="http://schemas.openxmlformats.org/officeDocument/2006/custom-properties" xmlns:vt="http://schemas.openxmlformats.org/officeDocument/2006/docPropsVTypes"/>
</file>