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e1274cd869c8ccb2ef242511ff18d551fd5610"/>
    <w:p>
      <w:pPr>
        <w:pStyle w:val="Heading1"/>
      </w:pPr>
      <w:r>
        <w:t xml:space="preserve">Appendix C.1 — Technical and Management Proposal</w:t>
      </w:r>
    </w:p>
    <w:p>
      <w:pPr>
        <w:pStyle w:val="FirstParagraph"/>
      </w:pPr>
      <w:r>
        <w:rPr>
          <w:b/>
          <w:bCs/>
        </w:rPr>
        <w:t xml:space="preserve">ARPA-H-SOL-26-155 (Intelligent Generator of Research, IGoR), Proactive Health Office.</w:t>
      </w:r>
      <w:r>
        <w:t xml:space="preserve"> </w:t>
      </w:r>
      <w:r>
        <w:rPr>
          <w:b/>
          <w:bCs/>
        </w:rPr>
        <w:t xml:space="preserve">Award instrument: Other Transaction. Period of performance: 60 months (Phase I 18 mo; Phase II 18 mo; Phase III 24 mo).</w:t>
      </w:r>
    </w:p>
    <w:p>
      <w:pPr>
        <w:pStyle w:val="BlockText"/>
      </w:pPr>
      <w:r>
        <w:t xml:space="preserve">Working draft, revision 2026-06-16. The submitted C.1 body is capped at 40 pages (Sections 1 to 7); the Gantt chart, biographical information, and references are excluded. The Commercialization narrative is capped at 3 pages and the Capabilities/Management plan at 2 pages, both inside the 40. The factorized-PRS method is marked PROPRIETARY where it appears. This draft carries full substance for internal review and will be trimmed to the page limit before the Aug 6 submission.</w:t>
      </w:r>
    </w:p>
    <w:bookmarkStart w:id="9" w:name="cover-page"/>
    <w:p>
      <w:pPr>
        <w:pStyle w:val="Heading2"/>
      </w:pPr>
      <w:r>
        <w:t xml:space="preserve">Cover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Proposal title</w:t>
            </w:r>
          </w:p>
        </w:tc>
        <w:tc>
          <w:tcPr/>
          <w:p>
            <w:pPr>
              <w:pStyle w:val="Compact"/>
            </w:pPr>
            <w:r>
              <w:t xml:space="preserve">A Closed-Loop, Mechanistically Grounded Research Engine for Complex Neuropsychiatric Disease: Schizophrenia to Bipolar Disorder</w:t>
            </w:r>
          </w:p>
        </w:tc>
      </w:tr>
      <w:tr>
        <w:tc>
          <w:tcPr/>
          <w:p>
            <w:pPr>
              <w:pStyle w:val="Compact"/>
            </w:pPr>
            <w:r>
              <w:t xml:space="preserve">Prime organization</w:t>
            </w:r>
          </w:p>
        </w:tc>
        <w:tc>
          <w:tcPr/>
          <w:p>
            <w:pPr>
              <w:pStyle w:val="Compact"/>
            </w:pPr>
            <w:r>
              <w:t xml:space="preserve">Institute for Physical AI (IPAI), Purdue University. Type: Academia</w:t>
            </w:r>
          </w:p>
        </w:tc>
      </w:tr>
      <w:tr>
        <w:tc>
          <w:tcPr/>
          <w:p>
            <w:pPr>
              <w:pStyle w:val="Compact"/>
            </w:pPr>
            <w:r>
              <w:t xml:space="preserve">SAM.gov UEI</w:t>
            </w:r>
          </w:p>
        </w:tc>
        <w:tc>
          <w:tcPr/>
          <w:p>
            <w:pPr>
              <w:pStyle w:val="Compact"/>
            </w:pPr>
            <w:r>
              <w:t xml:space="preserve">Purdue University [to confirm]</w:t>
            </w:r>
          </w:p>
        </w:tc>
      </w:tr>
      <w:tr>
        <w:tc>
          <w:tcPr/>
          <w:p>
            <w:pPr>
              <w:pStyle w:val="Compact"/>
            </w:pPr>
            <w:r>
              <w:t xml:space="preserve">Contact (state)</w:t>
            </w:r>
          </w:p>
        </w:tc>
        <w:tc>
          <w:tcPr/>
          <w:p>
            <w:pPr>
              <w:pStyle w:val="Compact"/>
            </w:pPr>
            <w:r>
              <w:t xml:space="preserve">Indiana</w:t>
            </w:r>
          </w:p>
        </w:tc>
      </w:tr>
      <w:tr>
        <w:tc>
          <w:tcPr/>
          <w:p>
            <w:pPr>
              <w:pStyle w:val="Compact"/>
            </w:pPr>
            <w:r>
              <w:t xml:space="preserve">Award instrument requested</w:t>
            </w:r>
          </w:p>
        </w:tc>
        <w:tc>
          <w:tcPr/>
          <w:p>
            <w:pPr>
              <w:pStyle w:val="Compact"/>
            </w:pPr>
            <w:r>
              <w:t xml:space="preserve">Other Transaction</w:t>
            </w:r>
          </w:p>
        </w:tc>
      </w:tr>
      <w:tr>
        <w:tc>
          <w:tcPr/>
          <w:p>
            <w:pPr>
              <w:pStyle w:val="Compact"/>
            </w:pPr>
            <w:r>
              <w:t xml:space="preserve">Animal subjects</w:t>
            </w:r>
          </w:p>
        </w:tc>
        <w:tc>
          <w:tcPr/>
          <w:p>
            <w:pPr>
              <w:pStyle w:val="Compact"/>
            </w:pPr>
            <w:r>
              <w:t xml:space="preserve">No</w:t>
            </w:r>
          </w:p>
        </w:tc>
      </w:tr>
      <w:tr>
        <w:tc>
          <w:tcPr/>
          <w:p>
            <w:pPr>
              <w:pStyle w:val="Compact"/>
            </w:pPr>
            <w:r>
              <w:t xml:space="preserve">Human subjects</w:t>
            </w:r>
          </w:p>
        </w:tc>
        <w:tc>
          <w:tcPr/>
          <w:p>
            <w:pPr>
              <w:pStyle w:val="Compact"/>
            </w:pPr>
            <w:r>
              <w:t xml:space="preserve">No (secondary analysis of existing, de-identified cohort data and established or engineered iPSC lines)</w:t>
            </w:r>
          </w:p>
        </w:tc>
      </w:tr>
      <w:tr>
        <w:tc>
          <w:tcPr/>
          <w:p>
            <w:pPr>
              <w:pStyle w:val="Compact"/>
            </w:pPr>
            <w:r>
              <w:t xml:space="preserve">Total funds requested from ARPA-H (all phases)</w:t>
            </w:r>
          </w:p>
        </w:tc>
        <w:tc>
          <w:tcPr/>
          <w:p>
            <w:pPr>
              <w:pStyle w:val="Compact"/>
            </w:pPr>
            <w:r>
              <w:t xml:space="preserve">~$42,900,000 (~$43M; bottom-up planning estimate; Appendix C.4 workbook controlling)</w:t>
            </w:r>
          </w:p>
        </w:tc>
      </w:tr>
      <w:tr>
        <w:tc>
          <w:tcPr/>
          <w:p>
            <w:pPr>
              <w:pStyle w:val="Compact"/>
            </w:pPr>
            <w:r>
              <w:t xml:space="preserve">Resource sharing (Performer, in-kind)</w:t>
            </w:r>
          </w:p>
        </w:tc>
        <w:tc>
          <w:tcPr/>
          <w:p>
            <w:pPr>
              <w:pStyle w:val="Compact"/>
            </w:pPr>
            <w:r>
              <w:t xml:space="preserve">~$2.3M Performer in-kind (IPAI/Purdue HPC compute, Purdue wet-lab facilities, Cellanome instrument and run credits); total project value ~$45.2M</w:t>
            </w:r>
          </w:p>
        </w:tc>
      </w:tr>
      <w:tr>
        <w:tc>
          <w:tcPr/>
          <w:p>
            <w:pPr>
              <w:pStyle w:val="Compact"/>
            </w:pPr>
            <w:r>
              <w:t xml:space="preserve">Place(s) of performance</w:t>
            </w:r>
          </w:p>
        </w:tc>
        <w:tc>
          <w:tcPr/>
          <w:p>
            <w:pPr>
              <w:pStyle w:val="Compact"/>
            </w:pPr>
            <w:r>
              <w:t xml:space="preserve">Purdue University (IN); Cytognosis Foundation (CA); McLean Hospital (MA); validated laboratories (advancing and proposed)</w:t>
            </w:r>
          </w:p>
        </w:tc>
      </w:tr>
      <w:tr>
        <w:tc>
          <w:tcPr/>
          <w:p>
            <w:pPr>
              <w:pStyle w:val="Compact"/>
            </w:pPr>
            <w:r>
              <w:t xml:space="preserve">Proposal validity period</w:t>
            </w:r>
          </w:p>
        </w:tc>
        <w:tc>
          <w:tcPr/>
          <w:p>
            <w:pPr>
              <w:pStyle w:val="Compact"/>
            </w:pPr>
            <w:r>
              <w:t xml:space="preserve">120 days minimum</w:t>
            </w:r>
          </w:p>
        </w:tc>
      </w:tr>
      <w:tr>
        <w:tc>
          <w:tcPr/>
          <w:p>
            <w:pPr>
              <w:pStyle w:val="Compact"/>
            </w:pPr>
            <w:r>
              <w:t xml:space="preserve">Date of submission</w:t>
            </w:r>
          </w:p>
        </w:tc>
        <w:tc>
          <w:tcPr/>
          <w:p>
            <w:pPr>
              <w:pStyle w:val="Compact"/>
            </w:pPr>
            <w:r>
              <w:t xml:space="preserve">[2026-08-06]</w:t>
            </w:r>
          </w:p>
        </w:tc>
      </w:tr>
    </w:tbl>
    <w:p>
      <w:pPr>
        <w:pStyle w:val="BodyText"/>
      </w:pPr>
      <w:r>
        <w:rPr>
          <w:b/>
          <w:bCs/>
        </w:rPr>
        <w:t xml:space="preserve">Key personnel.</w:t>
      </w:r>
      <w:r>
        <w:t xml:space="preserve"> </w:t>
      </w:r>
      <w:r>
        <w:t xml:space="preserve">Ananth Grama (PI; IPAI, Purdue); Shahin Mohammadi (TA1 disease-model and TA1-TA2 hypothesis lead; TA2 co-lead; Cytognosis Foundation); Matthew Tegtmeyer (TA4 academic execution lead, Purdue; TA1 disease-modeling contributor); Anne Carpenter (TA1 co-lead, computational morphology and imaging models, IPAI/Purdue; no wet bench); W. Brad Ruzicka (clinical co-lead; McLean Hospital and HMS); Daniel Bryce and Robert Goldman (TA2-TA3, TA3, and TA3-TA4 lead; SIFT); Elham Jebalbarezi Sarbijan (Software and Systems Architect, IPAI/Purdue interim; Cytognosis hire, recruiting); Patricia Purcell (Project Manager, ~0.3 FTE).</w:t>
      </w:r>
    </w:p>
    <w:p>
      <w:pPr>
        <w:pStyle w:val="BodyText"/>
      </w:pPr>
      <w:r>
        <w:rPr>
          <w:b/>
          <w:bCs/>
        </w:rPr>
        <w:t xml:space="preserve">Sub-awardees and consultants.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Organization</w:t>
            </w:r>
          </w:p>
        </w:tc>
        <w:tc>
          <w:tcPr/>
          <w:p>
            <w:pPr>
              <w:pStyle w:val="Compact"/>
            </w:pPr>
            <w:r>
              <w:t xml:space="preserve">Technical POC</w:t>
            </w:r>
          </w:p>
        </w:tc>
        <w:tc>
          <w:tcPr/>
          <w:p>
            <w:pPr>
              <w:pStyle w:val="Compact"/>
            </w:pPr>
            <w:r>
              <w:t xml:space="preserve">Org type</w:t>
            </w:r>
          </w:p>
        </w:tc>
        <w:tc>
          <w:tcPr/>
          <w:p>
            <w:pPr>
              <w:pStyle w:val="Compact"/>
            </w:pPr>
            <w:r>
              <w:t xml:space="preserve">Focus</w:t>
            </w:r>
          </w:p>
        </w:tc>
      </w:tr>
      <w:tr>
        <w:tc>
          <w:tcPr/>
          <w:p>
            <w:pPr>
              <w:pStyle w:val="Compact"/>
            </w:pPr>
            <w:r>
              <w:t xml:space="preserve">Cytognosis Foundation</w:t>
            </w:r>
          </w:p>
        </w:tc>
        <w:tc>
          <w:tcPr/>
          <w:p>
            <w:pPr>
              <w:pStyle w:val="Compact"/>
            </w:pPr>
            <w:r>
              <w:t xml:space="preserve">Shahin Mohammadi (mohammadi@cytognosis.org)</w:t>
            </w:r>
          </w:p>
        </w:tc>
        <w:tc>
          <w:tcPr/>
          <w:p>
            <w:pPr>
              <w:pStyle w:val="Compact"/>
            </w:pPr>
            <w:r>
              <w:t xml:space="preserve">Non-profit</w:t>
            </w:r>
          </w:p>
        </w:tc>
        <w:tc>
          <w:tcPr/>
          <w:p>
            <w:pPr>
              <w:pStyle w:val="Compact"/>
            </w:pPr>
            <w:r>
              <w:t xml:space="preserve">TA1 disease-model lead and TA1-TA2 hypothesis lead; TA2 co-lead; semantic foundation co-lead</w:t>
            </w:r>
          </w:p>
        </w:tc>
      </w:tr>
      <w:tr>
        <w:tc>
          <w:tcPr/>
          <w:p>
            <w:pPr>
              <w:pStyle w:val="Compact"/>
            </w:pPr>
            <w:r>
              <w:t xml:space="preserve">McLean Hospital / Harvard Medical School</w:t>
            </w:r>
          </w:p>
        </w:tc>
        <w:tc>
          <w:tcPr/>
          <w:p>
            <w:pPr>
              <w:pStyle w:val="Compact"/>
            </w:pPr>
            <w:r>
              <w:t xml:space="preserve">W. Brad Ruzicka</w:t>
            </w:r>
          </w:p>
        </w:tc>
        <w:tc>
          <w:tcPr/>
          <w:p>
            <w:pPr>
              <w:pStyle w:val="Compact"/>
            </w:pPr>
            <w:r>
              <w:t xml:space="preserve">Academia</w:t>
            </w:r>
          </w:p>
        </w:tc>
        <w:tc>
          <w:tcPr/>
          <w:p>
            <w:pPr>
              <w:pStyle w:val="Compact"/>
            </w:pPr>
            <w:r>
              <w:t xml:space="preserve">Clinical and translational disease modeling; data governance</w:t>
            </w:r>
          </w:p>
        </w:tc>
      </w:tr>
      <w:tr>
        <w:tc>
          <w:tcPr/>
          <w:p>
            <w:pPr>
              <w:pStyle w:val="Compact"/>
            </w:pPr>
            <w:r>
              <w:t xml:space="preserve">SIFT</w:t>
            </w:r>
          </w:p>
        </w:tc>
        <w:tc>
          <w:tcPr/>
          <w:p>
            <w:pPr>
              <w:pStyle w:val="Compact"/>
            </w:pPr>
            <w:r>
              <w:t xml:space="preserve">Daniel Bryce (lead); Robert Goldman (advisory)</w:t>
            </w:r>
          </w:p>
        </w:tc>
        <w:tc>
          <w:tcPr/>
          <w:p>
            <w:pPr>
              <w:pStyle w:val="Compact"/>
            </w:pPr>
            <w:r>
              <w:t xml:space="preserve">For-profit</w:t>
            </w:r>
          </w:p>
        </w:tc>
        <w:tc>
          <w:tcPr/>
          <w:p>
            <w:pPr>
              <w:pStyle w:val="Compact"/>
            </w:pPr>
            <w:r>
              <w:t xml:space="preserve">TA2-TA3 interface, TA3 interoperable protocols (LabOP), and TA3-TA4 lead; scoped value-of-information planning layer</w:t>
            </w:r>
          </w:p>
        </w:tc>
      </w:tr>
      <w:tr>
        <w:tc>
          <w:tcPr/>
          <w:p>
            <w:pPr>
              <w:pStyle w:val="Compact"/>
            </w:pPr>
            <w:r>
              <w:t xml:space="preserve">Cellanome</w:t>
            </w:r>
          </w:p>
        </w:tc>
        <w:tc>
          <w:tcPr/>
          <w:p>
            <w:pPr>
              <w:pStyle w:val="Compact"/>
            </w:pPr>
            <w:r>
              <w:t xml:space="preserve">POC to confirm</w:t>
            </w:r>
          </w:p>
        </w:tc>
        <w:tc>
          <w:tcPr/>
          <w:p>
            <w:pPr>
              <w:pStyle w:val="Compact"/>
            </w:pPr>
            <w:r>
              <w:t xml:space="preserve">For-profit</w:t>
            </w:r>
          </w:p>
        </w:tc>
        <w:tc>
          <w:tcPr/>
          <w:p>
            <w:pPr>
              <w:pStyle w:val="Compact"/>
            </w:pPr>
            <w:r>
              <w:t xml:space="preserve">TA4 industry execution arm; live-cell imaging, same-cell scRNA-seq, Perturb-seq (R3200)</w:t>
            </w:r>
          </w:p>
        </w:tc>
      </w:tr>
      <w:tr>
        <w:tc>
          <w:tcPr/>
          <w:p>
            <w:pPr>
              <w:pStyle w:val="Compact"/>
            </w:pPr>
            <w:r>
              <w:t xml:space="preserve">Illumina</w:t>
            </w:r>
          </w:p>
        </w:tc>
        <w:tc>
          <w:tcPr/>
          <w:p>
            <w:pPr>
              <w:pStyle w:val="Compact"/>
            </w:pPr>
            <w:r>
              <w:t xml:space="preserve">James Han; Michael Mehan</w:t>
            </w:r>
          </w:p>
        </w:tc>
        <w:tc>
          <w:tcPr/>
          <w:p>
            <w:pPr>
              <w:pStyle w:val="Compact"/>
            </w:pPr>
            <w:r>
              <w:t xml:space="preserve">For-profit</w:t>
            </w:r>
          </w:p>
        </w:tc>
        <w:tc>
          <w:tcPr/>
          <w:p>
            <w:pPr>
              <w:pStyle w:val="Compact"/>
            </w:pPr>
            <w:r>
              <w:t xml:space="preserve">Sequencing and cloud (optional in-kind)</w:t>
            </w:r>
          </w:p>
        </w:tc>
      </w:tr>
      <w:tr>
        <w:tc>
          <w:tcPr/>
          <w:p>
            <w:pPr>
              <w:pStyle w:val="Compact"/>
            </w:pPr>
            <w:r>
              <w:t xml:space="preserve">Duane Valz (consultant)</w:t>
            </w:r>
          </w:p>
        </w:tc>
        <w:tc>
          <w:tcPr/>
          <w:p>
            <w:pPr>
              <w:pStyle w:val="Compact"/>
            </w:pPr>
            <w:r>
              <w:t xml:space="preserve">—</w:t>
            </w:r>
          </w:p>
        </w:tc>
        <w:tc>
          <w:tcPr/>
          <w:p>
            <w:pPr>
              <w:pStyle w:val="Compact"/>
            </w:pPr>
            <w:r>
              <w:t xml:space="preserve">Individual / consultant</w:t>
            </w:r>
          </w:p>
        </w:tc>
        <w:tc>
          <w:tcPr/>
          <w:p>
            <w:pPr>
              <w:pStyle w:val="Compact"/>
            </w:pPr>
            <w:r>
              <w:t xml:space="preserve">Legal and IP: OT agreement, IP and field-of-use strategy, subaward and teaming, OSS licensing</w:t>
            </w:r>
          </w:p>
        </w:tc>
      </w:tr>
    </w:tbl>
    <w:bookmarkEnd w:id="9"/>
    <w:bookmarkStart w:id="12" w:name="proposal-summary"/>
    <w:p>
      <w:pPr>
        <w:pStyle w:val="Heading2"/>
      </w:pPr>
      <w:r>
        <w:t xml:space="preserve">1. Proposal Summary</w:t>
      </w:r>
    </w:p>
    <w:bookmarkStart w:id="10" w:name="a.-overview"/>
    <w:p>
      <w:pPr>
        <w:pStyle w:val="Heading3"/>
      </w:pPr>
      <w:r>
        <w:t xml:space="preserve">A. Overview</w:t>
      </w:r>
    </w:p>
    <w:p>
      <w:pPr>
        <w:pStyle w:val="FirstParagraph"/>
      </w:pPr>
      <w:r>
        <w:rPr>
          <w:b/>
          <w:bCs/>
        </w:rPr>
        <w:t xml:space="preserve">What we are doing.</w:t>
      </w:r>
      <w:r>
        <w:t xml:space="preserve"> </w:t>
      </w:r>
      <w:r>
        <w:t xml:space="preserve">We are building a complete IGoR team that closes the research loop for complex neuropsychiatric disease. The system has four coupled parts: a mechanistic, multiscale causal disease model (TA1) that treats disease-associated genetic variation as a causal perturbation on cell state; a New Science Engine (TA2) that interrogates the model to find the most valuable knowledge gaps and design experiments to resolve them; a layered, instrument-agnostic protocol stack (TA3); and a marketplace of validated laboratories (TA4) that execute experiments and return data that updates the model. We focus on schizophrenia in Phases I and II and extend to bipolar disorder, a genetically and biologically related disorder, in Phase III.</w:t>
      </w:r>
    </w:p>
    <w:p>
      <w:pPr>
        <w:pStyle w:val="BodyText"/>
      </w:pPr>
      <w:r>
        <w:rPr>
          <w:b/>
          <w:bCs/>
        </w:rPr>
        <w:t xml:space="preserve">How it improves health outcomes.</w:t>
      </w:r>
      <w:r>
        <w:t xml:space="preserve"> </w:t>
      </w:r>
      <w:r>
        <w:t xml:space="preserve">Schizophrenia and bipolar disorder are leading causes of disability, and most therapies target symptoms rather than mechanism. By producing non-obvious, experimentally validated mechanisms and candidate targets that carry human genetic support, which roughly doubles to triples the probability of clinical success (Nelson et al. 2015; Minikel et al. 2024), the engine shortens the path to mechanism-based therapies. Because the model, protocols, and marketplace are released openly, the same infrastructure accelerates discovery across many diseases.</w:t>
      </w:r>
    </w:p>
    <w:p>
      <w:pPr>
        <w:pStyle w:val="BodyText"/>
      </w:pPr>
      <w:r>
        <w:rPr>
          <w:b/>
          <w:bCs/>
        </w:rPr>
        <w:t xml:space="preserve">How it is done today and the limitations.</w:t>
      </w:r>
      <w:r>
        <w:t xml:space="preserve"> </w:t>
      </w:r>
      <w:r>
        <w:t xml:space="preserve">Today, individual laboratories generate hypotheses constrained by local expertise, run experiments described in insufficient detail, and publish selected results that are difficult to reproduce. Computational disease modeling is fragmented: foundation models (scGPT, Geneformer, STATE) learn correlational embeddings, perturbation predictors model an experimenter’s intervention, and systems-biology networks are single-scale and not experimentally updatable. No platform unifies atlas-scale data, causal perturbation modeling, portable protocols, and validated execution in a self-updating loop.</w:t>
      </w:r>
    </w:p>
    <w:p>
      <w:pPr>
        <w:pStyle w:val="BodyText"/>
      </w:pPr>
      <w:r>
        <w:rPr>
          <w:b/>
          <w:bCs/>
        </w:rPr>
        <w:t xml:space="preserve">What is new and why it will succeed.</w:t>
      </w:r>
      <w:r>
        <w:t xml:space="preserve"> </w:t>
      </w:r>
      <w:r>
        <w:t xml:space="preserve">Four ideas. First, we invert the virtual-cell paradigm (Bunne et al. 2024): disease genotype acts as a soft intervention on a latent causal model of biological processes, for which identifiability guarantees exist (Zhang et al. 2023). Second, we factorize the genotype-to-phenotype map into sparse, pathway-disentangled disease axes (extending the sparsity-of-shift-mechanism principle of Bereket and Karaletsos 2023, and the pathway-space causal representation learning of de la Fuente et al. 2025). Third, TA2 designs experiments by value of information against this mechanistic model rather than by literature mining. Fourth, TA3 carries the experiment on a single semantic foundation shared by all four technical areas, so nothing is translated at the seams. It will succeed because we close the loop with reproducible cellular experiments that supply the interventional data the causal model needs, and because the team has built the constituent methods, datasets, and standards before.</w:t>
      </w:r>
    </w:p>
    <w:p>
      <w:pPr>
        <w:pStyle w:val="BodyText"/>
      </w:pPr>
      <w:r>
        <w:rPr>
          <w:b/>
          <w:bCs/>
        </w:rPr>
        <w:t xml:space="preserve">Emerging trends and why we are superior.</w:t>
      </w:r>
      <w:r>
        <w:t xml:space="preserve"> </w:t>
      </w:r>
      <w:r>
        <w:t xml:space="preserve">Agentic-science systems (Co-Scientist, Biomni, the Virtual Lab) are advancing rapidly but propose experiments without interrogating a mechanistic disease model; foundation models scale but remain correlational. Our system is grounded in a causal, physically interpretable model and a marketplace of validated laboratories, exactly the capabilities the IGoR solicitation states current language-model-to-laboratory integrations lack.</w:t>
      </w:r>
    </w:p>
    <w:p>
      <w:pPr>
        <w:pStyle w:val="BodyText"/>
      </w:pPr>
      <w:r>
        <w:rPr>
          <w:b/>
          <w:bCs/>
        </w:rPr>
        <w:t xml:space="preserve">Key risks and mitigations.</w:t>
      </w:r>
      <w:r>
        <w:t xml:space="preserve"> </w:t>
      </w:r>
      <w:r>
        <w:t xml:space="preserve">Technical: cellular models may not represent in-vivo disease (mitigated by joint cellular-clinical alignment and genetic anchoring); cross-laboratory concordance is hard (calibration layer plus IV&amp;V); causal identifiability from observational genomics is non-trivial (closed-loop interventional cellular data). Programmatic: partner and personnel confirmation is reduced as a risk now that the TA1, TA2, TA4 phenomics, TA4 iPSC-neuron, and clinical leads are confirmed; the Software Architect role is in active recruiting with a candidate identified, and external TA4 laboratories are in discussion with named alternates. Translational: targets must be credible to drug developers (genetic-support prioritization).</w:t>
      </w:r>
    </w:p>
    <w:p>
      <w:pPr>
        <w:pStyle w:val="BodyText"/>
      </w:pPr>
      <w:r>
        <w:rPr>
          <w:b/>
          <w:bCs/>
        </w:rPr>
        <w:t xml:space="preserve">Who is affected and the impact.</w:t>
      </w:r>
      <w:r>
        <w:t xml:space="preserve"> </w:t>
      </w:r>
      <w:r>
        <w:t xml:space="preserve">Tens of millions of people with schizophrenia and bipolar disorder, the researchers who study them, and, through the open marketplace, the broader biomedical community.</w:t>
      </w:r>
    </w:p>
    <w:p>
      <w:pPr>
        <w:pStyle w:val="BodyText"/>
      </w:pPr>
      <w:r>
        <w:rPr>
          <w:b/>
          <w:bCs/>
        </w:rPr>
        <w:t xml:space="preserve">Specific applications.</w:t>
      </w:r>
      <w:r>
        <w:t xml:space="preserve"> </w:t>
      </w:r>
      <w:r>
        <w:t xml:space="preserve">Target and biomarker discovery for neuropsychiatric disease; a reusable disease-modeling and experiment-design engine; an open protocol stack and validated-laboratory marketplace usable by any qualified researcher.</w:t>
      </w:r>
    </w:p>
    <w:p>
      <w:pPr>
        <w:pStyle w:val="BodyText"/>
      </w:pPr>
      <w:r>
        <w:rPr>
          <w:b/>
          <w:bCs/>
        </w:rPr>
        <w:t xml:space="preserve">Equitable access, cost, and user experience.</w:t>
      </w:r>
      <w:r>
        <w:t xml:space="preserve"> </w:t>
      </w:r>
      <w:r>
        <w:t xml:space="preserve">All computational artifacts are open-source under permissive licenses; protocols and marketplace interfaces are designed for any qualified laboratory, not only well-resourced centers; explainable TA2 narratives keep the human researcher in control.</w:t>
      </w:r>
    </w:p>
    <w:p>
      <w:pPr>
        <w:pStyle w:val="BodyText"/>
      </w:pPr>
      <w:r>
        <w:rPr>
          <w:b/>
          <w:bCs/>
        </w:rPr>
        <w:t xml:space="preserve">Misperception and misuse.</w:t>
      </w:r>
      <w:r>
        <w:t xml:space="preserve"> </w:t>
      </w:r>
      <w:r>
        <w:t xml:space="preserve">The system augments researchers, it does not replace them, and it makes no consequential commitment without human authorization. We will not conduct human clinical trials. We will mark narrowly scoped proprietary methods and follow NIH genomic-data-sharing policy for any controlled data.</w:t>
      </w:r>
    </w:p>
    <w:bookmarkEnd w:id="10"/>
    <w:bookmarkStart w:id="11" w:name="b.-innovative-claims-table"/>
    <w:p>
      <w:pPr>
        <w:pStyle w:val="Heading3"/>
      </w:pPr>
      <w:r>
        <w:t xml:space="preserve">B. Innovative Claims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ISO reference</w:t>
            </w:r>
          </w:p>
        </w:tc>
        <w:tc>
          <w:tcPr/>
          <w:p>
            <w:pPr>
              <w:pStyle w:val="Compact"/>
            </w:pPr>
            <w:r>
              <w:t xml:space="preserve">Technical challenge</w:t>
            </w:r>
          </w:p>
        </w:tc>
        <w:tc>
          <w:tcPr/>
          <w:p>
            <w:pPr>
              <w:pStyle w:val="Compact"/>
            </w:pPr>
            <w:r>
              <w:t xml:space="preserve">Innovation and evidence</w:t>
            </w:r>
          </w:p>
        </w:tc>
        <w:tc>
          <w:tcPr/>
          <w:p>
            <w:pPr>
              <w:pStyle w:val="Compact"/>
            </w:pPr>
            <w:r>
              <w:t xml:space="preserve">Proposal reference</w:t>
            </w:r>
          </w:p>
        </w:tc>
      </w:tr>
      <w:tr>
        <w:tc>
          <w:tcPr/>
          <w:p>
            <w:pPr>
              <w:pStyle w:val="Compact"/>
            </w:pPr>
            <w:r>
              <w:t xml:space="preserve">App. A §4.1.1 (TA1 mechanistic, multiscale, verifiable)</w:t>
            </w:r>
          </w:p>
        </w:tc>
        <w:tc>
          <w:tcPr/>
          <w:p>
            <w:pPr>
              <w:pStyle w:val="Compact"/>
            </w:pPr>
            <w:r>
              <w:t xml:space="preserve">Disease models are correlational or single-scale and cannot be experimentally updated</w:t>
            </w:r>
          </w:p>
        </w:tc>
        <w:tc>
          <w:tcPr/>
          <w:p>
            <w:pPr>
              <w:pStyle w:val="Compact"/>
            </w:pPr>
            <w:r>
              <w:t xml:space="preserve">Causal, multiscale model with disease genotype as a soft intervention; identifiability guarantees (Zhang 2023); prior single-cell atlas (Ruzicka, Mohammadi 2024)</w:t>
            </w:r>
          </w:p>
        </w:tc>
        <w:tc>
          <w:tcPr/>
          <w:p>
            <w:pPr>
              <w:pStyle w:val="Compact"/>
            </w:pPr>
            <w:r>
              <w:t xml:space="preserve">§4.1 TA1</w:t>
            </w:r>
          </w:p>
        </w:tc>
      </w:tr>
      <w:tr>
        <w:tc>
          <w:tcPr/>
          <w:p>
            <w:pPr>
              <w:pStyle w:val="Compact"/>
            </w:pPr>
            <w:r>
              <w:t xml:space="preserve">App. A §4.1.1 (knowledge-gap identification)</w:t>
            </w:r>
          </w:p>
        </w:tc>
        <w:tc>
          <w:tcPr/>
          <w:p>
            <w:pPr>
              <w:pStyle w:val="Compact"/>
            </w:pPr>
            <w:r>
              <w:t xml:space="preserve">Identifying which gaps most advance understanding</w:t>
            </w:r>
          </w:p>
        </w:tc>
        <w:tc>
          <w:tcPr/>
          <w:p>
            <w:pPr>
              <w:pStyle w:val="Compact"/>
            </w:pPr>
            <w:r>
              <w:t xml:space="preserve">Sparse disease axes plus a network coverage map make gaps explicit and rankable</w:t>
            </w:r>
          </w:p>
        </w:tc>
        <w:tc>
          <w:tcPr/>
          <w:p>
            <w:pPr>
              <w:pStyle w:val="Compact"/>
            </w:pPr>
            <w:r>
              <w:t xml:space="preserve">§4.1, §4.2 interface</w:t>
            </w:r>
          </w:p>
        </w:tc>
      </w:tr>
      <w:tr>
        <w:tc>
          <w:tcPr/>
          <w:p>
            <w:pPr>
              <w:pStyle w:val="Compact"/>
            </w:pPr>
            <w:r>
              <w:t xml:space="preserve">App. A §4.1.2 (not a wrapper around an LLM)</w:t>
            </w:r>
          </w:p>
        </w:tc>
        <w:tc>
          <w:tcPr/>
          <w:p>
            <w:pPr>
              <w:pStyle w:val="Compact"/>
            </w:pPr>
            <w:r>
              <w:t xml:space="preserve">Grounding experiment design in mechanism</w:t>
            </w:r>
          </w:p>
        </w:tc>
        <w:tc>
          <w:tcPr/>
          <w:p>
            <w:pPr>
              <w:pStyle w:val="Compact"/>
            </w:pPr>
            <w:r>
              <w:t xml:space="preserve">Value-of-information design against the TA1 causal model; multi-agent dissent and verification</w:t>
            </w:r>
          </w:p>
        </w:tc>
        <w:tc>
          <w:tcPr/>
          <w:p>
            <w:pPr>
              <w:pStyle w:val="Compact"/>
            </w:pPr>
            <w:r>
              <w:t xml:space="preserve">§4.2 TA2</w:t>
            </w:r>
          </w:p>
        </w:tc>
      </w:tr>
      <w:tr>
        <w:tc>
          <w:tcPr/>
          <w:p>
            <w:pPr>
              <w:pStyle w:val="Compact"/>
            </w:pPr>
            <w:r>
              <w:t xml:space="preserve">App. A §4.1.3 (eliminate arbitrary procedural variation)</w:t>
            </w:r>
          </w:p>
        </w:tc>
        <w:tc>
          <w:tcPr/>
          <w:p>
            <w:pPr>
              <w:pStyle w:val="Compact"/>
            </w:pPr>
            <w:r>
              <w:t xml:space="preserve">Portable, reproducible protocols across labs</w:t>
            </w:r>
          </w:p>
        </w:tc>
        <w:tc>
          <w:tcPr/>
          <w:p>
            <w:pPr>
              <w:pStyle w:val="Compact"/>
            </w:pPr>
            <w:r>
              <w:t xml:space="preserve">Layered intent/process/calibration/hardware stack on LabOP, with one semantic foundation (LinkML + Biolink + RDF) shared across all TAs, and RFC governance</w:t>
            </w:r>
          </w:p>
        </w:tc>
        <w:tc>
          <w:tcPr/>
          <w:p>
            <w:pPr>
              <w:pStyle w:val="Compact"/>
            </w:pPr>
            <w:r>
              <w:t xml:space="preserve">§4.3 TA3</w:t>
            </w:r>
          </w:p>
        </w:tc>
      </w:tr>
      <w:tr>
        <w:tc>
          <w:tcPr/>
          <w:p>
            <w:pPr>
              <w:pStyle w:val="Compact"/>
            </w:pPr>
            <w:r>
              <w:t xml:space="preserve">App. A §4.1.4 (validated marketplace, &gt;=2 labs)</w:t>
            </w:r>
          </w:p>
        </w:tc>
        <w:tc>
          <w:tcPr/>
          <w:p>
            <w:pPr>
              <w:pStyle w:val="Compact"/>
            </w:pPr>
            <w:r>
              <w:t xml:space="preserve">Trustworthy, interoperable execution</w:t>
            </w:r>
          </w:p>
        </w:tc>
        <w:tc>
          <w:tcPr/>
          <w:p>
            <w:pPr>
              <w:pStyle w:val="Compact"/>
            </w:pPr>
            <w:r>
              <w:t xml:space="preserve">Two independent TA4 arms (Tegtmeyer academic lab fixed-cell high-plex readouts; Cellanome R3200 live-cell) with built-in cross-arm concordance check; Carpenter computational morphology common analysis layer; at &gt;=90% concordance</w:t>
            </w:r>
          </w:p>
        </w:tc>
        <w:tc>
          <w:tcPr/>
          <w:p>
            <w:pPr>
              <w:pStyle w:val="Compact"/>
            </w:pPr>
            <w:r>
              <w:t xml:space="preserve">§4.4 TA4</w:t>
            </w:r>
          </w:p>
        </w:tc>
      </w:tr>
      <w:tr>
        <w:tc>
          <w:tcPr/>
          <w:p>
            <w:pPr>
              <w:pStyle w:val="Compact"/>
            </w:pPr>
            <w:r>
              <w:t xml:space="preserve">App. A §3 (Phase III second disease)</w:t>
            </w:r>
          </w:p>
        </w:tc>
        <w:tc>
          <w:tcPr/>
          <w:p>
            <w:pPr>
              <w:pStyle w:val="Compact"/>
            </w:pPr>
            <w:r>
              <w:t xml:space="preserve">Generalization beyond one disease</w:t>
            </w:r>
          </w:p>
        </w:tc>
        <w:tc>
          <w:tcPr/>
          <w:p>
            <w:pPr>
              <w:pStyle w:val="Compact"/>
            </w:pPr>
            <w:r>
              <w:t xml:space="preserve">Schizophrenia to bipolar extension with shared disease axes</w:t>
            </w:r>
          </w:p>
        </w:tc>
        <w:tc>
          <w:tcPr/>
          <w:p>
            <w:pPr>
              <w:pStyle w:val="Compact"/>
            </w:pPr>
            <w:r>
              <w:t xml:space="preserve">§2, §4.5</w:t>
            </w:r>
          </w:p>
        </w:tc>
      </w:tr>
      <w:tr>
        <w:tc>
          <w:tcPr/>
          <w:p>
            <w:pPr>
              <w:pStyle w:val="Compact"/>
            </w:pPr>
            <w:r>
              <w:t xml:space="preserve">App. C §2.5 (open-source and IP)</w:t>
            </w:r>
          </w:p>
        </w:tc>
        <w:tc>
          <w:tcPr/>
          <w:p>
            <w:pPr>
              <w:pStyle w:val="Compact"/>
            </w:pPr>
            <w:r>
              <w:t xml:space="preserve">Sustainable, open transition</w:t>
            </w:r>
          </w:p>
        </w:tc>
        <w:tc>
          <w:tcPr/>
          <w:p>
            <w:pPr>
              <w:pStyle w:val="Compact"/>
            </w:pPr>
            <w:r>
              <w:t xml:space="preserve">Apache-2.0/MIT/BSD; open marketplace; non-profit steward; narrowly scoped proprietary axis method in an extensible namespace</w:t>
            </w:r>
          </w:p>
        </w:tc>
        <w:tc>
          <w:tcPr/>
          <w:p>
            <w:pPr>
              <w:pStyle w:val="Compact"/>
            </w:pPr>
            <w:r>
              <w:t xml:space="preserve">§6</w:t>
            </w:r>
          </w:p>
        </w:tc>
      </w:tr>
    </w:tbl>
    <w:bookmarkEnd w:id="11"/>
    <w:bookmarkEnd w:id="12"/>
    <w:bookmarkStart w:id="13" w:name="goals-and-impact"/>
    <w:p>
      <w:pPr>
        <w:pStyle w:val="Heading2"/>
      </w:pPr>
      <w:r>
        <w:t xml:space="preserve">2. Goals and Impact</w:t>
      </w:r>
    </w:p>
    <w:p>
      <w:pPr>
        <w:pStyle w:val="FirstParagraph"/>
      </w:pPr>
      <w:r>
        <w:t xml:space="preserve">The goal is a validated, openly released research engine that generates non-obvious, experimentally confirmed disease mechanisms and candidate targets for schizophrenia and bipolar disorder at least 10x faster than conventional research. Quantitatively, by Phase III we target a &gt;=10x improvement in experimental cycle time against a Phase I baseline; &gt;=90% inter-laboratory concordance across the marketplace; &gt;=85% of TA2-proposed experiments rated high-value by an expert panel; a TA1 model spanning &gt;=15 mechanistic sub-models across &gt;=3 biological scales with &lt;=4 h update latency; and validated novel hypotheses in both diseases. The work relates to, and goes beyond, our prior single-cell multi-cohort schizophrenia atlas (Ruzicka, Mohammadi et al. 2024) and the broader virtual-cell and perturbation-modeling literature by adding causal structure, experiment design, and reproducible execution. The lasting impact is infrastructure: a reusable disease model, an open protocol stack, and a validated marketplace that compound in value as data accrue, lowering the barrier to mechanism-based discovery across biomedicine.</w:t>
      </w:r>
    </w:p>
    <w:bookmarkEnd w:id="13"/>
    <w:bookmarkStart w:id="14" w:name="X9612659056c76f1829b1131cca753dea51a9b23"/>
    <w:p>
      <w:pPr>
        <w:pStyle w:val="Heading2"/>
      </w:pPr>
      <w:r>
        <w:t xml:space="preserve">3. Gantt Chart Timeline (excluded from page limit)</w:t>
      </w:r>
    </w:p>
    <w:p>
      <w:pPr>
        <w:pStyle w:val="FirstParagraph"/>
      </w:pPr>
      <w:r>
        <w:t xml:space="preserve">A Gantt chart accompanies the proposal showing, across the 60-month period: Phase I (mo 0 to 18) architecture and walking-skeleton loop; Phase II (mo 18 to 36) closed-loop operation and cross-team interoperability; Phase III (mo 36 to 60) scaling, bipolar extension, and a unified marketplace. Program milestones (the Domain-Driven Design workshop at kickoff, the TA3 bake-offs, and the Phase III connect-a-thon) and phase go/no-go gates are marked, with the schema-ratification milestone fixed at Month 3.</w:t>
      </w:r>
    </w:p>
    <w:bookmarkEnd w:id="14"/>
    <w:bookmarkStart w:id="20" w:name="technical-plan"/>
    <w:p>
      <w:pPr>
        <w:pStyle w:val="Heading2"/>
      </w:pPr>
      <w:r>
        <w:t xml:space="preserve">4. Technical Plan</w:t>
      </w:r>
    </w:p>
    <w:p>
      <w:pPr>
        <w:pStyle w:val="FirstParagraph"/>
      </w:pPr>
      <w:r>
        <w:t xml:space="preserve">The plan is organized by Technical Area; each area states its approach, how it meets the Program-Level and TA-specific IGoR requirements, and measurable milestones tied to the IGoR metric thresholds (App. A Tables 1 to 2). The task structure mirrors the Task Description Document (Appendix C.2) and is cross-walked to the Cost Proposal (Appendix C.3).</w:t>
      </w:r>
    </w:p>
    <w:bookmarkStart w:id="15" w:name="Xe5fcbf27d366cab605c9ed4a456801c563a08f7"/>
    <w:p>
      <w:pPr>
        <w:pStyle w:val="Heading3"/>
      </w:pPr>
      <w:r>
        <w:t xml:space="preserve">4.1 TA1: Comprehensive Disease Models (Purdue IPAI co-led by Grama and Anne Carpenter; Cytognosis lead Shahin Mohammadi; Matt Tegtmeyer TA1 disease-modeling contributor)</w:t>
      </w:r>
    </w:p>
    <w:p>
      <w:pPr>
        <w:pStyle w:val="FirstParagraph"/>
      </w:pPr>
      <w:r>
        <w:t xml:space="preserve">TA1 builds a modular, mechanistic, multiscale, verifiable model in four pillars. Team PsychIGoR is uniquely constituted for this challenge: it unites world-class expertise in both the clinical (Mohammadi, Ruzicka) and the cellular (Tegtmeyer, Carpenter) dimensions of psychiatric disease, capabilities that are usually pursued in separate organizations with different methods and literatures. Here they sit on one integrated team, and the cellular pair (Tegtmeyer and Carpenter) has already published together on exactly the iPSC-neuron phenotyping technology IGoR needs (NeuroPainting, Tegtmeyer et al. 2025).</w:t>
      </w:r>
    </w:p>
    <w:p>
      <w:pPr>
        <w:pStyle w:val="BodyText"/>
      </w:pPr>
      <w:r>
        <w:rPr>
          <w:b/>
          <w:bCs/>
        </w:rPr>
        <w:t xml:space="preserve">Pillar 1: Network priors.</w:t>
      </w:r>
      <w:r>
        <w:t xml:space="preserve"> </w:t>
      </w:r>
      <w:r>
        <w:t xml:space="preserve">We curate a multiscale interaction network harmonized on the Molecular Interaction ontology, integrating protein-protein, signaling, regulatory, and metabolic edges with cell-type-specific layers from PsychENCODE single-cell regulatory networks (Emani et al. 2024) and depth-corrected co-expression. A coverage map records which processes and edge types are well supported, serving both as a confidence prior and as the driver for TA2 to target under-covered regions.</w:t>
      </w:r>
    </w:p>
    <w:p>
      <w:pPr>
        <w:pStyle w:val="BodyText"/>
      </w:pPr>
      <w:r>
        <w:rPr>
          <w:b/>
          <w:bCs/>
        </w:rPr>
        <w:t xml:space="preserve">Pillar 2: Causal generative modeling.</w:t>
      </w:r>
      <w:r>
        <w:t xml:space="preserve"> </w:t>
      </w:r>
      <w:r>
        <w:t xml:space="preserve">Each cell state is decomposed into a basal state plus sparse additive mechanism shifts, extending SAMS-VAE (Bereket and Karaletsos 2023). Disease-associated genetic variation enters as soft interventions with identifiability guarantees (Zhang et al. 2023); pathway-space structure follows the causal representation learning of de la Fuente et al. (2025). We replace conditionally independent decoders with covariance-preserving decoders so reconstructed cells retain real gene-gene dependence. Gene identity is grounded in regulatory-network topology using a spectral, co-expression-aware positional encoding with adaptive repositioning developed by our team (manuscript under review, 2026), which captures perturbation-induced functional rewiring. For intervention design we adopt a graph neural network over the interaction network that proposes perturbations shifting a diseased state toward a healthy target and predicts responses (PDGrapher; Gonzalez et al. 2025). A three-latent structural causal model (Innovation 2) separates the cell’s basal state, the disease effect (causal on the cell state), and a treatment effect that acts either directly on the cell via a disease-independent side-effect path or by modulating the disease via an indirect therapeutic path, which makes efficacy versus side-effect liability an identifiable prediction. All treatment effects (genetic and chemical) and disease states are mapped onto a shared delta-pathway feature space so they enter one unified causal model.</w:t>
      </w:r>
    </w:p>
    <w:p>
      <w:pPr>
        <w:pStyle w:val="BodyText"/>
      </w:pPr>
      <w:r>
        <w:t xml:space="preserve">We initialize gene representations from pretrained genomic foundation models including AlphaGenome and VariantFormer (Innovation 4), adding layers for genomic factorization into biologically disentangled genotypic archetypes of disease. Cellular and clinical disease axes are aligned in residual space by optimal transport or maximum-mean discrepancy regularization, so culture artifacts (iPSC/organoid-specific stem signatures) do not masquerade as disease signal while the velocity and acceleration vectors of disease-axis shifts remain aligned across model systems (Innovation 1).</w:t>
      </w:r>
    </w:p>
    <w:p>
      <w:pPr>
        <w:pStyle w:val="BodyText"/>
      </w:pPr>
      <w:r>
        <w:t xml:space="preserve">We extend ontology-grounded semantic embeddings using TransBox EL++ embeddings for MONDO, GO, and Cell Ontology, with a projection head for out-of-distribution prediction of unseen entities via distance to seen entities (Innovation 3). Multiresolution network-diffusion GNNs using graph-wavelet decompositions capture both short- and long-range diffusion in biological networks for multi-scale mechanistic inference (Innovation 5).</w:t>
      </w:r>
    </w:p>
    <w:p>
      <w:pPr>
        <w:pStyle w:val="BlockText"/>
      </w:pPr>
      <w:r>
        <w:t xml:space="preserve">PROPRIETARY (TA1, Pillar 2b): We additionally factorize patient-level genetic variation into sparse, pathway-disentangled, transdiagnostic axes that double as candidate biotypes. The detailed factorization method is proprietary; novelty is claimed precisely against pathway-partitioned PRS as the nearest precedent (Choi et al. 2020). This subsection is marked proprietary on all affected pages.</w:t>
      </w:r>
    </w:p>
    <w:p>
      <w:pPr>
        <w:pStyle w:val="FirstParagraph"/>
      </w:pPr>
      <w:r>
        <w:rPr>
          <w:b/>
          <w:bCs/>
        </w:rPr>
        <w:t xml:space="preserve">Pillar 3: Joint cellular and clinical shift space.</w:t>
      </w:r>
      <w:r>
        <w:t xml:space="preserve"> </w:t>
      </w:r>
      <w:r>
        <w:t xml:space="preserve">Every signal, cellular or clinical, is represented as a shift in pathway space relative to a matched control, which lets us aggregate induced (cellular) and natural (clinical) evidence in one model and surface disease axes consistent across scales and robust to model-system artifacts.</w:t>
      </w:r>
    </w:p>
    <w:p>
      <w:pPr>
        <w:pStyle w:val="BodyText"/>
      </w:pPr>
      <w:r>
        <w:rPr>
          <w:b/>
          <w:bCs/>
        </w:rPr>
        <w:t xml:space="preserve">Pillar 4: Ontology-conditioned experiment design.</w:t>
      </w:r>
      <w:r>
        <w:t xml:space="preserve"> </w:t>
      </w:r>
      <w:r>
        <w:t xml:space="preserve">We condition predictions on disease (MONDO), cell type (Cell Ontology), tissue (UBERON), and process (Gene Ontology) ontologies, and express hypotheses in a fixed template (</w:t>
      </w:r>
      <w:r>
        <w:t xml:space="preserve">“perturbing process X shifts disease Y toward healthy by modulating Z”</w:t>
      </w:r>
      <w:r>
        <w:t xml:space="preserve">). We select hub nodes whose perturbation modulates the most downstream biology in a disease-enriched process as the highest-value experiments, handing these to TA2.</w:t>
      </w:r>
    </w:p>
    <w:p>
      <w:pPr>
        <w:pStyle w:val="BodyText"/>
      </w:pPr>
      <w:r>
        <w:t xml:space="preserve">Data sources: PGC schizophrenia GWAS (Trubetskoy et al. 2022) and rare-variant data (SCHEMA; Singh et al. 2022); PsychENCODE single-cell (Emani et al. 2024); our multi-cohort atlas (Ruzicka, Mohammadi et al. 2024); Open Targets; PsyGene/SSPsyGene; and a PubMed knowledge graph for literature grounding.</w:t>
      </w:r>
    </w:p>
    <w:p>
      <w:pPr>
        <w:pStyle w:val="BodyText"/>
      </w:pPr>
      <w:r>
        <w:rPr>
          <w:b/>
          <w:bCs/>
        </w:rPr>
        <w:t xml:space="preserve">Three experimental stages, mapped to phases.</w:t>
      </w:r>
      <w:r>
        <w:t xml:space="preserve"> </w:t>
      </w:r>
      <w:r>
        <w:t xml:space="preserve">The experimental program in TA4 feeds TA1 in three stages that correspond to the three phases of performance. Stage 1 (Phase I): create and prioritize disease models, beginning with the curated schizophrenia variant panel (22q11.2 CNV, SCHEMA rare-coding genes including SETD1A, GRIN2A, and GRIA3, plus PsyGene/SSPsyGene-nominated genes) engineered as isogenic NGN2 iPSC pairs, and extending to broader BD variants and control genes; collect transcriptomic, morphological, and single-cell calcium-imaging readouts; triage to the 5-10 genes with the most robust, reproducible, and prominent phenotypic shifts versus controls. The count and effect-size metrics from this triage are the quantitative Phase I milestones for TA1. Stage 2 (Phase II): disease-model-specific unbiased pooled Perturb-seq in the prioritized lines, which feeds TA1 treatment-effect embeddings and provides the basis for validating therapeutic interventions. Stage 3 (Phase III): targeted, combinatorial perturbation of pathways and processes nominated by the TA1 model and the TA2 engine, targeting hub nodes whose perturbation modulates the most downstream disease-relevant biology (combinatorial because single-point interventions at non-hub genes are limited by compensatory and redundant pathways).</w:t>
      </w:r>
    </w:p>
    <w:p>
      <w:pPr>
        <w:pStyle w:val="BodyText"/>
      </w:pPr>
      <w:r>
        <w:rPr>
          <w:b/>
          <w:bCs/>
        </w:rPr>
        <w:t xml:space="preserve">TA1 milestones.</w:t>
      </w:r>
      <w:r>
        <w:t xml:space="preserve"> </w:t>
      </w:r>
      <w:r>
        <w:t xml:space="preserve">Phase I: architecture (languages, schemas, ontologies) documented; &gt;=3 mechanistic sub-models; &gt;=3 quantitative knowledge gaps algorithmically detected; Stage 1 triage complete with 5-10 prioritized genes and quantitative phenotypic-effect metrics; ingest &gt;=1 TA4 data return; cycle-time baseline. Phase II: automatic updates from &gt;=10 data returns; &gt;=10 sub-models across &gt;=2 scales; Stage 2 Perturb-seq feeds treatment embeddings; &gt;=1 novel prediction confirmed via TA4; update latency &lt;=24 h. Phase III: &gt;=15 sub-models across &gt;=3 scales; Stage 3 combinatorial perturbations executed; extension to bipolar with novel validated hypotheses in both diseases; latency &lt;=4 h; all models deposited open-access in certified executable form.</w:t>
      </w:r>
    </w:p>
    <w:bookmarkEnd w:id="15"/>
    <w:bookmarkStart w:id="16" w:name="X5d67beb73e85246341c1bf134c736db92d9389f"/>
    <w:p>
      <w:pPr>
        <w:pStyle w:val="Heading3"/>
      </w:pPr>
      <w:r>
        <w:t xml:space="preserve">4.2 TA2: New Science Engine (Cytognosis and IPAI co-lead; SIFT scoped VOI layer; Phylo optional)</w:t>
      </w:r>
    </w:p>
    <w:p>
      <w:pPr>
        <w:pStyle w:val="FirstParagraph"/>
      </w:pPr>
      <w:r>
        <w:t xml:space="preserve">TA2 treats the TA1 model as a first-class queryable object. It identifies unconstrained parameters, hypothetical edges, and inconsistent predictions, then proposes the experiment with the highest value of information. The architecture has three components: a tournament of competing causal-link hypotheses with adversarial critics grounded in mechanistic constraints; mechanistic-model-grounded retrieval-augmented planning whose retrieval corpus is the structured output of TA1, not literature alone; and test-time validation in which lightweight simulations pre-screen hypotheses. This is explicitly not a wrapper around a frontier language model: it demonstrates mechanistic grounding via TA1, multimodal design via TA3, and distributed execution via TA4. The system is built on open, swappable scaffolding (stateful agent graphs, multi-agent debate, explainable critique traces, and tool access via open biomedical tool registries) so future models can be incorporated without re-engineering, and it explains its reasoning through narratives and visualizations so the researcher directs the work. Consequential actions require human authorization. Phylo (creator of Biomni) is an optional TA2 collaborator.</w:t>
      </w:r>
    </w:p>
    <w:p>
      <w:pPr>
        <w:pStyle w:val="BodyText"/>
      </w:pPr>
      <w:r>
        <w:rPr>
          <w:b/>
          <w:bCs/>
          <w:i/>
          <w:iCs/>
        </w:rPr>
        <w:t xml:space="preserve">[SIFT-authored draft — Dan Bryce / SIFT to revise]</w:t>
      </w:r>
      <w:r>
        <w:t xml:space="preserve"> </w:t>
      </w:r>
      <w:r>
        <w:t xml:space="preserve">SIFT contributes a scoped value-of-information planning and scheduling layer under the Cytognosis and IPAI TA2 lead. This layer builds on SIFT’s XPlan experimental planner, developed under DARPA SD2, which demonstrated automated hypothesis-driven experiment planning in synthetic biology. From a prioritized set of knowledge gaps from TA1, XPlan develops hypotheses and identifies experimental designs to close them, expressed as ExperimentIntent objects in a new ontology layer grounded in biological entities, experimental variables, measurable outcomes, and expected TA1 model updates. Agentic programming methods connect human experts with TA1 mechanistic models and emerging protocols to collaboratively develop a machine-interpretable representation of experimental intent. Expressing intent in structured, ontology-grounded terms provides the semantic specificity to drive downstream TA3 protocol generation without ad hoc text reformatting.</w:t>
      </w:r>
      <w:r>
        <w:t xml:space="preserve"> </w:t>
      </w:r>
      <w:r>
        <w:rPr>
          <w:b/>
          <w:bCs/>
          <w:i/>
          <w:iCs/>
        </w:rPr>
        <w:t xml:space="preserve">[end SIFT-authored draft]</w:t>
      </w:r>
    </w:p>
    <w:p>
      <w:pPr>
        <w:pStyle w:val="BodyText"/>
      </w:pPr>
      <w:r>
        <w:rPr>
          <w:b/>
          <w:bCs/>
        </w:rPr>
        <w:t xml:space="preserve">TA2 milestones.</w:t>
      </w:r>
      <w:r>
        <w:t xml:space="preserve"> </w:t>
      </w:r>
      <w:r>
        <w:t xml:space="preserve">Phase I: orchestration architecture documented; interfaces to TA1 and TA3 demonstrated; &gt;=3 experiments proposed and executed; &gt;=50% rated high-value by experts. Phase II: &gt;=2 model backends including &gt;=1 open-weight; usability study with &gt;=10 domain scientists, &gt;=70% rate the system useful; &gt;=75% high-value; designs lead to measurable TA1 improvement. Phase III: &gt;=85% high-value; demonstrated on bipolar; design efficiency quantified against a conventional baseline; &gt;=20 researchers including external users, &gt;=80% useful.</w:t>
      </w:r>
    </w:p>
    <w:bookmarkEnd w:id="16"/>
    <w:bookmarkStart w:id="17" w:name="X5708ff6d2c810ad10e55140b09816b8c66f75da"/>
    <w:p>
      <w:pPr>
        <w:pStyle w:val="Heading3"/>
      </w:pPr>
      <w:r>
        <w:t xml:space="preserve">4.3 TA3: Interoperable Experimental Procedures (SIFT lead)</w:t>
      </w:r>
    </w:p>
    <w:p>
      <w:pPr>
        <w:pStyle w:val="FirstParagraph"/>
      </w:pPr>
      <w:r>
        <w:t xml:space="preserve">TA3 makes an experiment portable between laboratories the way the Internet protocol stack makes a message portable between networks. We do not invent the stack from scratch; we adopt</w:t>
      </w:r>
      <w:r>
        <w:t xml:space="preserve"> </w:t>
      </w:r>
      <w:r>
        <w:rPr>
          <w:b/>
          <w:bCs/>
        </w:rPr>
        <w:t xml:space="preserve">LabOP</w:t>
      </w:r>
      <w:r>
        <w:t xml:space="preserve"> </w:t>
      </w:r>
      <w:r>
        <w:t xml:space="preserve">(Bartley et al. 2023), the SD2-era open lab-protocol standard our partner SIFT co-authored under DARPA SD2, add the</w:t>
      </w:r>
      <w:r>
        <w:t xml:space="preserve"> </w:t>
      </w:r>
      <w:r>
        <w:rPr>
          <w:b/>
          <w:bCs/>
        </w:rPr>
        <w:t xml:space="preserve">SiLA 2</w:t>
      </w:r>
      <w:r>
        <w:t xml:space="preserve"> </w:t>
      </w:r>
      <w:r>
        <w:t xml:space="preserve">device-driver standard (Juchli 2022) at the hardware layer, and contribute the one missing piece, evidence-based parameter governance.</w:t>
      </w:r>
    </w:p>
    <w:p>
      <w:pPr>
        <w:pStyle w:val="BodyText"/>
      </w:pPr>
      <w:r>
        <w:rPr>
          <w:b/>
          <w:bCs/>
          <w:i/>
          <w:iCs/>
        </w:rPr>
        <w:t xml:space="preserve">[SIFT-authored draft — Dan Bryce / SIFT to revise]</w:t>
      </w:r>
      <w:r>
        <w:t xml:space="preserve"> </w:t>
      </w:r>
      <w:r>
        <w:rPr>
          <w:b/>
          <w:bCs/>
        </w:rPr>
        <w:t xml:space="preserve">TA2-TA3 interface and the Phase I Domain-Driven Design workshop.</w:t>
      </w:r>
      <w:r>
        <w:t xml:space="preserve"> </w:t>
      </w:r>
      <w:r>
        <w:t xml:space="preserve">SIFT leads the design and implementation of the TA2-TA3 shared semantic layer. IGoR needs a richer shared representation encoding relationships among mechanistic disease models, knowledge gaps, experimental variables, and protocol steps, so TA2 hypothesis outputs translate into TA3 protocol specifications through structured, traceable representations rather than ad hoc text generation. LabOP already integrates ontologies for measurement units, container types, chemical entities, and biological materials; we extend this with a richer knowledge-graph layer. The interface is formally specified during the Phase I Domain-Driven Design workshop, with explicit data models defining what flows TA2 to TA3, in what format, and under what validation constraints.</w:t>
      </w:r>
    </w:p>
    <w:p>
      <w:pPr>
        <w:pStyle w:val="BodyText"/>
      </w:pPr>
      <w:r>
        <w:rPr>
          <w:b/>
          <w:bCs/>
        </w:rPr>
        <w:t xml:space="preserve">TA3 three-tier model.</w:t>
      </w:r>
      <w:r>
        <w:t xml:space="preserve"> </w:t>
      </w:r>
      <w:r>
        <w:t xml:space="preserve">LabOP’s layered architecture maps onto IGoR’s protocol-stack requirement by separating intent from instrument-level execution in three tiers: (1) a UML Activity Model base providing control flow, dataflow, parameterization, and activity composition; (2) LabOP protocols above it, encoding sample arrays, datasets, primitive operations, and external ontologies for measures, units, strains, chemicals, media, and containers; (3) LabOP Executions at the top, recording execution sequences, runtime variable bindings, datasets, and provenance per W3C PROV-O. The existing execution engine spans a metadata-simulation mode through semi-automated to fully automated, exporting machine-readable and natural-language formats for TA4 laboratories of varying automation sophistication. SIFT will enhance the engine to support protocol authoring against TA1 mechanistic models (simulating biological and protocol behavior before lab execution), expand LabOP primitive libraries for the chosen disease focus, and support IV&amp;V bake-offs and the RFC process, contributing LabOP as the candidate program-wide protocol standard for adoption beyond the period of performance. SIFT estimates two to three full-time engineers for TA3.</w:t>
      </w:r>
      <w:r>
        <w:t xml:space="preserve"> </w:t>
      </w:r>
      <w:r>
        <w:rPr>
          <w:b/>
          <w:bCs/>
          <w:i/>
          <w:iCs/>
        </w:rPr>
        <w:t xml:space="preserve">[end SIFT-authored draft]</w:t>
      </w:r>
    </w:p>
    <w:p>
      <w:pPr>
        <w:pStyle w:val="BodyText"/>
      </w:pPr>
      <w:r>
        <w:t xml:space="preserve">The stack has four abstraction layers.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Function</w:t>
            </w:r>
          </w:p>
        </w:tc>
        <w:tc>
          <w:tcPr/>
          <w:p>
            <w:pPr>
              <w:pStyle w:val="Compact"/>
            </w:pPr>
            <w:r>
              <w:t xml:space="preserve">Built with</w:t>
            </w:r>
          </w:p>
        </w:tc>
      </w:tr>
      <w:tr>
        <w:tc>
          <w:tcPr/>
          <w:p>
            <w:pPr>
              <w:pStyle w:val="Compact"/>
            </w:pPr>
            <w:r>
              <w:t xml:space="preserve">Intent</w:t>
            </w:r>
          </w:p>
        </w:tc>
        <w:tc>
          <w:tcPr/>
          <w:p>
            <w:pPr>
              <w:pStyle w:val="Compact"/>
            </w:pPr>
            <w:r>
              <w:t xml:space="preserve">the declarative scientific question and quality requirements</w:t>
            </w:r>
          </w:p>
        </w:tc>
        <w:tc>
          <w:tcPr/>
          <w:p>
            <w:pPr>
              <w:pStyle w:val="Compact"/>
            </w:pPr>
            <w:r>
              <w:t xml:space="preserve">LabOP protocol objects, generated from the TA2 ExperimentIntent object</w:t>
            </w:r>
          </w:p>
        </w:tc>
      </w:tr>
      <w:tr>
        <w:tc>
          <w:tcPr/>
          <w:p>
            <w:pPr>
              <w:pStyle w:val="Compact"/>
            </w:pPr>
            <w:r>
              <w:t xml:space="preserve">Process</w:t>
            </w:r>
          </w:p>
        </w:tc>
        <w:tc>
          <w:tcPr/>
          <w:p>
            <w:pPr>
              <w:pStyle w:val="Compact"/>
            </w:pPr>
            <w:r>
              <w:t xml:space="preserve">standard processes with trusted parameters and error handling, no instrument detail</w:t>
            </w:r>
          </w:p>
        </w:tc>
        <w:tc>
          <w:tcPr/>
          <w:p>
            <w:pPr>
              <w:pStyle w:val="Compact"/>
            </w:pPr>
            <w:r>
              <w:t xml:space="preserve">LabOP primitives plus LinkML-described metadata</w:t>
            </w:r>
          </w:p>
        </w:tc>
      </w:tr>
      <w:tr>
        <w:tc>
          <w:tcPr/>
          <w:p>
            <w:pPr>
              <w:pStyle w:val="Compact"/>
            </w:pPr>
            <w:r>
              <w:t xml:space="preserve">Calibration</w:t>
            </w:r>
          </w:p>
        </w:tc>
        <w:tc>
          <w:tcPr/>
          <w:p>
            <w:pPr>
              <w:pStyle w:val="Compact"/>
            </w:pPr>
            <w:r>
              <w:t xml:space="preserve">parameters and uncertainty standardized across devices, with IV&amp;V calibration artifacts</w:t>
            </w:r>
          </w:p>
        </w:tc>
        <w:tc>
          <w:tcPr/>
          <w:p>
            <w:pPr>
              <w:pStyle w:val="Compact"/>
            </w:pPr>
            <w:r>
              <w:t xml:space="preserve">our RFC governance plus IV&amp;V reference materials (the novel contribution)</w:t>
            </w:r>
          </w:p>
        </w:tc>
      </w:tr>
      <w:tr>
        <w:tc>
          <w:tcPr/>
          <w:p>
            <w:pPr>
              <w:pStyle w:val="Compact"/>
            </w:pPr>
            <w:r>
              <w:t xml:space="preserve">Hardware</w:t>
            </w:r>
          </w:p>
        </w:tc>
        <w:tc>
          <w:tcPr/>
          <w:p>
            <w:pPr>
              <w:pStyle w:val="Compact"/>
            </w:pPr>
            <w:r>
              <w:t xml:space="preserve">machine-specific settings isolated behind a common interface</w:t>
            </w:r>
          </w:p>
        </w:tc>
        <w:tc>
          <w:tcPr/>
          <w:p>
            <w:pPr>
              <w:pStyle w:val="Compact"/>
            </w:pPr>
            <w:r>
              <w:t xml:space="preserve">LabOP specialization to SiLA 2, Opentrons, Autoprotocol, and Illumina</w:t>
            </w:r>
          </w:p>
        </w:tc>
      </w:tr>
    </w:tbl>
    <w:p>
      <w:pPr>
        <w:pStyle w:val="BodyText"/>
      </w:pPr>
      <w:r>
        <w:t xml:space="preserve">Two design commitments distinguish the build. First,</w:t>
      </w:r>
      <w:r>
        <w:t xml:space="preserve"> </w:t>
      </w:r>
      <w:r>
        <w:rPr>
          <w:b/>
          <w:bCs/>
        </w:rPr>
        <w:t xml:space="preserve">one semantic foundation across all four technical areas</w:t>
      </w:r>
      <w:r>
        <w:t xml:space="preserve">: every schema is authored once in LinkML, every entity grounded in the Biolink model and OBO ontologies, and Python (Pydantic) and RDF generated from that one source, so a gene is the same identifier in the TA1 graph, the TA2 design, the TA3 protocol, and the TA4 data record, with no translation at the seams (precedent: the NCATS Translator project). Natural variants are named with GA4GH VRS and HGVS; engineered CRISPRi/a perturbations carry the same locus plus a Sequence-Ontology modality tag, which is what allows the model to treat natural and induced variation in one coordinate system. Second, we</w:t>
      </w:r>
      <w:r>
        <w:t xml:space="preserve"> </w:t>
      </w:r>
      <w:r>
        <w:rPr>
          <w:b/>
          <w:bCs/>
        </w:rPr>
        <w:t xml:space="preserve">extend LabOP from synthetic biology to perturbation biology in three phases</w:t>
      </w:r>
      <w:r>
        <w:t xml:space="preserve">, each with a quantitative quality-control gate so a downstream failure can be traced to its cause through the PROV-O provenance record.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 of an experiment</w:t>
            </w:r>
          </w:p>
        </w:tc>
        <w:tc>
          <w:tcPr/>
          <w:p>
            <w:pPr>
              <w:pStyle w:val="Compact"/>
            </w:pPr>
            <w:r>
              <w:t xml:space="preserve">Produces</w:t>
            </w:r>
          </w:p>
        </w:tc>
        <w:tc>
          <w:tcPr/>
          <w:p>
            <w:pPr>
              <w:pStyle w:val="Compact"/>
            </w:pPr>
            <w:r>
              <w:t xml:space="preserve">New LabOP primitives</w:t>
            </w:r>
          </w:p>
        </w:tc>
        <w:tc>
          <w:tcPr/>
          <w:p>
            <w:pPr>
              <w:pStyle w:val="Compact"/>
            </w:pPr>
            <w:r>
              <w:t xml:space="preserve">QC gate to advance</w:t>
            </w:r>
          </w:p>
        </w:tc>
      </w:tr>
      <w:tr>
        <w:tc>
          <w:tcPr/>
          <w:p>
            <w:pPr>
              <w:pStyle w:val="Compact"/>
            </w:pPr>
            <w:r>
              <w:t xml:space="preserve">Cellular model</w:t>
            </w:r>
          </w:p>
        </w:tc>
        <w:tc>
          <w:tcPr/>
          <w:p>
            <w:pPr>
              <w:pStyle w:val="Compact"/>
            </w:pPr>
            <w:r>
              <w:t xml:space="preserve">the cells (iPSC neurons)</w:t>
            </w:r>
          </w:p>
        </w:tc>
        <w:tc>
          <w:tcPr/>
          <w:p>
            <w:pPr>
              <w:pStyle w:val="Compact"/>
            </w:pPr>
            <w:r>
              <w:t xml:space="preserve">InduceDifferentiation, MatureCulture</w:t>
            </w:r>
          </w:p>
        </w:tc>
        <w:tc>
          <w:tcPr/>
          <w:p>
            <w:pPr>
              <w:pStyle w:val="Compact"/>
            </w:pPr>
            <w:r>
              <w:t xml:space="preserve">maturity markers MAP2+/TUJ1+ &gt;=0.85, NeuN &gt;=0.80</w:t>
            </w:r>
          </w:p>
        </w:tc>
      </w:tr>
      <w:tr>
        <w:tc>
          <w:tcPr/>
          <w:p>
            <w:pPr>
              <w:pStyle w:val="Compact"/>
            </w:pPr>
            <w:r>
              <w:t xml:space="preserve">Perturbation</w:t>
            </w:r>
          </w:p>
        </w:tc>
        <w:tc>
          <w:tcPr/>
          <w:p>
            <w:pPr>
              <w:pStyle w:val="Compact"/>
            </w:pPr>
            <w:r>
              <w:t xml:space="preserve">the change (CRISPRi/a or compound)</w:t>
            </w:r>
          </w:p>
        </w:tc>
        <w:tc>
          <w:tcPr/>
          <w:p>
            <w:pPr>
              <w:pStyle w:val="Compact"/>
            </w:pPr>
            <w:r>
              <w:t xml:space="preserve">DeliverGuideRNA, TreatCompound</w:t>
            </w:r>
          </w:p>
        </w:tc>
        <w:tc>
          <w:tcPr/>
          <w:p>
            <w:pPr>
              <w:pStyle w:val="Compact"/>
            </w:pPr>
            <w:r>
              <w:t xml:space="preserve">knockdown log2FC &lt;=-1.5; activation &gt;=3x; viability &gt;=0.90</w:t>
            </w:r>
          </w:p>
        </w:tc>
      </w:tr>
      <w:tr>
        <w:tc>
          <w:tcPr/>
          <w:p>
            <w:pPr>
              <w:pStyle w:val="Compact"/>
            </w:pPr>
            <w:r>
              <w:t xml:space="preserve">Readout</w:t>
            </w:r>
          </w:p>
        </w:tc>
        <w:tc>
          <w:tcPr/>
          <w:p>
            <w:pPr>
              <w:pStyle w:val="Compact"/>
            </w:pPr>
            <w:r>
              <w:t xml:space="preserve">the measurement</w:t>
            </w:r>
          </w:p>
        </w:tc>
        <w:tc>
          <w:tcPr/>
          <w:p>
            <w:pPr>
              <w:pStyle w:val="Compact"/>
            </w:pPr>
            <w:r>
              <w:t xml:space="preserve">CalciumImagingAcquisition, ScRNAseqLibraryPrep, CellPaintingStain</w:t>
            </w:r>
          </w:p>
        </w:tc>
        <w:tc>
          <w:tcPr/>
          <w:p>
            <w:pPr>
              <w:pStyle w:val="Compact"/>
            </w:pPr>
            <w:r>
              <w:t xml:space="preserve">genes/cell &gt;=1000; doublets &lt;=5%; stable calcium baseline</w:t>
            </w:r>
          </w:p>
        </w:tc>
      </w:tr>
    </w:tbl>
    <w:p>
      <w:pPr>
        <w:pStyle w:val="BodyText"/>
      </w:pPr>
      <w:r>
        <w:t xml:space="preserve">The stack supports at least four modalities (live-cell imaging, optical and morphological screening, sequencing-based assays, and functional calcium-imaging assays; the functional readout is single-cell calcium imaging, which folds into the imaging stack and avoids a separate electrophysiology capability). Changes to locked parameters go through a Request-for-Comments process; SIFT engages equipment makers and standards bodies and participates in the program bake-offs. The two interfaces are concrete deliverables and open standards: TA2 hands TA3 an</w:t>
      </w:r>
      <w:r>
        <w:t xml:space="preserve"> </w:t>
      </w:r>
      <w:r>
        <w:rPr>
          <w:b/>
          <w:bCs/>
        </w:rPr>
        <w:t xml:space="preserve">ExperimentIntent</w:t>
      </w:r>
      <w:r>
        <w:t xml:space="preserve"> </w:t>
      </w:r>
      <w:r>
        <w:t xml:space="preserve">object (URI-bound fields plus a value-of-information score and human authorization) and receives a LabOP protocol within one business day; each laboratory declares a</w:t>
      </w:r>
      <w:r>
        <w:t xml:space="preserve"> </w:t>
      </w:r>
      <w:r>
        <w:rPr>
          <w:b/>
          <w:bCs/>
        </w:rPr>
        <w:t xml:space="preserve">LabCapabilityProfile</w:t>
      </w:r>
      <w:r>
        <w:t xml:space="preserve"> </w:t>
      </w:r>
      <w:r>
        <w:t xml:space="preserve">so TA3 matches a protocol’s needs to the laboratories that can run them (SiLA Feature discovery auto-populates this). LLM-based extraction (Instructor with Pydantic, DSPy as backup) onboards laboratories and parses published protocols into the schema. SIFT estimates two to three full-time engineers for TA3.</w:t>
      </w:r>
    </w:p>
    <w:p>
      <w:pPr>
        <w:pStyle w:val="BodyText"/>
      </w:pPr>
      <w:r>
        <w:rPr>
          <w:b/>
          <w:bCs/>
        </w:rPr>
        <w:t xml:space="preserve">TA3 milestones.</w:t>
      </w:r>
      <w:r>
        <w:t xml:space="preserve"> </w:t>
      </w:r>
      <w:r>
        <w:t xml:space="preserve">Phase I: protocol schema and calibration artifacts defined; the ExperimentIntent and LabCapabilityProfile schemas ratified at the Month 3 DDD workshop; the same protocol run at two team laboratories with comparable outcomes on &gt;=1 experiment; &gt;=2 modalities. Phase II: RFC process operational with &gt;=2 RFCs; protocols run at &gt;=3 laboratories including &gt;=1 cross-team, each executing &gt;=3 experiments to predefined reproducibility thresholds; &gt;=3 modalities. Phase III: open data and metadata layer delivered; engagement with &gt;=1 external standards body or manufacturer; protocols run at &gt;=5 laboratories across teams; &gt;=4 modalities; connect-a-thon interoperability demonstrated.</w:t>
      </w:r>
    </w:p>
    <w:bookmarkEnd w:id="17"/>
    <w:bookmarkStart w:id="18" w:name="X3c40cad98fc9f1c91559f5df3cfe678e6c73e99"/>
    <w:p>
      <w:pPr>
        <w:pStyle w:val="Heading3"/>
      </w:pPr>
      <w:r>
        <w:t xml:space="preserve">4.4 TA4: Experiment Marketplace (two arms at Purdue plus Cellanome; &gt;=2 laboratories)</w:t>
      </w:r>
    </w:p>
    <w:p>
      <w:pPr>
        <w:pStyle w:val="FirstParagraph"/>
      </w:pPr>
      <w:r>
        <w:t xml:space="preserve">TA4 establishes a network of validated laboratories organized into two independent experimental arms. The</w:t>
      </w:r>
      <w:r>
        <w:t xml:space="preserve"> </w:t>
      </w:r>
      <w:r>
        <w:rPr>
          <w:b/>
          <w:bCs/>
        </w:rPr>
        <w:t xml:space="preserve">academic arm</w:t>
      </w:r>
      <w:r>
        <w:t xml:space="preserve"> </w:t>
      </w:r>
      <w:r>
        <w:t xml:space="preserve">is</w:t>
      </w:r>
      <w:r>
        <w:t xml:space="preserve"> </w:t>
      </w:r>
      <w:r>
        <w:rPr>
          <w:b/>
          <w:bCs/>
        </w:rPr>
        <w:t xml:space="preserve">Matthew Tegtmeyer’s lab</w:t>
      </w:r>
      <w:r>
        <w:t xml:space="preserve"> </w:t>
      </w:r>
      <w:r>
        <w:t xml:space="preserve">(Purdue, Department of Biomedical Engineering / Integrative Neuroscience; distinct from IPAI): the wet-lab engine of TA4, running all experiments. Tegtmeyer leads iPSC-derived NGN2 neuron disease models (the 22q11.2 deletion and isogenic controls) with fixed-cell high-plex readouts (RNA ~350-plex, protein ~50-plex, Cell-Painting-style morphology covering nucleus, membrane, actin, ER, Golgi, and mitochondria with onboard segmentation and feature extraction, and in-situ CRISPR-guide sequencing), building on the established 22q11.2 phenomics and transcriptomics work (Tegtmeyer et al. 2025). Tegtmeyer is also a TA1 disease-modeling contributor as the developer of NeuroPainting. The</w:t>
      </w:r>
      <w:r>
        <w:t xml:space="preserve"> </w:t>
      </w:r>
      <w:r>
        <w:rPr>
          <w:b/>
          <w:bCs/>
        </w:rPr>
        <w:t xml:space="preserve">industry arm</w:t>
      </w:r>
      <w:r>
        <w:t xml:space="preserve"> </w:t>
      </w:r>
      <w:r>
        <w:t xml:space="preserve">is</w:t>
      </w:r>
      <w:r>
        <w:t xml:space="preserve"> </w:t>
      </w:r>
      <w:r>
        <w:rPr>
          <w:b/>
          <w:bCs/>
        </w:rPr>
        <w:t xml:space="preserve">Cellanome</w:t>
      </w:r>
      <w:r>
        <w:t xml:space="preserve">: live-cell imaging, same-cell single-cell RNA-seq, and pooled CRISPR via the R3200 (Perturb-LINK); the Phase I functional neuronal readout is</w:t>
      </w:r>
      <w:r>
        <w:t xml:space="preserve"> </w:t>
      </w:r>
      <w:r>
        <w:rPr>
          <w:b/>
          <w:bCs/>
        </w:rPr>
        <w:t xml:space="preserve">single-cell calcium imaging</w:t>
      </w:r>
      <w:r>
        <w:t xml:space="preserve"> </w:t>
      </w:r>
      <w:r>
        <w:t xml:space="preserve">via the R3200, which folds into the live-cell imaging stack and avoids a separate electrophysiology capability. The academic arm (fixed-cell, high-plex endpoint readouts) and Cellanome (live-cell, temporal, nanoscale single-cell isolation) are orthogonal and complementary; the differences are the basis of a designed</w:t>
      </w:r>
      <w:r>
        <w:t xml:space="preserve"> </w:t>
      </w:r>
      <w:r>
        <w:rPr>
          <w:b/>
          <w:bCs/>
        </w:rPr>
        <w:t xml:space="preserve">cross-arm concordance milestone</w:t>
      </w:r>
      <w:r>
        <w:t xml:space="preserve"> </w:t>
      </w:r>
      <w:r>
        <w:t xml:space="preserve">aligned with the program’s 85% concordance gates. Together, the academic arm (Tegtmeyer’s lab) and the industry arm (Cellanome R3200) satisfy the IGoR requirement of two or more validated TA4 laboratories.</w:t>
      </w:r>
    </w:p>
    <w:p>
      <w:pPr>
        <w:pStyle w:val="BodyText"/>
      </w:pPr>
      <w:r>
        <w:rPr>
          <w:b/>
          <w:bCs/>
        </w:rPr>
        <w:t xml:space="preserve">Anne Carpenter (IPAI/Purdue)</w:t>
      </w:r>
      <w:r>
        <w:t xml:space="preserve"> </w:t>
      </w:r>
      <w:r>
        <w:t xml:space="preserve">is the common computational layer across both arms: interpretable models for morphology and cellular-imaging data, morphological profiling, and TA1/TA2 analysis bridge. Carpenter runs no bench; her models consume readouts from Tegtmeyer’s arm and Cellanome’s arm, making the two arms directly comparable.</w:t>
      </w:r>
      <w:r>
        <w:t xml:space="preserve"> </w:t>
      </w:r>
      <w:r>
        <w:rPr>
          <w:b/>
          <w:bCs/>
        </w:rPr>
        <w:t xml:space="preserve">Illumina</w:t>
      </w:r>
      <w:r>
        <w:t xml:space="preserve"> </w:t>
      </w:r>
      <w:r>
        <w:t xml:space="preserve">adds high-throughput sequencing and the Billion Cell Atlas perturbation resource (partly as in-kind resource sharing). Laboratories define and validate cell lines and reference materials, develop QC parameters, demonstrate cross-arm and cross-laboratory concordance, and progressively automate exception handling.</w:t>
      </w:r>
    </w:p>
    <w:p>
      <w:pPr>
        <w:pStyle w:val="BodyText"/>
      </w:pPr>
      <w:r>
        <w:rPr>
          <w:b/>
          <w:bCs/>
        </w:rPr>
        <w:t xml:space="preserve">TA4 milestones.</w:t>
      </w:r>
      <w:r>
        <w:t xml:space="preserve"> </w:t>
      </w:r>
      <w:r>
        <w:t xml:space="preserve">Phase I: &gt;=1 cell line and instrument validated on IV&amp;V artifacts at each of two laboratories; intra-team reproducibility with the same experiment at both laboratories at &gt;=80% concordance; two-way capability communication. Phase II: &gt;=2 additional instruments validated per laboratory; marketplace request/return interface; cross-team execution at &gt;=90% concordance across &gt;=3 experiments; exceptions per experiment reduced &gt;=50% versus Phase I. Phase III: unified marketplace across teams; experiments ordered and executed across teams; &gt;=90% concordance; &gt;=70% of exceptions handled autonomously; connect-a-thon completed.</w:t>
      </w:r>
    </w:p>
    <w:bookmarkEnd w:id="18"/>
    <w:bookmarkStart w:id="19" w:name="X077280079eb91624cd03b3cd4edb2efe7254aff"/>
    <w:p>
      <w:pPr>
        <w:pStyle w:val="Heading3"/>
      </w:pPr>
      <w:r>
        <w:t xml:space="preserve">4.5 Program-level integration and disease strategy</w:t>
      </w:r>
    </w:p>
    <w:p>
      <w:pPr>
        <w:pStyle w:val="FirstParagraph"/>
      </w:pPr>
      <w:r>
        <w:t xml:space="preserve">Interfaces follow a high-cohesion, low-coupling design; we participate in the kickoff Domain-Driven Design workshop, the bake-offs, the RFC process, and the Phase III connect-a-thon, and we collaborate with the IV&amp;V partner (containerization, documentation, materials transfer, and biannual reviews) without budgeting for the IV&amp;V partner itself. Disease strategy: schizophrenia is the Phase I and II disease, anchored at the cellular scale by the 22q11.2 deletion model and at the population scale by PGC genetics and the PsychENCODE and our multi-cohort atlas; bipolar disorder is the related Phase III extension, which shares genetic architecture and cellular biology, allowing the same disease axes and protocols to transfer.</w:t>
      </w:r>
    </w:p>
    <w:bookmarkEnd w:id="19"/>
    <w:bookmarkEnd w:id="20"/>
    <w:bookmarkStart w:id="21" w:name="Xaf0e614b135454a8cd754d0026c54c9b5315082"/>
    <w:p>
      <w:pPr>
        <w:pStyle w:val="Heading2"/>
      </w:pPr>
      <w:r>
        <w:t xml:space="preserve">5. Risk Mitigation, Contingency, and Alternative Approaches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Type</w:t>
            </w:r>
          </w:p>
        </w:tc>
        <w:tc>
          <w:tcPr/>
          <w:p>
            <w:pPr>
              <w:pStyle w:val="Compact"/>
            </w:pPr>
            <w:r>
              <w:t xml:space="preserve">Mitigation / contingency</w:t>
            </w:r>
          </w:p>
        </w:tc>
        <w:tc>
          <w:tcPr/>
          <w:p>
            <w:pPr>
              <w:pStyle w:val="Compact"/>
            </w:pPr>
            <w:r>
              <w:t xml:space="preserve">Alternative considered</w:t>
            </w:r>
          </w:p>
        </w:tc>
      </w:tr>
      <w:tr>
        <w:tc>
          <w:tcPr/>
          <w:p>
            <w:pPr>
              <w:pStyle w:val="Compact"/>
            </w:pPr>
            <w:r>
              <w:t xml:space="preserve">Cellular model not representative of in-vivo disease</w:t>
            </w:r>
          </w:p>
        </w:tc>
        <w:tc>
          <w:tcPr/>
          <w:p>
            <w:pPr>
              <w:pStyle w:val="Compact"/>
            </w:pPr>
            <w:r>
              <w:t xml:space="preserve">Technical</w:t>
            </w:r>
          </w:p>
        </w:tc>
        <w:tc>
          <w:tcPr/>
          <w:p>
            <w:pPr>
              <w:pStyle w:val="Compact"/>
            </w:pPr>
            <w:r>
              <w:t xml:space="preserve">Joint cellular-clinical shift space; genetic anchoring; multiple cell types</w:t>
            </w:r>
          </w:p>
        </w:tc>
        <w:tc>
          <w:tcPr/>
          <w:p>
            <w:pPr>
              <w:pStyle w:val="Compact"/>
            </w:pPr>
            <w:r>
              <w:t xml:space="preserve">In-vitro-only optimization (rejected: cannot separate artifacts)</w:t>
            </w:r>
          </w:p>
        </w:tc>
      </w:tr>
      <w:tr>
        <w:tc>
          <w:tcPr/>
          <w:p>
            <w:pPr>
              <w:pStyle w:val="Compact"/>
            </w:pPr>
            <w:r>
              <w:t xml:space="preserve">Causal identifiability from observational genomics</w:t>
            </w:r>
          </w:p>
        </w:tc>
        <w:tc>
          <w:tcPr/>
          <w:p>
            <w:pPr>
              <w:pStyle w:val="Compact"/>
            </w:pPr>
            <w:r>
              <w:t xml:space="preserve">Technical</w:t>
            </w:r>
          </w:p>
        </w:tc>
        <w:tc>
          <w:tcPr/>
          <w:p>
            <w:pPr>
              <w:pStyle w:val="Compact"/>
            </w:pPr>
            <w:r>
              <w:t xml:space="preserve">Closed-loop interventional cellular data; identifiability theory (Zhang 2023)</w:t>
            </w:r>
          </w:p>
        </w:tc>
        <w:tc>
          <w:tcPr/>
          <w:p>
            <w:pPr>
              <w:pStyle w:val="Compact"/>
            </w:pPr>
            <w:r>
              <w:t xml:space="preserve">Correlational foundation model only (rejected: not mechanistic)</w:t>
            </w:r>
          </w:p>
        </w:tc>
      </w:tr>
      <w:tr>
        <w:tc>
          <w:tcPr/>
          <w:p>
            <w:pPr>
              <w:pStyle w:val="Compact"/>
            </w:pPr>
            <w:r>
              <w:t xml:space="preserve">Cross-laboratory concordance below threshold</w:t>
            </w:r>
          </w:p>
        </w:tc>
        <w:tc>
          <w:tcPr/>
          <w:p>
            <w:pPr>
              <w:pStyle w:val="Compact"/>
            </w:pPr>
            <w:r>
              <w:t xml:space="preserve">Technical</w:t>
            </w:r>
          </w:p>
        </w:tc>
        <w:tc>
          <w:tcPr/>
          <w:p>
            <w:pPr>
              <w:pStyle w:val="Compact"/>
            </w:pPr>
            <w:r>
              <w:t xml:space="preserve">Calibration layer; reference materials; IV&amp;V artifacts; RFC governance</w:t>
            </w:r>
          </w:p>
        </w:tc>
        <w:tc>
          <w:tcPr/>
          <w:p>
            <w:pPr>
              <w:pStyle w:val="Compact"/>
            </w:pPr>
            <w:r>
              <w:t xml:space="preserve">Single-laboratory execution (rejected: violates marketplace goal)</w:t>
            </w:r>
          </w:p>
        </w:tc>
      </w:tr>
      <w:tr>
        <w:tc>
          <w:tcPr/>
          <w:p>
            <w:pPr>
              <w:pStyle w:val="Compact"/>
            </w:pPr>
            <w:r>
              <w:t xml:space="preserve">TA1/TA2 boundary for gap identification unclear</w:t>
            </w:r>
          </w:p>
        </w:tc>
        <w:tc>
          <w:tcPr/>
          <w:p>
            <w:pPr>
              <w:pStyle w:val="Compact"/>
            </w:pPr>
            <w:r>
              <w:t xml:space="preserve">Programmatic</w:t>
            </w:r>
          </w:p>
        </w:tc>
        <w:tc>
          <w:tcPr/>
          <w:p>
            <w:pPr>
              <w:pStyle w:val="Compact"/>
            </w:pPr>
            <w:r>
              <w:t xml:space="preserve">Co-design at the DDD workshop; explicit coverage map; schema ratified at Month 3</w:t>
            </w:r>
          </w:p>
        </w:tc>
        <w:tc>
          <w:tcPr/>
          <w:p>
            <w:pPr>
              <w:pStyle w:val="Compact"/>
            </w:pPr>
            <w:r>
              <w:t xml:space="preserve">Monolithic design (rejected: low cohesion)</w:t>
            </w:r>
          </w:p>
        </w:tc>
      </w:tr>
      <w:tr>
        <w:tc>
          <w:tcPr/>
          <w:p>
            <w:pPr>
              <w:pStyle w:val="Compact"/>
            </w:pPr>
            <w:r>
              <w:t xml:space="preserve">Tegtmeyer wet-lab stand-up at Purdue slips</w:t>
            </w:r>
          </w:p>
        </w:tc>
        <w:tc>
          <w:tcPr/>
          <w:p>
            <w:pPr>
              <w:pStyle w:val="Compact"/>
            </w:pPr>
            <w:r>
              <w:t xml:space="preserve">Programmatic</w:t>
            </w:r>
          </w:p>
        </w:tc>
        <w:tc>
          <w:tcPr/>
          <w:p>
            <w:pPr>
              <w:pStyle w:val="Compact"/>
            </w:pPr>
            <w:r>
              <w:t xml:space="preserve">Phase I equipment budgeted (~$1.0M) for Tegtmeyer’s bench and imaging; Carpenter’s computational analysis continuity is IPAI/Purdue based (no separate Broad sub-award)</w:t>
            </w:r>
          </w:p>
        </w:tc>
        <w:tc>
          <w:tcPr/>
          <w:p>
            <w:pPr>
              <w:pStyle w:val="Compact"/>
            </w:pPr>
            <w:r>
              <w:t xml:space="preserve">Defer equipment to Phase II (rejected: risks the Phase I walking-skeleton gate)</w:t>
            </w:r>
          </w:p>
        </w:tc>
      </w:tr>
      <w:tr>
        <w:tc>
          <w:tcPr/>
          <w:p>
            <w:pPr>
              <w:pStyle w:val="Compact"/>
            </w:pPr>
            <w:r>
              <w:t xml:space="preserve">Software Architect final confirmation</w:t>
            </w:r>
          </w:p>
        </w:tc>
        <w:tc>
          <w:tcPr/>
          <w:p>
            <w:pPr>
              <w:pStyle w:val="Compact"/>
            </w:pPr>
            <w:r>
              <w:t xml:space="preserve">Programmatic</w:t>
            </w:r>
          </w:p>
        </w:tc>
        <w:tc>
          <w:tcPr/>
          <w:p>
            <w:pPr>
              <w:pStyle w:val="Compact"/>
            </w:pPr>
            <w:r>
              <w:t xml:space="preserve">Elham Jebalbarezi Sarbijan (IPAI/Purdue) identified, tentative; SIFT confirmed for TA3; DataTecnica (TA2) pending OCI/eligibility</w:t>
            </w:r>
          </w:p>
        </w:tc>
        <w:tc>
          <w:tcPr/>
          <w:p>
            <w:pPr>
              <w:pStyle w:val="Compact"/>
            </w:pPr>
            <w:r>
              <w:t xml:space="preserve">Sole-source dependence (rejected)</w:t>
            </w:r>
          </w:p>
        </w:tc>
      </w:tr>
      <w:tr>
        <w:tc>
          <w:tcPr/>
          <w:p>
            <w:pPr>
              <w:pStyle w:val="Compact"/>
            </w:pPr>
            <w:r>
              <w:t xml:space="preserve">OCI / eligibility (federal-employee status)</w:t>
            </w:r>
          </w:p>
        </w:tc>
        <w:tc>
          <w:tcPr/>
          <w:p>
            <w:pPr>
              <w:pStyle w:val="Compact"/>
            </w:pPr>
            <w:r>
              <w:t xml:space="preserve">Compliance</w:t>
            </w:r>
          </w:p>
        </w:tc>
        <w:tc>
          <w:tcPr/>
          <w:p>
            <w:pPr>
              <w:pStyle w:val="Compact"/>
            </w:pPr>
            <w:r>
              <w:t xml:space="preserve">Counsel-led OCI review; DataTecnica pending clearance; Transfyr and SPOC declined 2026-06-18 and are not named</w:t>
            </w:r>
          </w:p>
        </w:tc>
        <w:tc>
          <w:tcPr/>
          <w:p>
            <w:pPr>
              <w:pStyle w:val="Compact"/>
            </w:pPr>
            <w:r>
              <w:t xml:space="preserve">Include without clearance (rejected)</w:t>
            </w:r>
          </w:p>
        </w:tc>
      </w:tr>
      <w:tr>
        <w:tc>
          <w:tcPr/>
          <w:p>
            <w:pPr>
              <w:pStyle w:val="Compact"/>
            </w:pPr>
            <w:r>
              <w:t xml:space="preserve">LLM hallucination in TA2</w:t>
            </w:r>
          </w:p>
        </w:tc>
        <w:tc>
          <w:tcPr/>
          <w:p>
            <w:pPr>
              <w:pStyle w:val="Compact"/>
            </w:pPr>
            <w:r>
              <w:t xml:space="preserve">Technical</w:t>
            </w:r>
          </w:p>
        </w:tc>
        <w:tc>
          <w:tcPr/>
          <w:p>
            <w:pPr>
              <w:pStyle w:val="Compact"/>
            </w:pPr>
            <w:r>
              <w:t xml:space="preserve">Mechanistic grounding; verification agents; human authorization of consequential actions</w:t>
            </w:r>
          </w:p>
        </w:tc>
        <w:tc>
          <w:tcPr/>
          <w:p>
            <w:pPr>
              <w:pStyle w:val="Compact"/>
            </w:pPr>
            <w:r>
              <w:t xml:space="preserve">LLM-only design (rejected, and excluded by IGoR)</w:t>
            </w:r>
          </w:p>
        </w:tc>
      </w:tr>
    </w:tbl>
    <w:bookmarkEnd w:id="21"/>
    <w:bookmarkStart w:id="22" w:name="X4b1629044c5238ff3862dc34bbd83eb5a0000a1"/>
    <w:p>
      <w:pPr>
        <w:pStyle w:val="Heading2"/>
      </w:pPr>
      <w:r>
        <w:t xml:space="preserve">6. Commercialization Strategy Narrative (&lt;=3 pages)</w:t>
      </w:r>
    </w:p>
    <w:p>
      <w:pPr>
        <w:pStyle w:val="FirstParagraph"/>
      </w:pPr>
      <w:r>
        <w:t xml:space="preserve">IGoR components reach sustained use through an open-core model stewarded by a non-profit. All software and data are released under permissive open-source licenses (Apache-2.0, MIT, or BSD), which maximizes adoption and aligns with ARPA-H’s open-source preference; narrowly scoped proprietary methods (the factorized-PRS axis method) are kept in an extensible proprietary namespace, which the TA3 standards explicitly permit. Three transition paths sustain the work beyond the program: a public-private partnership or cloud-laboratory provider operating the experiment marketplace as a continuing service; an academic-consortium or NIH-center home for the open disease model and protocol standards; and milestone-based funding from philanthropies, agencies, and patient organizations that invest in defined disease-understanding milestones. Cytognosis, as a 501(c)(3), can steward the open assets while a public-benefit pathway commercializes services without compromising openness. The protocol-stack deliverables (LabOP extensions for perturbation biology, the ExperimentIntent and LabCapabilityProfile schemas) are positioned for adoption by the bioprotocols standards community and instrument manufacturers, which broadens the sustaining base beyond any single award. Throughout, we demonstrate proof of concept by integrating IGoR technologies into realistic research workflows with external users in Phase III.</w:t>
      </w:r>
    </w:p>
    <w:bookmarkEnd w:id="22"/>
    <w:bookmarkStart w:id="23" w:name="capabilities-management-plan-2-pages"/>
    <w:p>
      <w:pPr>
        <w:pStyle w:val="Heading2"/>
      </w:pPr>
      <w:r>
        <w:t xml:space="preserve">7. Capabilities / Management Plan (&lt;=2 pages)</w:t>
      </w:r>
    </w:p>
    <w:p>
      <w:pPr>
        <w:pStyle w:val="FirstParagraph"/>
      </w:pPr>
      <w:r>
        <w:t xml:space="preserve">The team is one integrated performer under a single PI. IPAI/Purdue (prime) leads integration, program management, and software-architecture oversight, supports TA1 and TA2 as Grama and Carpenter co-leads, and hosts Anne Carpenter’s computational morphology/imaging-model group (no bench; TA1 co-lead and TA4 analysis bridge). Matthew Tegtmeyer’s wet-lab (academic experimental arm, TA4; his Purdue department is Biomedical Engineering / Integrative Neuroscience, distinct from IPAI) and Carpenter’s computational group are both Purdue-based but non-overlapping in function. Cytognosis leads TA1 disease-model development, the TA1-TA2 hypothesis interface, and co-leads TA2 experiment design; Shahin Mohammadi and Dan Bryce co-lead the one-semantic-foundation. SIFT leads TA2-TA3, TA3, and TA3-TA4; Cellanome (industry experimental arm) adds the live-cell and Perturb-seq TA4 arm. Carpenter’s analysis is fully in-house at IPAI/Purdue with no Broad sub-award. Illumina participates as optional in-kind sequencing and cloud. McLean and HMS provide clinical and cohort grounding (Ruzicka). Duane Valz serves as outside legal and IP counsel (not key personnel). Required roles are filled distinctly: Principal Investigator (Ananth Grama, IPAI), Project Manager (Patricia Purcell, ~0.3 FTE, engaged via Cytognosis; cross-TA coordination, delivery tracking, and reporting), ARPA-H Program Manager (Paul E. Sheehan, Ph.D.), and Software and Systems Architect (Cytognosis hire, recruiting; IPAI interim Elham Jebalbarezi Sarbijan, ~1.0 FTE), the last with architectural authority over interfaces and experience building API-first open-source systems, and explicitly distinct from the PI and PM. We manage with a living interface specification from the Domain-Driven Design workshop, schema ratification fixed at Month 3, milestone-based delivery tracking, dependency management across organizations, and Associate Performer Agreements to enable cross-team information exchange by Phase III. Tegtmeyer and Carpenter cover complementary, non-overlapping ground (wet-lab experiment execution versus computational morphology and imaging-model analysis), and both pair with Ruzicka’s clinical grounding without redundancy, which the team confirmed during teaming. PsychIGoR is uniquely constituted to bridge the clinical and cellular research traditions that are ordinarily siloed; the Tegtmeyer-Carpenter NeuroPainting collaboration is the demonstration that these traditions can operate as one integrated workflow on exactly the iPSC-neuron phenotyping challenge IGoR requires.</w:t>
      </w:r>
    </w:p>
    <w:bookmarkEnd w:id="23"/>
    <w:bookmarkStart w:id="24" w:name="Xbffdcd8ba20da40122af19a143678e62a3c786c"/>
    <w:p>
      <w:pPr>
        <w:pStyle w:val="Heading2"/>
      </w:pPr>
      <w:r>
        <w:t xml:space="preserve">8. Biographical Information (excluded from page limit)</w:t>
      </w:r>
    </w:p>
    <w:p>
      <w:pPr>
        <w:pStyle w:val="FirstParagraph"/>
      </w:pPr>
      <w:r>
        <w:t xml:space="preserve">NIH-format biosketches are provided for:</w:t>
      </w:r>
      <w:r>
        <w:t xml:space="preserve"> </w:t>
      </w:r>
      <w:r>
        <w:rPr>
          <w:b/>
          <w:bCs/>
        </w:rPr>
        <w:t xml:space="preserve">Ananth Grama</w:t>
      </w:r>
      <w:r>
        <w:t xml:space="preserve"> </w:t>
      </w:r>
      <w:r>
        <w:t xml:space="preserve">(PI; computational systems, high-performance computing, data science; IPAI Director; TA1 and TA2 co-lead);</w:t>
      </w:r>
      <w:r>
        <w:t xml:space="preserve"> </w:t>
      </w:r>
      <w:r>
        <w:rPr>
          <w:b/>
          <w:bCs/>
        </w:rPr>
        <w:t xml:space="preserve">Shahin Mohammadi</w:t>
      </w:r>
      <w:r>
        <w:t xml:space="preserve"> </w:t>
      </w:r>
      <w:r>
        <w:t xml:space="preserve">(TA1 disease-model and TA1-TA2 hypothesis lead; TA2 co-lead; semantic foundation co-lead; computational biology, single-cell genomics, perturbation and causal modeling; co-author, schizophrenia single-cell multi-cohort atlas; Cytognosis Foundation);</w:t>
      </w:r>
      <w:r>
        <w:t xml:space="preserve"> </w:t>
      </w:r>
      <w:r>
        <w:rPr>
          <w:b/>
          <w:bCs/>
        </w:rPr>
        <w:t xml:space="preserve">Matthew Tegtmeyer</w:t>
      </w:r>
      <w:r>
        <w:t xml:space="preserve"> </w:t>
      </w:r>
      <w:r>
        <w:t xml:space="preserve">(TA4 academic execution lead, Purdue Biomedical Engineering / Integrative Neuroscience; TA1 disease-modeling contributor; developer of NeuroPainting; iPSC-derived NGN2 neuron differentiation, 22q11.2 phenomics and transcriptomics, fixed-cell high-plex multi-modal readouts);</w:t>
      </w:r>
      <w:r>
        <w:t xml:space="preserve"> </w:t>
      </w:r>
      <w:r>
        <w:rPr>
          <w:b/>
          <w:bCs/>
        </w:rPr>
        <w:t xml:space="preserve">Anne Carpenter</w:t>
      </w:r>
      <w:r>
        <w:t xml:space="preserve"> </w:t>
      </w:r>
      <w:r>
        <w:t xml:space="preserve">(TA1 co-lead, computational morphology and imaging models; inventor of Cell Painting and CellProfiler; co-author NeuroPainting; IPAI/Purdue; no wet bench);</w:t>
      </w:r>
      <w:r>
        <w:t xml:space="preserve"> </w:t>
      </w:r>
      <w:r>
        <w:rPr>
          <w:b/>
          <w:bCs/>
        </w:rPr>
        <w:t xml:space="preserve">W. Brad Ruzicka</w:t>
      </w:r>
      <w:r>
        <w:t xml:space="preserve"> </w:t>
      </w:r>
      <w:r>
        <w:t xml:space="preserve">(clinical co-lead; psychiatric single-cell neuroscience; McLean and HMS);</w:t>
      </w:r>
      <w:r>
        <w:t xml:space="preserve"> </w:t>
      </w:r>
      <w:r>
        <w:rPr>
          <w:b/>
          <w:bCs/>
        </w:rPr>
        <w:t xml:space="preserve">Dan Bryce</w:t>
      </w:r>
      <w:r>
        <w:t xml:space="preserve"> </w:t>
      </w:r>
      <w:r>
        <w:t xml:space="preserve">and</w:t>
      </w:r>
      <w:r>
        <w:t xml:space="preserve"> </w:t>
      </w:r>
      <w:r>
        <w:rPr>
          <w:b/>
          <w:bCs/>
        </w:rPr>
        <w:t xml:space="preserve">Robert Goldman</w:t>
      </w:r>
      <w:r>
        <w:t xml:space="preserve"> </w:t>
      </w:r>
      <w:r>
        <w:t xml:space="preserve">(TA2-TA3, TA3, and TA3-TA4 lead; automated planning, XPlan planner, LabOP standards; SIFT);</w:t>
      </w:r>
      <w:r>
        <w:t xml:space="preserve"> </w:t>
      </w:r>
      <w:r>
        <w:rPr>
          <w:b/>
          <w:bCs/>
        </w:rPr>
        <w:t xml:space="preserve">Kexin Huang</w:t>
      </w:r>
      <w:r>
        <w:t xml:space="preserve"> </w:t>
      </w:r>
      <w:r>
        <w:t xml:space="preserve">(TA2, optional; agentic biomedical AI, Biomni);</w:t>
      </w:r>
      <w:r>
        <w:t xml:space="preserve"> </w:t>
      </w:r>
      <w:r>
        <w:rPr>
          <w:b/>
          <w:bCs/>
        </w:rPr>
        <w:t xml:space="preserve">Patricia Purcell</w:t>
      </w:r>
      <w:r>
        <w:t xml:space="preserve"> </w:t>
      </w:r>
      <w:r>
        <w:t xml:space="preserve">(Project Manager, ~0.3 FTE); and the named Software and Systems Architect once confirmed. Biosketches do not count against the 40-page limit.</w:t>
      </w:r>
    </w:p>
    <w:bookmarkEnd w:id="24"/>
    <w:bookmarkStart w:id="25" w:name="Xbde16c35d31d3d64ffc0665d6348fb65a4515e7"/>
    <w:p>
      <w:pPr>
        <w:pStyle w:val="Heading2"/>
      </w:pPr>
      <w:r>
        <w:t xml:space="preserve">9. References Cited (excluded from page limit)</w:t>
      </w:r>
    </w:p>
    <w:p>
      <w:pPr>
        <w:pStyle w:val="Compact"/>
        <w:numPr>
          <w:ilvl w:val="0"/>
          <w:numId w:val="1001"/>
        </w:numPr>
      </w:pPr>
      <w:r>
        <w:t xml:space="preserve">Bunne C, Roohani Y, Rosen Y, et al. How to build the virtual cell with artificial intelligence: priorities and opportunities.</w:t>
      </w:r>
      <w:r>
        <w:t xml:space="preserve"> </w:t>
      </w:r>
      <w:r>
        <w:rPr>
          <w:i/>
          <w:iCs/>
        </w:rPr>
        <w:t xml:space="preserve">Cell</w:t>
      </w:r>
      <w:r>
        <w:t xml:space="preserve">. 2024;187(25):7045-7063. doi:10.1016/j.cell.2024.11.015.</w:t>
      </w:r>
    </w:p>
    <w:p>
      <w:pPr>
        <w:pStyle w:val="Compact"/>
        <w:numPr>
          <w:ilvl w:val="0"/>
          <w:numId w:val="1001"/>
        </w:numPr>
      </w:pPr>
      <w:r>
        <w:t xml:space="preserve">Zhang J, Squires C, Greenewald K, et al. Identifiability guarantees for causal disentanglement from soft interventions. NeurIPS. 2023. arXiv:2307.06250.</w:t>
      </w:r>
    </w:p>
    <w:p>
      <w:pPr>
        <w:pStyle w:val="Compact"/>
        <w:numPr>
          <w:ilvl w:val="0"/>
          <w:numId w:val="1001"/>
        </w:numPr>
      </w:pPr>
      <w:r>
        <w:t xml:space="preserve">Bereket M, Karaletsos T. Modelling cellular perturbations with the sparse additive mechanism shift VAE (SAMS-VAE). NeurIPS. 2023. arXiv:2311.02794.</w:t>
      </w:r>
    </w:p>
    <w:p>
      <w:pPr>
        <w:pStyle w:val="Compact"/>
        <w:numPr>
          <w:ilvl w:val="0"/>
          <w:numId w:val="1001"/>
        </w:numPr>
      </w:pPr>
      <w:r>
        <w:t xml:space="preserve">de la Fuente J, Lehmann R, Ruiz-Arenas C, et al. Interpretable causal representation learning in pathway space (SENA-discrepancy-VAE). ICLR. 2025. arXiv:2506.12439.</w:t>
      </w:r>
    </w:p>
    <w:p>
      <w:pPr>
        <w:pStyle w:val="Compact"/>
        <w:numPr>
          <w:ilvl w:val="0"/>
          <w:numId w:val="1001"/>
        </w:numPr>
      </w:pPr>
      <w:r>
        <w:t xml:space="preserve">Lopez R, Tagasovska N, Ra S, et al. Learning causal representations of single cells via sparse mechanism shift modeling (sVAE+). CLeaR. 2023. arXiv:2211.03553.</w:t>
      </w:r>
    </w:p>
    <w:p>
      <w:pPr>
        <w:pStyle w:val="Compact"/>
        <w:numPr>
          <w:ilvl w:val="0"/>
          <w:numId w:val="1001"/>
        </w:numPr>
      </w:pPr>
      <w:r>
        <w:t xml:space="preserve">Gonzalez G, Lin X, Herath I, et al. Combinatorial prediction of therapeutic perturbations using causally inspired neural networks (PDGrapher).</w:t>
      </w:r>
      <w:r>
        <w:t xml:space="preserve"> </w:t>
      </w:r>
      <w:r>
        <w:rPr>
          <w:i/>
          <w:iCs/>
        </w:rPr>
        <w:t xml:space="preserve">Nat Biomed Eng</w:t>
      </w:r>
      <w:r>
        <w:t xml:space="preserve">. 2025. doi:10.1038/s41551-025-01481-x.</w:t>
      </w:r>
    </w:p>
    <w:p>
      <w:pPr>
        <w:pStyle w:val="Compact"/>
        <w:numPr>
          <w:ilvl w:val="0"/>
          <w:numId w:val="1001"/>
        </w:numPr>
      </w:pPr>
      <w:r>
        <w:t xml:space="preserve">Minikel EV, Painter JL, Dong CC, Nelson MR. Refining the impact of genetic evidence on clinical success.</w:t>
      </w:r>
      <w:r>
        <w:t xml:space="preserve"> </w:t>
      </w:r>
      <w:r>
        <w:rPr>
          <w:i/>
          <w:iCs/>
        </w:rPr>
        <w:t xml:space="preserve">Nature</w:t>
      </w:r>
      <w:r>
        <w:t xml:space="preserve">. 2024;629(8012):624-629. doi:10.1038/s41586-024-07316-0.</w:t>
      </w:r>
    </w:p>
    <w:p>
      <w:pPr>
        <w:pStyle w:val="Compact"/>
        <w:numPr>
          <w:ilvl w:val="0"/>
          <w:numId w:val="1001"/>
        </w:numPr>
      </w:pPr>
      <w:r>
        <w:t xml:space="preserve">Nelson MR, Tipney H, Painter JL, et al. The support of human genetic evidence for approved drug indications.</w:t>
      </w:r>
      <w:r>
        <w:t xml:space="preserve"> </w:t>
      </w:r>
      <w:r>
        <w:rPr>
          <w:i/>
          <w:iCs/>
        </w:rPr>
        <w:t xml:space="preserve">Nat Genet</w:t>
      </w:r>
      <w:r>
        <w:t xml:space="preserve">. 2015;47(8):856-860. doi:10.1038/ng.3314.</w:t>
      </w:r>
    </w:p>
    <w:p>
      <w:pPr>
        <w:pStyle w:val="Compact"/>
        <w:numPr>
          <w:ilvl w:val="0"/>
          <w:numId w:val="1001"/>
        </w:numPr>
      </w:pPr>
      <w:r>
        <w:t xml:space="preserve">Trubetskoy V, Pardiñas AF, Qi T, et al. Mapping genomic loci implicates genes and synaptic biology in schizophrenia.</w:t>
      </w:r>
      <w:r>
        <w:t xml:space="preserve"> </w:t>
      </w:r>
      <w:r>
        <w:rPr>
          <w:i/>
          <w:iCs/>
        </w:rPr>
        <w:t xml:space="preserve">Nature</w:t>
      </w:r>
      <w:r>
        <w:t xml:space="preserve">. 2022;604(7906):502-508. doi:10.1038/s41586-022-04434-5.</w:t>
      </w:r>
    </w:p>
    <w:p>
      <w:pPr>
        <w:pStyle w:val="Compact"/>
        <w:numPr>
          <w:ilvl w:val="0"/>
          <w:numId w:val="1001"/>
        </w:numPr>
      </w:pPr>
      <w:r>
        <w:t xml:space="preserve">Singh T, Poterba T, Curtis D, et al. Rare coding variants in ten genes confer substantial risk for schizophrenia (SCHEMA).</w:t>
      </w:r>
      <w:r>
        <w:t xml:space="preserve"> </w:t>
      </w:r>
      <w:r>
        <w:rPr>
          <w:i/>
          <w:iCs/>
        </w:rPr>
        <w:t xml:space="preserve">Nature</w:t>
      </w:r>
      <w:r>
        <w:t xml:space="preserve">. 2022;604(7906):509-516. doi:10.1038/s41586-022-04556-w.</w:t>
      </w:r>
    </w:p>
    <w:p>
      <w:pPr>
        <w:pStyle w:val="Compact"/>
        <w:numPr>
          <w:ilvl w:val="0"/>
          <w:numId w:val="1001"/>
        </w:numPr>
      </w:pPr>
      <w:r>
        <w:t xml:space="preserve">Ruzicka WB, Mohammadi S, Fullard JF, et al. Single-cell multi-cohort dissection of the schizophrenia transcriptome.</w:t>
      </w:r>
      <w:r>
        <w:t xml:space="preserve"> </w:t>
      </w:r>
      <w:r>
        <w:rPr>
          <w:i/>
          <w:iCs/>
        </w:rPr>
        <w:t xml:space="preserve">Science</w:t>
      </w:r>
      <w:r>
        <w:t xml:space="preserve">. 2024;384(6698):eadg5136. doi:10.1126/science.adg5136.</w:t>
      </w:r>
    </w:p>
    <w:p>
      <w:pPr>
        <w:pStyle w:val="Compact"/>
        <w:numPr>
          <w:ilvl w:val="0"/>
          <w:numId w:val="1001"/>
        </w:numPr>
      </w:pPr>
      <w:r>
        <w:t xml:space="preserve">Emani PS, Liu JJ, Clarke D, et al. Single-cell genomics and regulatory networks for 388 human brains (PsychENCODE).</w:t>
      </w:r>
      <w:r>
        <w:t xml:space="preserve"> </w:t>
      </w:r>
      <w:r>
        <w:rPr>
          <w:i/>
          <w:iCs/>
        </w:rPr>
        <w:t xml:space="preserve">Science</w:t>
      </w:r>
      <w:r>
        <w:t xml:space="preserve">. 2024;384(6698):eadi5199. doi:10.1126/science.adi5199.</w:t>
      </w:r>
    </w:p>
    <w:p>
      <w:pPr>
        <w:pStyle w:val="Compact"/>
        <w:numPr>
          <w:ilvl w:val="0"/>
          <w:numId w:val="1001"/>
        </w:numPr>
      </w:pPr>
      <w:r>
        <w:t xml:space="preserve">Tegtmeyer M, Liyanage D, Han Y, et al. Combining phenomics with transcriptomics reveals cell-type-specific morphological and molecular signatures of the 22q11.2 deletion.</w:t>
      </w:r>
      <w:r>
        <w:t xml:space="preserve"> </w:t>
      </w:r>
      <w:r>
        <w:rPr>
          <w:i/>
          <w:iCs/>
        </w:rPr>
        <w:t xml:space="preserve">Nat Commun</w:t>
      </w:r>
      <w:r>
        <w:t xml:space="preserve">. 2025;16(1):6332. doi:10.1038/s41467-025-61547-x.</w:t>
      </w:r>
    </w:p>
    <w:p>
      <w:pPr>
        <w:pStyle w:val="Compact"/>
        <w:numPr>
          <w:ilvl w:val="0"/>
          <w:numId w:val="1001"/>
        </w:numPr>
      </w:pPr>
      <w:r>
        <w:t xml:space="preserve">Bartley B, Beal J, Karr JR, et al. The Laboratory Open Protocol language (LabOP / PAML).</w:t>
      </w:r>
      <w:r>
        <w:t xml:space="preserve"> </w:t>
      </w:r>
      <w:r>
        <w:rPr>
          <w:i/>
          <w:iCs/>
        </w:rPr>
        <w:t xml:space="preserve">ACM J Emerg Technol Comput Syst</w:t>
      </w:r>
      <w:r>
        <w:t xml:space="preserve">. 2023. doi:10.1145/3604568.</w:t>
      </w:r>
    </w:p>
    <w:p>
      <w:pPr>
        <w:pStyle w:val="Compact"/>
        <w:numPr>
          <w:ilvl w:val="0"/>
          <w:numId w:val="1001"/>
        </w:numPr>
      </w:pPr>
      <w:r>
        <w:t xml:space="preserve">Juchli M. SiLA 2: standardized device interfaces and data formats for laboratory automation. 2022.</w:t>
      </w:r>
    </w:p>
    <w:p>
      <w:pPr>
        <w:pStyle w:val="Compact"/>
        <w:numPr>
          <w:ilvl w:val="0"/>
          <w:numId w:val="1001"/>
        </w:numPr>
      </w:pPr>
      <w:r>
        <w:t xml:space="preserve">Falaguera MJ, McDonagh EM, Ochoa D, et al. Temporal trends in evidence supporting novel drug-target discovery (Open Targets).</w:t>
      </w:r>
      <w:r>
        <w:t xml:space="preserve"> </w:t>
      </w:r>
      <w:r>
        <w:rPr>
          <w:i/>
          <w:iCs/>
        </w:rPr>
        <w:t xml:space="preserve">Nat Commun</w:t>
      </w:r>
      <w:r>
        <w:t xml:space="preserve">. 2025. doi:10.1038/s41467-025-67180-y.</w:t>
      </w:r>
    </w:p>
    <w:p>
      <w:pPr>
        <w:pStyle w:val="Compact"/>
        <w:numPr>
          <w:ilvl w:val="0"/>
          <w:numId w:val="1001"/>
        </w:numPr>
      </w:pPr>
      <w:r>
        <w:t xml:space="preserve">Xu J, Yu C, Xu J, et al. PubMed knowledge graph 2.0.</w:t>
      </w:r>
      <w:r>
        <w:t xml:space="preserve"> </w:t>
      </w:r>
      <w:r>
        <w:rPr>
          <w:i/>
          <w:iCs/>
        </w:rPr>
        <w:t xml:space="preserve">Sci Data</w:t>
      </w:r>
      <w:r>
        <w:t xml:space="preserve">. 2025;12:1018. doi:10.1038/s41597-025-05343-8.</w:t>
      </w:r>
    </w:p>
    <w:p>
      <w:pPr>
        <w:pStyle w:val="Compact"/>
        <w:numPr>
          <w:ilvl w:val="0"/>
          <w:numId w:val="1001"/>
        </w:numPr>
      </w:pPr>
      <w:r>
        <w:t xml:space="preserve">ARPA-H. Intelligent Generator of Research (IGoR) Innovative Solutions Opening, ARPA-H-SOL-26-155. 2026.</w:t>
      </w:r>
    </w:p>
    <w:bookmarkEnd w:id="25"/>
    <w:bookmarkEnd w:id="26"/>
    <w:sectPr>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line="260" w:lineRule="exact"/>
    </w:pPr>
    <w:rPr>
      <w:rFonts w:ascii="Inter Variable" w:hAnsi="Inter Variable"/>
      <w:b w:val="0"/>
      <w:sz w:val="22"/>
    </w:rPr>
  </w:style>
  <w:style w:styleId="BodyText" w:type="paragraph">
    <w:name w:val="Body Text"/>
    <w:basedOn w:val="Normal"/>
    <w:link w:val="BodyTextChar"/>
    <w:qFormat/>
    <w:pPr>
      <w:spacing w:after="60" w:before="0" w:line="260" w:lineRule="exact"/>
    </w:pPr>
    <w:rPr>
      <w:rFonts w:ascii="Inter Variable" w:hAnsi="Inter Variable"/>
      <w:b w:val="0"/>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line="240" w:lineRule="exact"/>
    </w:pPr>
    <w:rPr>
      <w:rFonts w:ascii="Inter Variable" w:hAnsi="Inter Variable"/>
      <w:b w:val="0"/>
      <w:sz w:val="22"/>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Inter Variable" w:asciiTheme="majorHAnsi" w:cstheme="majorBidi" w:eastAsiaTheme="majorEastAsia" w:hAnsi="Inter Variable" w:hAnsiTheme="majorHAnsi"/>
      <w:b/>
      <w:color w:val="5145A8"/>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120"/>
      <w:outlineLvl w:val="0"/>
    </w:pPr>
    <w:rPr>
      <w:rFonts w:ascii="Inter Variable" w:asciiTheme="majorHAnsi" w:cstheme="majorBidi" w:eastAsiaTheme="majorEastAsia" w:hAnsi="Inter Variable" w:hAnsiTheme="majorHAnsi"/>
      <w:b/>
      <w:color w:val="5145A8"/>
      <w:sz w:val="26"/>
      <w:szCs w:val="40"/>
    </w:rPr>
  </w:style>
  <w:style w:styleId="Heading2" w:type="paragraph">
    <w:name w:val="heading 2"/>
    <w:basedOn w:val="Normal"/>
    <w:next w:val="BodyText"/>
    <w:link w:val="Heading2Char"/>
    <w:uiPriority w:val="9"/>
    <w:semiHidden/>
    <w:unhideWhenUsed/>
    <w:qFormat/>
    <w:rsid w:val="00A10FD9"/>
    <w:pPr>
      <w:keepNext/>
      <w:keepLines/>
      <w:spacing w:after="40" w:before="80"/>
      <w:outlineLvl w:val="1"/>
    </w:pPr>
    <w:rPr>
      <w:rFonts w:ascii="Inter Variable" w:asciiTheme="majorHAnsi" w:cstheme="majorBidi" w:eastAsiaTheme="majorEastAsia" w:hAnsi="Inter Variable" w:hAnsiTheme="majorHAnsi"/>
      <w:b/>
      <w:color w:val="8B3FC7"/>
      <w:sz w:val="23"/>
      <w:szCs w:val="32"/>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ascii="Inter Variable" w:cstheme="majorBidi" w:eastAsiaTheme="majorEastAsia" w:hAnsi="Inter Variable"/>
      <w:b/>
      <w:color w:val="8B3FC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2026-06-21T23:42:05Z</dcterms:created>
  <dcterms:modified xsi:type="dcterms:W3CDTF">2026-06-21T23:42:05Z</dcterms:modified>
</cp:coreProperties>
</file>

<file path=docProps/custom.xml><?xml version="1.0" encoding="utf-8"?>
<Properties xmlns="http://schemas.openxmlformats.org/officeDocument/2006/custom-properties" xmlns:vt="http://schemas.openxmlformats.org/officeDocument/2006/docPropsVTypes"/>
</file>