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3524" w14:textId="6A2F5936" w:rsidR="00AE0DC6" w:rsidRPr="00BF004F" w:rsidRDefault="00AE0DC6" w:rsidP="004A2780">
      <w:pPr>
        <w:widowControl/>
        <w:autoSpaceDE/>
        <w:autoSpaceDN/>
        <w:spacing w:line="240" w:lineRule="atLeast"/>
        <w:ind w:left="-720"/>
        <w:jc w:val="center"/>
        <w:rPr>
          <w:rStyle w:val="IntenseReference"/>
          <w:rFonts w:ascii="Avenir Next LT Pro Light" w:hAnsi="Avenir Next LT Pro Light"/>
          <w:color w:val="000000" w:themeColor="text1"/>
          <w:sz w:val="28"/>
          <w:szCs w:val="28"/>
        </w:rPr>
      </w:pPr>
      <w:r>
        <w:rPr>
          <w:rStyle w:val="IntenseReference"/>
          <w:rFonts w:ascii="Avenir Next LT Pro Light" w:hAnsi="Avenir Next LT Pro Light"/>
          <w:color w:val="000000" w:themeColor="text1"/>
          <w:sz w:val="28"/>
          <w:szCs w:val="28"/>
        </w:rPr>
        <w:t>Task Description Document (TDD)</w:t>
      </w:r>
    </w:p>
    <w:p>
      <w:pPr>
        <w:spacing w:line="240" w:lineRule="atLeast"/>
      </w:pPr>
    </w:p>
    <w:p>
      <w:pPr>
        <w:widowControl/>
        <w:autoSpaceDE/>
        <w:autoSpaceDN/>
        <w:spacing w:line="240" w:lineRule="atLeast"/>
        <w:jc w:val="both"/>
      </w:pPr>
      <w:r>
        <w:rPr>
          <w:rFonts w:ascii="Avenir Next LT Pro Light" w:hAnsi="Avenir Next LT Pro Light"/>
          <w:color w:val="000000"/>
          <w:b/>
          <w:bCs/>
        </w:rPr>
        <w:t>Proposal title:</w:t>
      </w:r>
      <w:r>
        <w:rPr>
          <w:rFonts w:ascii="Avenir Next LT Pro Light" w:hAnsi="Avenir Next LT Pro Light"/>
          <w:color w:val="000000"/>
        </w:rPr>
        <w:t xml:space="preserve"> A Closed-Loop, Mechanistically Grounded Research Engine for Complex Neuropsychiatric Disease: Schizophrenia to Bipolar Disorder</w:t>
      </w:r>
    </w:p>
    <w:p>
      <w:pPr>
        <w:widowControl/>
        <w:autoSpaceDE/>
        <w:autoSpaceDN/>
        <w:spacing w:line="240" w:lineRule="atLeast"/>
        <w:jc w:val="both"/>
      </w:pPr>
      <w:r>
        <w:rPr>
          <w:rFonts w:ascii="Avenir Next LT Pro Light" w:hAnsi="Avenir Next LT Pro Light"/>
          <w:color w:val="000000"/>
          <w:b/>
          <w:bCs/>
        </w:rPr>
        <w:t>Prime organization:</w:t>
      </w:r>
      <w:r>
        <w:rPr>
          <w:rFonts w:ascii="Avenir Next LT Pro Light" w:hAnsi="Avenir Next LT Pro Light"/>
          <w:color w:val="000000"/>
        </w:rPr>
        <w:t xml:space="preserve"> Institute for Physical AI (IPAI), Purdue University</w:t>
      </w:r>
    </w:p>
    <w:p>
      <w:pPr>
        <w:widowControl/>
        <w:autoSpaceDE/>
        <w:autoSpaceDN/>
        <w:spacing w:line="240" w:lineRule="atLeast"/>
        <w:jc w:val="both"/>
      </w:pPr>
      <w:r>
        <w:rPr>
          <w:rFonts w:ascii="Avenir Next LT Pro Light" w:hAnsi="Avenir Next LT Pro Light"/>
          <w:color w:val="000000"/>
          <w:b/>
          <w:bCs/>
        </w:rPr>
        <w:t>Program:</w:t>
      </w:r>
      <w:r>
        <w:rPr>
          <w:rFonts w:ascii="Avenir Next LT Pro Light" w:hAnsi="Avenir Next LT Pro Light"/>
          <w:color w:val="000000"/>
        </w:rPr>
        <w:t xml:space="preserve"> ARPA-H-SOL-26-155 (Intelligent Generator of Research, IGoR), Proactive Health Office</w:t>
      </w:r>
    </w:p>
    <w:p>
      <w:pPr>
        <w:widowControl/>
        <w:autoSpaceDE/>
        <w:autoSpaceDN/>
        <w:spacing w:line="240" w:lineRule="atLeast"/>
        <w:jc w:val="both"/>
      </w:pPr>
      <w:r>
        <w:rPr>
          <w:rFonts w:ascii="Avenir Next LT Pro Light" w:hAnsi="Avenir Next LT Pro Light"/>
          <w:color w:val="000000"/>
          <w:b/>
          <w:bCs/>
        </w:rPr>
        <w:t>Award instrument:</w:t>
      </w:r>
      <w:r>
        <w:rPr>
          <w:rFonts w:ascii="Avenir Next LT Pro Light" w:hAnsi="Avenir Next LT Pro Light"/>
          <w:color w:val="000000"/>
        </w:rPr>
        <w:t xml:space="preserve"> Other Transaction</w:t>
      </w:r>
    </w:p>
    <w:p>
      <w:pPr>
        <w:widowControl/>
        <w:autoSpaceDE/>
        <w:autoSpaceDN/>
        <w:spacing w:line="240" w:lineRule="atLeast"/>
        <w:jc w:val="both"/>
      </w:pPr>
      <w:r>
        <w:rPr>
          <w:rFonts w:ascii="Avenir Next LT Pro Light" w:hAnsi="Avenir Next LT Pro Light"/>
          <w:color w:val="000000"/>
          <w:b/>
          <w:bCs/>
        </w:rPr>
        <w:t>Period of performance:</w:t>
      </w:r>
      <w:r>
        <w:rPr>
          <w:rFonts w:ascii="Avenir Next LT Pro Light" w:hAnsi="Avenir Next LT Pro Light"/>
          <w:color w:val="000000"/>
        </w:rPr>
        <w:t xml:space="preserve"> 60 months (Phase I Months 0–18; Phase II Months 18–36; Phase III Months 36–60)</w:t>
      </w:r>
    </w:p>
    <w:p>
      <w:pPr>
        <w:widowControl/>
        <w:autoSpaceDE/>
        <w:autoSpaceDN/>
        <w:spacing w:line="240" w:lineRule="atLeast"/>
        <w:jc w:val="both"/>
      </w:pPr>
      <w:r>
        <w:rPr>
          <w:rFonts w:ascii="Avenir Next LT Pro Light" w:hAnsi="Avenir Next LT Pro Light"/>
          <w:color w:val="000000"/>
          <w:b/>
          <w:bCs/>
        </w:rPr>
        <w:t>Total ARPA-H request:</w:t>
      </w:r>
      <w:r>
        <w:rPr>
          <w:rFonts w:ascii="Avenir Next LT Pro Light" w:hAnsi="Avenir Next LT Pro Light"/>
          <w:color w:val="000000"/>
        </w:rPr>
        <w:t xml:space="preserve"> ~$42,900,000 (~$43M; bottom-up planning estimate; Appendix C.4 workbook controlling)</w:t>
      </w:r>
    </w:p>
    <w:p>
      <w:pPr>
        <w:widowControl/>
        <w:autoSpaceDE/>
        <w:autoSpaceDN/>
        <w:spacing w:line="240" w:lineRule="atLeast"/>
        <w:jc w:val="both"/>
      </w:pPr>
      <w:r>
        <w:rPr>
          <w:rFonts w:ascii="Avenir Next LT Pro Light" w:hAnsi="Avenir Next LT Pro Light"/>
          <w:color w:val="000000"/>
          <w:b/>
          <w:bCs/>
        </w:rPr>
        <w:t>Date:</w:t>
      </w:r>
      <w:r>
        <w:rPr>
          <w:rFonts w:ascii="Avenir Next LT Pro Light" w:hAnsi="Avenir Next LT Pro Light"/>
          <w:color w:val="000000"/>
        </w:rPr>
        <w:t xml:space="preserve"> 2026-08-06</w:t>
      </w:r>
    </w:p>
    <w:p>
      <w:pPr>
        <w:spacing w:line="240" w:lineRule="atLeast"/>
      </w:pPr>
    </w:p>
    <w:p>
      <w:pPr>
        <w:widowControl/>
        <w:autoSpaceDE/>
        <w:autoSpaceDN/>
        <w:spacing w:line="240" w:lineRule="atLeast"/>
        <w:jc w:val="both"/>
      </w:pPr>
      <w:r>
        <w:rPr>
          <w:rFonts w:ascii="Avenir Next LT Pro Light" w:hAnsi="Avenir Next LT Pro Light"/>
          <w:color w:val="000000"/>
          <w:b/>
          <w:bCs/>
          <w:sz w:val="24"/>
          <w:szCs w:val="24"/>
        </w:rPr>
        <w:t>General Objective</w:t>
      </w:r>
    </w:p>
    <w:p>
      <w:pPr>
        <w:spacing w:line="240" w:lineRule="atLeast"/>
      </w:pPr>
    </w:p>
    <w:p>
      <w:pPr>
        <w:widowControl/>
        <w:autoSpaceDE/>
        <w:autoSpaceDN/>
        <w:spacing w:line="240" w:lineRule="atLeast"/>
        <w:jc w:val="both"/>
      </w:pPr>
      <w:r>
        <w:rPr>
          <w:rFonts w:ascii="Avenir Next LT Pro Light" w:hAnsi="Avenir Next LT Pro Light"/>
          <w:color w:val="000000"/>
        </w:rPr>
        <w:t>PsychIGoR will build, validate, and openly release a closed-loop biomedical research engine for complex neuropsychiatric disease. The engine couples four Technical Areas (TAs): a mechanistic, multiscale causal disease model (TA1); a New Science Engine that designs experiments by value of information against that model (TA2); a layered, instrument-agnostic protocol stack (TA3); and a marketplace of validated laboratories that execute TA3 protocols and return model-ready data to TA1 (TA4). Phase I establishes the architecture and a walking-skeleton closed loop focused on schizophrenia, anchored by the Stage 1 phenotypic-triage screen. Phase II demonstrates cross-team interoperability and a self-updating model, anchored by Stage 2 unbiased pooled Perturb-seq. Phase III scales to a unified marketplace and extends the second disease, bipolar disorder (which shares genetic architecture and cellular biology with schizophrenia), anchored by Stage 3 targeted combinatorial perturbation.</w:t>
      </w:r>
    </w:p>
    <w:p>
      <w:pPr>
        <w:spacing w:line="240" w:lineRule="atLeast"/>
      </w:pPr>
    </w:p>
    <w:p>
      <w:pPr>
        <w:widowControl/>
        <w:autoSpaceDE/>
        <w:autoSpaceDN/>
        <w:spacing w:line="240" w:lineRule="atLeast"/>
        <w:jc w:val="both"/>
      </w:pPr>
      <w:r>
        <w:rPr>
          <w:rFonts w:ascii="Avenir Next LT Pro Light" w:hAnsi="Avenir Next LT Pro Light"/>
          <w:color w:val="000000"/>
        </w:rPr>
        <w:t>Team PsychIGoR is uniquely constituted to bridge the clinical and cellular research traditions that are ordinarily pursued in separate organizations with different methods and literatures. The team unites world-class expertise in both the clinical dimension (Mohammadi, Ruzicka) and the cellular dimension (Tegtmeyer, Carpenter) of neuropsychiatric disease on one integrated team, and the cellular pair (Tegtmeyer and Carpenter) has already published together on exactly the iPSC-neuron phenotyping technology IGoR needs (NeuroPainting, Tegtmeyer et al. 2025).</w:t>
      </w:r>
    </w:p>
    <w:p>
      <w:pPr>
        <w:spacing w:line="240" w:lineRule="atLeast"/>
      </w:pPr>
    </w:p>
    <w:p>
      <w:pPr>
        <w:widowControl/>
        <w:autoSpaceDE/>
        <w:autoSpaceDN/>
        <w:spacing w:line="240" w:lineRule="atLeast"/>
        <w:jc w:val="both"/>
      </w:pPr>
      <w:r>
        <w:rPr>
          <w:rFonts w:ascii="Avenir Next LT Pro Light" w:hAnsi="Avenir Next LT Pro Light"/>
          <w:color w:val="000000"/>
          <w:b/>
          <w:bCs/>
        </w:rPr>
        <w:t>Human subjects:</w:t>
      </w:r>
      <w:r>
        <w:rPr>
          <w:rFonts w:ascii="Avenir Next LT Pro Light" w:hAnsi="Avenir Next LT Pro Light"/>
          <w:color w:val="000000"/>
        </w:rPr>
        <w:t xml:space="preserve"> None. All work uses (a) existing, de-identified cohort transcriptomic and genomic data governed by existing IRB approvals and NIH Genomic Data Sharing policy at the originating institutions, and (b) established or purpose-engineered iPSC lines (cell/tissue culture). No new human subjects research is conducted under this award.</w:t>
      </w:r>
    </w:p>
    <w:p>
      <w:pPr>
        <w:widowControl/>
        <w:autoSpaceDE/>
        <w:autoSpaceDN/>
        <w:spacing w:line="240" w:lineRule="atLeast"/>
        <w:jc w:val="both"/>
      </w:pPr>
      <w:r>
        <w:rPr>
          <w:rFonts w:ascii="Avenir Next LT Pro Light" w:hAnsi="Avenir Next LT Pro Light"/>
          <w:color w:val="000000"/>
          <w:b/>
          <w:bCs/>
        </w:rPr>
        <w:t>Animal subjects:</w:t>
      </w:r>
      <w:r>
        <w:rPr>
          <w:rFonts w:ascii="Avenir Next LT Pro Light" w:hAnsi="Avenir Next LT Pro Light"/>
          <w:color w:val="000000"/>
        </w:rPr>
        <w:t xml:space="preserve"> None. No vertebrate animal experiments are conducted under this award.</w:t>
      </w:r>
    </w:p>
    <w:p>
      <w:pPr>
        <w:spacing w:line="240" w:lineRule="atLeast"/>
      </w:pPr>
    </w:p>
    <w:p>
      <w:pPr>
        <w:widowControl/>
        <w:autoSpaceDE/>
        <w:autoSpaceDN/>
        <w:spacing w:line="240" w:lineRule="atLeast"/>
        <w:jc w:val="both"/>
      </w:pPr>
      <w:r>
        <w:rPr>
          <w:rFonts w:ascii="Avenir Next LT Pro Light" w:hAnsi="Avenir Next LT Pro Light"/>
          <w:color w:val="000000"/>
        </w:rPr>
        <w:t>Every task below cross-walks to Appendix C.3. The responsible organization is named explicitly for each task. IP assertions are provided for deliverables with less than Unlimited Rights; all other deliverables carry Unlimited Rights and will be released as open-source under Apache-2.0, MIT, or BSD licenses.</w:t>
      </w:r>
    </w:p>
    <w:p>
      <w:pPr>
        <w:spacing w:line="240" w:lineRule="atLeast"/>
      </w:pPr>
    </w:p>
    <w:p>
      <w:pPr>
        <w:widowControl/>
        <w:autoSpaceDE/>
        <w:autoSpaceDN/>
        <w:spacing w:line="240" w:lineRule="atLeast"/>
        <w:jc w:val="both"/>
      </w:pPr>
      <w:r>
        <w:rPr>
          <w:rFonts w:ascii="Avenir Next LT Pro Light" w:hAnsi="Avenir Next LT Pro Light"/>
          <w:color w:val="000000"/>
          <w:b/>
          <w:bCs/>
          <w:sz w:val="24"/>
          <w:szCs w:val="24"/>
        </w:rPr>
        <w:t>Task List Outline</w:t>
      </w:r>
    </w:p>
    <w:p>
      <w:pPr>
        <w:spacing w:line="240" w:lineRule="atLeast"/>
      </w:pPr>
    </w:p>
    <w:p>
      <w:pPr>
        <w:widowControl/>
        <w:autoSpaceDE/>
        <w:autoSpaceDN/>
        <w:spacing w:line="240" w:lineRule="atLeast"/>
        <w:jc w:val="both"/>
      </w:pPr>
      <w:r>
        <w:rPr>
          <w:rFonts w:ascii="Avenir Next LT Pro Light" w:hAnsi="Avenir Next LT Pro Light"/>
          <w:color w:val="000000"/>
          <w:b/>
          <w:bCs/>
        </w:rPr>
        <w:t>Phase I (Months 0–18): Concept and Component Development</w:t>
      </w:r>
    </w:p>
    <w:p>
      <w:pPr>
        <w:spacing w:line="240" w:lineRule="atLeast"/>
      </w:pPr>
    </w:p>
    <w:p>
      <w:pPr>
        <w:widowControl/>
        <w:autoSpaceDE/>
        <w:autoSpaceDN/>
        <w:spacing w:line="240" w:lineRule="atLeast"/>
        <w:jc w:val="both"/>
      </w:pPr>
      <w:r>
        <w:rPr>
          <w:rFonts w:ascii="Avenir Next LT Pro Light" w:hAnsi="Avenir Next LT Pro Light"/>
          <w:color w:val="000000"/>
        </w:rPr>
        <w:t>1.1.0  TA1: Disease Model Architecture and Causal Core</w:t>
      </w:r>
    </w:p>
    <w:p>
      <w:pPr>
        <w:widowControl/>
        <w:autoSpaceDE/>
        <w:autoSpaceDN/>
        <w:spacing w:line="240" w:lineRule="atLeast"/>
        <w:jc w:val="both"/>
      </w:pPr>
      <w:r>
        <w:rPr>
          <w:rFonts w:ascii="Avenir Next LT Pro Light" w:hAnsi="Avenir Next LT Pro Light"/>
          <w:color w:val="000000"/>
        </w:rPr>
        <w:t xml:space="preserve">    1.1.1  Multiscale network prior construction</w:t>
      </w:r>
    </w:p>
    <w:p>
      <w:pPr>
        <w:widowControl/>
        <w:autoSpaceDE/>
        <w:autoSpaceDN/>
        <w:spacing w:line="240" w:lineRule="atLeast"/>
        <w:jc w:val="both"/>
      </w:pPr>
      <w:r>
        <w:rPr>
          <w:rFonts w:ascii="Avenir Next LT Pro Light" w:hAnsi="Avenir Next LT Pro Light"/>
          <w:color w:val="000000"/>
        </w:rPr>
        <w:t xml:space="preserve">    1.1.2  Causal generative model: basal/disease/treatment three-latent SCM</w:t>
      </w:r>
    </w:p>
    <w:p>
      <w:pPr>
        <w:widowControl/>
        <w:autoSpaceDE/>
        <w:autoSpaceDN/>
        <w:spacing w:line="240" w:lineRule="atLeast"/>
        <w:jc w:val="both"/>
      </w:pPr>
      <w:r>
        <w:rPr>
          <w:rFonts w:ascii="Avenir Next LT Pro Light" w:hAnsi="Avenir Next LT Pro Light"/>
          <w:color w:val="000000"/>
        </w:rPr>
        <w:t xml:space="preserve">    1.1.3  Joint cellular-clinical shift space alignment</w:t>
      </w:r>
    </w:p>
    <w:p>
      <w:pPr>
        <w:widowControl/>
        <w:autoSpaceDE/>
        <w:autoSpaceDN/>
        <w:spacing w:line="240" w:lineRule="atLeast"/>
        <w:jc w:val="both"/>
      </w:pPr>
      <w:r>
        <w:rPr>
          <w:rFonts w:ascii="Avenir Next LT Pro Light" w:hAnsi="Avenir Next LT Pro Light"/>
          <w:color w:val="000000"/>
        </w:rPr>
        <w:t xml:space="preserve">    1.1.4  Ontology-conditioned hypothesis template and gap detection</w:t>
      </w:r>
    </w:p>
    <w:p>
      <w:pPr>
        <w:widowControl/>
        <w:autoSpaceDE/>
        <w:autoSpaceDN/>
        <w:spacing w:line="240" w:lineRule="atLeast"/>
        <w:jc w:val="both"/>
      </w:pPr>
      <w:r>
        <w:rPr>
          <w:rFonts w:ascii="Avenir Next LT Pro Light" w:hAnsi="Avenir Next LT Pro Light"/>
          <w:color w:val="000000"/>
        </w:rPr>
        <w:t>1.2.0  TA2: Orchestration Core and Experiment Design</w:t>
      </w:r>
    </w:p>
    <w:p>
      <w:pPr>
        <w:widowControl/>
        <w:autoSpaceDE/>
        <w:autoSpaceDN/>
        <w:spacing w:line="240" w:lineRule="atLeast"/>
        <w:jc w:val="both"/>
      </w:pPr>
      <w:r>
        <w:rPr>
          <w:rFonts w:ascii="Avenir Next LT Pro Light" w:hAnsi="Avenir Next LT Pro Light"/>
          <w:color w:val="000000"/>
        </w:rPr>
        <w:t xml:space="preserve">    1.2.1  Hypothesis tournament and adversarial critic framework</w:t>
      </w:r>
    </w:p>
    <w:p>
      <w:pPr>
        <w:widowControl/>
        <w:autoSpaceDE/>
        <w:autoSpaceDN/>
        <w:spacing w:line="240" w:lineRule="atLeast"/>
        <w:jc w:val="both"/>
      </w:pPr>
      <w:r>
        <w:rPr>
          <w:rFonts w:ascii="Avenir Next LT Pro Light" w:hAnsi="Avenir Next LT Pro Light"/>
          <w:color w:val="000000"/>
        </w:rPr>
        <w:t xml:space="preserve">    1.2.2  Mechanistic model-grounded RAP and value-of-information selection</w:t>
      </w:r>
    </w:p>
    <w:p>
      <w:pPr>
        <w:widowControl/>
        <w:autoSpaceDE/>
        <w:autoSpaceDN/>
        <w:spacing w:line="240" w:lineRule="atLeast"/>
        <w:jc w:val="both"/>
      </w:pPr>
      <w:r>
        <w:rPr>
          <w:rFonts w:ascii="Avenir Next LT Pro Light" w:hAnsi="Avenir Next LT Pro Light"/>
          <w:color w:val="000000"/>
        </w:rPr>
        <w:t xml:space="preserve">    1.2.3  ExperimentIntent schema and TA2-TA3 interface</w:t>
      </w:r>
    </w:p>
    <w:p>
      <w:pPr>
        <w:widowControl/>
        <w:autoSpaceDE/>
        <w:autoSpaceDN/>
        <w:spacing w:line="240" w:lineRule="atLeast"/>
        <w:jc w:val="both"/>
      </w:pPr>
      <w:r>
        <w:rPr>
          <w:rFonts w:ascii="Avenir Next LT Pro Light" w:hAnsi="Avenir Next LT Pro Light"/>
          <w:color w:val="000000"/>
        </w:rPr>
        <w:t>1.3.0  TA3: Protocol Schema and Calibration Artifacts (Version 1)</w:t>
      </w:r>
    </w:p>
    <w:p>
      <w:pPr>
        <w:widowControl/>
        <w:autoSpaceDE/>
        <w:autoSpaceDN/>
        <w:spacing w:line="240" w:lineRule="atLeast"/>
        <w:jc w:val="both"/>
      </w:pPr>
      <w:r>
        <w:rPr>
          <w:rFonts w:ascii="Avenir Next LT Pro Light" w:hAnsi="Avenir Next LT Pro Light"/>
          <w:color w:val="000000"/>
        </w:rPr>
        <w:t xml:space="preserve">    1.3.1  Four-layer protocol stack on LabOP</w:t>
      </w:r>
    </w:p>
    <w:p>
      <w:pPr>
        <w:widowControl/>
        <w:autoSpaceDE/>
        <w:autoSpaceDN/>
        <w:spacing w:line="240" w:lineRule="atLeast"/>
        <w:jc w:val="both"/>
      </w:pPr>
      <w:r>
        <w:rPr>
          <w:rFonts w:ascii="Avenir Next LT Pro Light" w:hAnsi="Avenir Next LT Pro Light"/>
          <w:color w:val="000000"/>
        </w:rPr>
        <w:t xml:space="preserve">    1.3.2  LabCapabilityProfile schema and SiLA 2 hardware integration</w:t>
      </w:r>
    </w:p>
    <w:p>
      <w:pPr>
        <w:widowControl/>
        <w:autoSpaceDE/>
        <w:autoSpaceDN/>
        <w:spacing w:line="240" w:lineRule="atLeast"/>
        <w:jc w:val="both"/>
      </w:pPr>
      <w:r>
        <w:rPr>
          <w:rFonts w:ascii="Avenir Next LT Pro Light" w:hAnsi="Avenir Next LT Pro Light"/>
          <w:color w:val="000000"/>
        </w:rPr>
        <w:t xml:space="preserve">    1.3.3  One-semantic-foundation schema ratification (DDD workshop, Month 3)</w:t>
      </w:r>
    </w:p>
    <w:p>
      <w:pPr>
        <w:widowControl/>
        <w:autoSpaceDE/>
        <w:autoSpaceDN/>
        <w:spacing w:line="240" w:lineRule="atLeast"/>
        <w:jc w:val="both"/>
      </w:pPr>
      <w:r>
        <w:rPr>
          <w:rFonts w:ascii="Avenir Next LT Pro Light" w:hAnsi="Avenir Next LT Pro Light"/>
          <w:color w:val="000000"/>
        </w:rPr>
        <w:t>1.4.0  TA4: Intra-Team Cell Line and Instrument Validation</w:t>
      </w:r>
    </w:p>
    <w:p>
      <w:pPr>
        <w:widowControl/>
        <w:autoSpaceDE/>
        <w:autoSpaceDN/>
        <w:spacing w:line="240" w:lineRule="atLeast"/>
        <w:jc w:val="both"/>
      </w:pPr>
      <w:r>
        <w:rPr>
          <w:rFonts w:ascii="Avenir Next LT Pro Light" w:hAnsi="Avenir Next LT Pro Light"/>
          <w:color w:val="000000"/>
        </w:rPr>
        <w:t xml:space="preserve">    1.4.1  Purdue in-house iPSC-neuron (22q11.2 anchor) and Cell Painting validation</w:t>
      </w:r>
    </w:p>
    <w:p>
      <w:pPr>
        <w:widowControl/>
        <w:autoSpaceDE/>
        <w:autoSpaceDN/>
        <w:spacing w:line="240" w:lineRule="atLeast"/>
        <w:jc w:val="both"/>
      </w:pPr>
      <w:r>
        <w:rPr>
          <w:rFonts w:ascii="Avenir Next LT Pro Light" w:hAnsi="Avenir Next LT Pro Light"/>
          <w:color w:val="000000"/>
        </w:rPr>
        <w:t xml:space="preserve">    1.4.2  Cellanome live-cell and Perturb-seq validation</w:t>
      </w:r>
    </w:p>
    <w:p>
      <w:pPr>
        <w:widowControl/>
        <w:autoSpaceDE/>
        <w:autoSpaceDN/>
        <w:spacing w:line="240" w:lineRule="atLeast"/>
        <w:jc w:val="both"/>
      </w:pPr>
      <w:r>
        <w:rPr>
          <w:rFonts w:ascii="Avenir Next LT Pro Light" w:hAnsi="Avenir Next LT Pro Light"/>
          <w:color w:val="000000"/>
        </w:rPr>
        <w:t xml:space="preserve">    1.4.3  Illumina sequencing validation and BCA data access</w:t>
      </w:r>
    </w:p>
    <w:p>
      <w:pPr>
        <w:widowControl/>
        <w:autoSpaceDE/>
        <w:autoSpaceDN/>
        <w:spacing w:line="240" w:lineRule="atLeast"/>
        <w:jc w:val="both"/>
      </w:pPr>
      <w:r>
        <w:rPr>
          <w:rFonts w:ascii="Avenir Next LT Pro Light" w:hAnsi="Avenir Next LT Pro Light"/>
          <w:color w:val="000000"/>
        </w:rPr>
        <w:t>1.5.0  Program Integration: Walking-Skeleton Closed Loop</w:t>
      </w:r>
    </w:p>
    <w:p>
      <w:pPr>
        <w:spacing w:line="240" w:lineRule="atLeast"/>
      </w:pPr>
    </w:p>
    <w:p>
      <w:pPr>
        <w:widowControl/>
        <w:autoSpaceDE/>
        <w:autoSpaceDN/>
        <w:spacing w:line="240" w:lineRule="atLeast"/>
        <w:jc w:val="both"/>
      </w:pPr>
      <w:r>
        <w:rPr>
          <w:rFonts w:ascii="Avenir Next LT Pro Light" w:hAnsi="Avenir Next LT Pro Light"/>
          <w:color w:val="000000"/>
          <w:b/>
          <w:bCs/>
        </w:rPr>
        <w:t>Phase II (Months 18–36): Integration and Interoperability</w:t>
      </w:r>
    </w:p>
    <w:p>
      <w:pPr>
        <w:spacing w:line="240" w:lineRule="atLeast"/>
      </w:pPr>
    </w:p>
    <w:p>
      <w:pPr>
        <w:widowControl/>
        <w:autoSpaceDE/>
        <w:autoSpaceDN/>
        <w:spacing w:line="240" w:lineRule="atLeast"/>
        <w:jc w:val="both"/>
      </w:pPr>
      <w:r>
        <w:rPr>
          <w:rFonts w:ascii="Avenir Next LT Pro Light" w:hAnsi="Avenir Next LT Pro Light"/>
          <w:color w:val="000000"/>
        </w:rPr>
        <w:t>2.1.0  TA1: Auto-Updating Mechanistic Model</w:t>
      </w:r>
    </w:p>
    <w:p>
      <w:pPr>
        <w:widowControl/>
        <w:autoSpaceDE/>
        <w:autoSpaceDN/>
        <w:spacing w:line="240" w:lineRule="atLeast"/>
        <w:jc w:val="both"/>
      </w:pPr>
      <w:r>
        <w:rPr>
          <w:rFonts w:ascii="Avenir Next LT Pro Light" w:hAnsi="Avenir Next LT Pro Light"/>
          <w:color w:val="000000"/>
        </w:rPr>
        <w:t xml:space="preserve">    2.1.1  Automated ingestion pipeline and update latency optimization</w:t>
      </w:r>
    </w:p>
    <w:p>
      <w:pPr>
        <w:widowControl/>
        <w:autoSpaceDE/>
        <w:autoSpaceDN/>
        <w:spacing w:line="240" w:lineRule="atLeast"/>
        <w:jc w:val="both"/>
      </w:pPr>
      <w:r>
        <w:rPr>
          <w:rFonts w:ascii="Avenir Next LT Pro Light" w:hAnsi="Avenir Next LT Pro Light"/>
          <w:color w:val="000000"/>
        </w:rPr>
        <w:t xml:space="preserve">    2.1.2  Multi-scale model expansion and model-card documentation</w:t>
      </w:r>
    </w:p>
    <w:p>
      <w:pPr>
        <w:widowControl/>
        <w:autoSpaceDE/>
        <w:autoSpaceDN/>
        <w:spacing w:line="240" w:lineRule="atLeast"/>
        <w:jc w:val="both"/>
      </w:pPr>
      <w:r>
        <w:rPr>
          <w:rFonts w:ascii="Avenir Next LT Pro Light" w:hAnsi="Avenir Next LT Pro Light"/>
          <w:color w:val="000000"/>
        </w:rPr>
        <w:t xml:space="preserve">    2.1.3  Novel prediction experimental confirmation</w:t>
      </w:r>
    </w:p>
    <w:p>
      <w:pPr>
        <w:widowControl/>
        <w:autoSpaceDE/>
        <w:autoSpaceDN/>
        <w:spacing w:line="240" w:lineRule="atLeast"/>
        <w:jc w:val="both"/>
      </w:pPr>
      <w:r>
        <w:rPr>
          <w:rFonts w:ascii="Avenir Next LT Pro Light" w:hAnsi="Avenir Next LT Pro Light"/>
          <w:color w:val="000000"/>
        </w:rPr>
        <w:t>2.2.0  TA2: Multi-Backend Deployment and Usability Study</w:t>
      </w:r>
    </w:p>
    <w:p>
      <w:pPr>
        <w:widowControl/>
        <w:autoSpaceDE/>
        <w:autoSpaceDN/>
        <w:spacing w:line="240" w:lineRule="atLeast"/>
        <w:jc w:val="both"/>
      </w:pPr>
      <w:r>
        <w:rPr>
          <w:rFonts w:ascii="Avenir Next LT Pro Light" w:hAnsi="Avenir Next LT Pro Light"/>
          <w:color w:val="000000"/>
        </w:rPr>
        <w:t xml:space="preserve">    2.2.1  Open-weight model backend integration</w:t>
      </w:r>
    </w:p>
    <w:p>
      <w:pPr>
        <w:widowControl/>
        <w:autoSpaceDE/>
        <w:autoSpaceDN/>
        <w:spacing w:line="240" w:lineRule="atLeast"/>
        <w:jc w:val="both"/>
      </w:pPr>
      <w:r>
        <w:rPr>
          <w:rFonts w:ascii="Avenir Next LT Pro Light" w:hAnsi="Avenir Next LT Pro Light"/>
          <w:color w:val="000000"/>
        </w:rPr>
        <w:t xml:space="preserve">    2.2.2  Usability study with domain scientists</w:t>
      </w:r>
    </w:p>
    <w:p>
      <w:pPr>
        <w:widowControl/>
        <w:autoSpaceDE/>
        <w:autoSpaceDN/>
        <w:spacing w:line="240" w:lineRule="atLeast"/>
        <w:jc w:val="both"/>
      </w:pPr>
      <w:r>
        <w:rPr>
          <w:rFonts w:ascii="Avenir Next LT Pro Light" w:hAnsi="Avenir Next LT Pro Light"/>
          <w:color w:val="000000"/>
        </w:rPr>
        <w:t xml:space="preserve">    2.2.3  Design-to-TA1-improvement feedback loop</w:t>
      </w:r>
    </w:p>
    <w:p>
      <w:pPr>
        <w:widowControl/>
        <w:autoSpaceDE/>
        <w:autoSpaceDN/>
        <w:spacing w:line="240" w:lineRule="atLeast"/>
        <w:jc w:val="both"/>
      </w:pPr>
      <w:r>
        <w:rPr>
          <w:rFonts w:ascii="Avenir Next LT Pro Light" w:hAnsi="Avenir Next LT Pro Light"/>
          <w:color w:val="000000"/>
        </w:rPr>
        <w:t>2.3.0  TA3: RFC Governance and Cross-Team Protocol Execution</w:t>
      </w:r>
    </w:p>
    <w:p>
      <w:pPr>
        <w:widowControl/>
        <w:autoSpaceDE/>
        <w:autoSpaceDN/>
        <w:spacing w:line="240" w:lineRule="atLeast"/>
        <w:jc w:val="both"/>
      </w:pPr>
      <w:r>
        <w:rPr>
          <w:rFonts w:ascii="Avenir Next LT Pro Light" w:hAnsi="Avenir Next LT Pro Light"/>
          <w:color w:val="000000"/>
        </w:rPr>
        <w:t xml:space="preserve">    2.3.1  RFC process operationalization and first two RFCs</w:t>
      </w:r>
    </w:p>
    <w:p>
      <w:pPr>
        <w:widowControl/>
        <w:autoSpaceDE/>
        <w:autoSpaceDN/>
        <w:spacing w:line="240" w:lineRule="atLeast"/>
        <w:jc w:val="both"/>
      </w:pPr>
      <w:r>
        <w:rPr>
          <w:rFonts w:ascii="Avenir Next LT Pro Light" w:hAnsi="Avenir Next LT Pro Light"/>
          <w:color w:val="000000"/>
        </w:rPr>
        <w:t xml:space="preserve">    2.3.2  Cross-team protocol execution at three or more laboratories</w:t>
      </w:r>
    </w:p>
    <w:p>
      <w:pPr>
        <w:widowControl/>
        <w:autoSpaceDE/>
        <w:autoSpaceDN/>
        <w:spacing w:line="240" w:lineRule="atLeast"/>
        <w:jc w:val="both"/>
      </w:pPr>
      <w:r>
        <w:rPr>
          <w:rFonts w:ascii="Avenir Next LT Pro Light" w:hAnsi="Avenir Next LT Pro Light"/>
          <w:color w:val="000000"/>
        </w:rPr>
        <w:t>2.4.0  TA4: Cross-Team Marketplace Interface and Concordance</w:t>
      </w:r>
    </w:p>
    <w:p>
      <w:pPr>
        <w:widowControl/>
        <w:autoSpaceDE/>
        <w:autoSpaceDN/>
        <w:spacing w:line="240" w:lineRule="atLeast"/>
        <w:jc w:val="both"/>
      </w:pPr>
      <w:r>
        <w:rPr>
          <w:rFonts w:ascii="Avenir Next LT Pro Light" w:hAnsi="Avenir Next LT Pro Light"/>
          <w:color w:val="000000"/>
        </w:rPr>
        <w:t xml:space="preserve">    2.4.1  Marketplace request/return interface deployment</w:t>
      </w:r>
    </w:p>
    <w:p>
      <w:pPr>
        <w:widowControl/>
        <w:autoSpaceDE/>
        <w:autoSpaceDN/>
        <w:spacing w:line="240" w:lineRule="atLeast"/>
        <w:jc w:val="both"/>
      </w:pPr>
      <w:r>
        <w:rPr>
          <w:rFonts w:ascii="Avenir Next LT Pro Light" w:hAnsi="Avenir Next LT Pro Light"/>
          <w:color w:val="000000"/>
        </w:rPr>
        <w:t xml:space="preserve">    2.4.2  Cross-team concordance validation</w:t>
      </w:r>
    </w:p>
    <w:p>
      <w:pPr>
        <w:widowControl/>
        <w:autoSpaceDE/>
        <w:autoSpaceDN/>
        <w:spacing w:line="240" w:lineRule="atLeast"/>
        <w:jc w:val="both"/>
      </w:pPr>
      <w:r>
        <w:rPr>
          <w:rFonts w:ascii="Avenir Next LT Pro Light" w:hAnsi="Avenir Next LT Pro Light"/>
          <w:color w:val="000000"/>
        </w:rPr>
        <w:t>2.5.0  Program Integration: Interoperability Gate and Cycle-Time Milestone</w:t>
      </w:r>
    </w:p>
    <w:p>
      <w:pPr>
        <w:spacing w:line="240" w:lineRule="atLeast"/>
      </w:pPr>
    </w:p>
    <w:p>
      <w:pPr>
        <w:widowControl/>
        <w:autoSpaceDE/>
        <w:autoSpaceDN/>
        <w:spacing w:line="240" w:lineRule="atLeast"/>
        <w:jc w:val="both"/>
      </w:pPr>
      <w:r>
        <w:rPr>
          <w:rFonts w:ascii="Avenir Next LT Pro Light" w:hAnsi="Avenir Next LT Pro Light"/>
          <w:color w:val="000000"/>
          <w:b/>
          <w:bCs/>
        </w:rPr>
        <w:t>Phase III (Months 36–60): Scaling, Generalization, and Transition</w:t>
      </w:r>
    </w:p>
    <w:p>
      <w:pPr>
        <w:spacing w:line="240" w:lineRule="atLeast"/>
      </w:pPr>
    </w:p>
    <w:p>
      <w:pPr>
        <w:widowControl/>
        <w:autoSpaceDE/>
        <w:autoSpaceDN/>
        <w:spacing w:line="240" w:lineRule="atLeast"/>
        <w:jc w:val="both"/>
      </w:pPr>
      <w:r>
        <w:rPr>
          <w:rFonts w:ascii="Avenir Next LT Pro Light" w:hAnsi="Avenir Next LT Pro Light"/>
          <w:color w:val="000000"/>
        </w:rPr>
        <w:t>3.1.0  TA1: Bipolar Extension and Open-Access Model Deposit</w:t>
      </w:r>
    </w:p>
    <w:p>
      <w:pPr>
        <w:widowControl/>
        <w:autoSpaceDE/>
        <w:autoSpaceDN/>
        <w:spacing w:line="240" w:lineRule="atLeast"/>
        <w:jc w:val="both"/>
      </w:pPr>
      <w:r>
        <w:rPr>
          <w:rFonts w:ascii="Avenir Next LT Pro Light" w:hAnsi="Avenir Next LT Pro Light"/>
          <w:color w:val="000000"/>
        </w:rPr>
        <w:t xml:space="preserve">    3.1.1  Bipolar disorder data integration and disease axis transfer</w:t>
      </w:r>
    </w:p>
    <w:p>
      <w:pPr>
        <w:widowControl/>
        <w:autoSpaceDE/>
        <w:autoSpaceDN/>
        <w:spacing w:line="240" w:lineRule="atLeast"/>
        <w:jc w:val="both"/>
      </w:pPr>
      <w:r>
        <w:rPr>
          <w:rFonts w:ascii="Avenir Next LT Pro Light" w:hAnsi="Avenir Next LT Pro Light"/>
          <w:color w:val="000000"/>
        </w:rPr>
        <w:t xml:space="preserve">    3.1.2  Scale-out to 15 or more sub-models across three or more scales</w:t>
      </w:r>
    </w:p>
    <w:p>
      <w:pPr>
        <w:widowControl/>
        <w:autoSpaceDE/>
        <w:autoSpaceDN/>
        <w:spacing w:line="240" w:lineRule="atLeast"/>
        <w:jc w:val="both"/>
      </w:pPr>
      <w:r>
        <w:rPr>
          <w:rFonts w:ascii="Avenir Next LT Pro Light" w:hAnsi="Avenir Next LT Pro Light"/>
          <w:color w:val="000000"/>
        </w:rPr>
        <w:t xml:space="preserve">    3.1.3  Open-access certified deposit</w:t>
      </w:r>
    </w:p>
    <w:p>
      <w:pPr>
        <w:widowControl/>
        <w:autoSpaceDE/>
        <w:autoSpaceDN/>
        <w:spacing w:line="240" w:lineRule="atLeast"/>
        <w:jc w:val="both"/>
      </w:pPr>
      <w:r>
        <w:rPr>
          <w:rFonts w:ascii="Avenir Next LT Pro Light" w:hAnsi="Avenir Next LT Pro Light"/>
          <w:color w:val="000000"/>
        </w:rPr>
        <w:t>3.2.0  TA2: Generalization to Bipolar and External User Study</w:t>
      </w:r>
    </w:p>
    <w:p>
      <w:pPr>
        <w:widowControl/>
        <w:autoSpaceDE/>
        <w:autoSpaceDN/>
        <w:spacing w:line="240" w:lineRule="atLeast"/>
        <w:jc w:val="both"/>
      </w:pPr>
      <w:r>
        <w:rPr>
          <w:rFonts w:ascii="Avenir Next LT Pro Light" w:hAnsi="Avenir Next LT Pro Light"/>
          <w:color w:val="000000"/>
        </w:rPr>
        <w:t xml:space="preserve">    3.2.1  Bipolar experiment design and validation</w:t>
      </w:r>
    </w:p>
    <w:p>
      <w:pPr>
        <w:widowControl/>
        <w:autoSpaceDE/>
        <w:autoSpaceDN/>
        <w:spacing w:line="240" w:lineRule="atLeast"/>
        <w:jc w:val="both"/>
      </w:pPr>
      <w:r>
        <w:rPr>
          <w:rFonts w:ascii="Avenir Next LT Pro Light" w:hAnsi="Avenir Next LT Pro Light"/>
          <w:color w:val="000000"/>
        </w:rPr>
        <w:t xml:space="preserve">    3.2.2  External user study (20 or more researchers)</w:t>
      </w:r>
    </w:p>
    <w:p>
      <w:pPr>
        <w:widowControl/>
        <w:autoSpaceDE/>
        <w:autoSpaceDN/>
        <w:spacing w:line="240" w:lineRule="atLeast"/>
        <w:jc w:val="both"/>
      </w:pPr>
      <w:r>
        <w:rPr>
          <w:rFonts w:ascii="Avenir Next LT Pro Light" w:hAnsi="Avenir Next LT Pro Light"/>
          <w:color w:val="000000"/>
        </w:rPr>
        <w:t>3.3.0  TA3: Open Standards Engagement and Connect-a-Thon</w:t>
      </w:r>
    </w:p>
    <w:p>
      <w:pPr>
        <w:widowControl/>
        <w:autoSpaceDE/>
        <w:autoSpaceDN/>
        <w:spacing w:line="240" w:lineRule="atLeast"/>
        <w:jc w:val="both"/>
      </w:pPr>
      <w:r>
        <w:rPr>
          <w:rFonts w:ascii="Avenir Next LT Pro Light" w:hAnsi="Avenir Next LT Pro Light"/>
          <w:color w:val="000000"/>
        </w:rPr>
        <w:t xml:space="preserve">    3.3.1  Open data and metadata layer delivery</w:t>
      </w:r>
    </w:p>
    <w:p>
      <w:pPr>
        <w:widowControl/>
        <w:autoSpaceDE/>
        <w:autoSpaceDN/>
        <w:spacing w:line="240" w:lineRule="atLeast"/>
        <w:jc w:val="both"/>
      </w:pPr>
      <w:r>
        <w:rPr>
          <w:rFonts w:ascii="Avenir Next LT Pro Light" w:hAnsi="Avenir Next LT Pro Light"/>
          <w:color w:val="000000"/>
        </w:rPr>
        <w:t xml:space="preserve">    3.3.2  External standards body engagement</w:t>
      </w:r>
    </w:p>
    <w:p>
      <w:pPr>
        <w:widowControl/>
        <w:autoSpaceDE/>
        <w:autoSpaceDN/>
        <w:spacing w:line="240" w:lineRule="atLeast"/>
        <w:jc w:val="both"/>
      </w:pPr>
      <w:r>
        <w:rPr>
          <w:rFonts w:ascii="Avenir Next LT Pro Light" w:hAnsi="Avenir Next LT Pro Light"/>
          <w:color w:val="000000"/>
        </w:rPr>
        <w:t xml:space="preserve">    3.3.3  Phase III connect-a-thon</w:t>
      </w:r>
    </w:p>
    <w:p>
      <w:pPr>
        <w:widowControl/>
        <w:autoSpaceDE/>
        <w:autoSpaceDN/>
        <w:spacing w:line="240" w:lineRule="atLeast"/>
        <w:jc w:val="both"/>
      </w:pPr>
      <w:r>
        <w:rPr>
          <w:rFonts w:ascii="Avenir Next LT Pro Light" w:hAnsi="Avenir Next LT Pro Light"/>
          <w:color w:val="000000"/>
        </w:rPr>
        <w:t>3.4.0  TA4: Unified Marketplace and Autonomous Exception Handling</w:t>
      </w:r>
    </w:p>
    <w:p>
      <w:pPr>
        <w:widowControl/>
        <w:autoSpaceDE/>
        <w:autoSpaceDN/>
        <w:spacing w:line="240" w:lineRule="atLeast"/>
        <w:jc w:val="both"/>
      </w:pPr>
      <w:r>
        <w:rPr>
          <w:rFonts w:ascii="Avenir Next LT Pro Light" w:hAnsi="Avenir Next LT Pro Light"/>
          <w:color w:val="000000"/>
        </w:rPr>
        <w:t xml:space="preserve">    3.4.1  Unified marketplace deployment</w:t>
      </w:r>
    </w:p>
    <w:p>
      <w:pPr>
        <w:widowControl/>
        <w:autoSpaceDE/>
        <w:autoSpaceDN/>
        <w:spacing w:line="240" w:lineRule="atLeast"/>
        <w:jc w:val="both"/>
      </w:pPr>
      <w:r>
        <w:rPr>
          <w:rFonts w:ascii="Avenir Next LT Pro Light" w:hAnsi="Avenir Next LT Pro Light"/>
          <w:color w:val="000000"/>
        </w:rPr>
        <w:t xml:space="preserve">    3.4.2  Autonomous exception handling scale-up</w:t>
      </w:r>
    </w:p>
    <w:p>
      <w:pPr>
        <w:widowControl/>
        <w:autoSpaceDE/>
        <w:autoSpaceDN/>
        <w:spacing w:line="240" w:lineRule="atLeast"/>
        <w:jc w:val="both"/>
      </w:pPr>
      <w:r>
        <w:rPr>
          <w:rFonts w:ascii="Avenir Next LT Pro Light" w:hAnsi="Avenir Next LT Pro Light"/>
          <w:color w:val="000000"/>
        </w:rPr>
        <w:t>3.5.0  Program Integration: Transition, Open-Access Certification, and Sustainability</w:t>
      </w:r>
    </w:p>
    <w:p>
      <w:pPr>
        <w:spacing w:line="240" w:lineRule="atLeast"/>
      </w:pPr>
    </w:p>
    <w:p>
      <w:pPr>
        <w:widowControl/>
        <w:autoSpaceDE/>
        <w:autoSpaceDN/>
        <w:spacing w:line="240" w:lineRule="atLeast"/>
        <w:jc w:val="both"/>
      </w:pPr>
      <w:r>
        <w:rPr>
          <w:rFonts w:ascii="Avenir Next LT Pro Light" w:hAnsi="Avenir Next LT Pro Light"/>
          <w:color w:val="000000"/>
          <w:b/>
          <w:bCs/>
          <w:sz w:val="24"/>
          <w:szCs w:val="24"/>
        </w:rPr>
        <w:t>Per-Task Tables</w:t>
      </w:r>
    </w:p>
    <w:p>
      <w:pPr>
        <w:spacing w:line="240" w:lineRule="atLeast"/>
      </w:pPr>
    </w:p>
    <w:p>
      <w:pPr>
        <w:widowControl/>
        <w:autoSpaceDE/>
        <w:autoSpaceDN/>
        <w:spacing w:line="240" w:lineRule="atLeast"/>
        <w:jc w:val="both"/>
      </w:pPr>
      <w:r>
        <w:rPr>
          <w:rFonts w:ascii="Avenir Next LT Pro Light" w:hAnsi="Avenir Next LT Pro Light"/>
          <w:color w:val="000000"/>
          <w:b/>
          <w:bCs/>
          <w:sz w:val="22"/>
          <w:szCs w:val="22"/>
        </w:rPr>
        <w:t>Phase I (Months 0–18)</w:t>
      </w:r>
    </w:p>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1.1.0     Title: TA1: Disease Model Architecture and Causal Core</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 xml:space="preserve">Construct a multiscale interaction network harmonized on the Molecular Interaction ontology. Build the three-latent structural causal model (basal state, disease effect, treatment effect) using a covariance-preserving decoder extending SAMS-VAE. Encode disease-associated genetic variation as soft interventions. Ground gene identity in regulatory-network topology using spectral, co-expression-aware positional encoding. Deploy the PDGrapher graph neural network for intervention design. Build the joint cellular-clinical shift space so that both induced (cellular) and natural (clinical) signals are aggregated in one coordinate system. Condition all predictions on MONDO, Cell Ontology, UBERON, and Gene Ontology and express hypotheses using a fixed template. Generate a coverage map identifying under-covered pathway regions, which serves as direct input to TA2. Ingest the PsychENCODE single-cell dataset and the multi-cohort schizophrenia atlas (Ruzicka, Mohammadi et al. 2024). Initialize gene and variant representations from pretrained genomic foundation models (AlphaGenome, VariantFormer). Align cellular and clinical disease axes in residual space by optimal transport or MMD regularization. Embed OBO ontologies using TransBox EL++ with an OOD projection head for unseen entities. Apply graph-wavelet GNNs for multiresolution network diffusion. </w:t>
            </w:r>
            <w:r>
              <w:rPr>
                <w:rFonts w:ascii="Avenir Next LT Pro Light" w:hAnsi="Avenir Next LT Pro Light"/>
                <w:color w:val="000000"/>
                <w:b/>
                <w:bCs/>
              </w:rPr>
              <w:t>Stage 1 experimental anchor (co-designed with TA4):</w:t>
            </w:r>
            <w:r>
              <w:rPr>
                <w:rFonts w:ascii="Avenir Next LT Pro Light" w:hAnsi="Avenir Next LT Pro Light"/>
                <w:color w:val="000000"/>
              </w:rPr>
              <w:t xml:space="preserve"> the Phase I disease-model architecture is validated by the Stage 1 phenotypic-triage screen: the SZ variant panel (22q11.2 CNVs, SCHEMA rare-coding genes, plus PsyGene/SSPsyGene-nominated genes) plus BD variants and controls, engineered as isogenic NGN2 pairs, with transcriptomic, morphological, and single-cell calcium-imaging readouts; the 5-10 genes with the most robust, reproducible phenotypic shifts versus controls become the quantitative Phase I milestones and feed TA1 disease axes directly.</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(South San Francisco, CA); IPAI/Purdue (West Lafayette,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 (co-contributor, Grama group; Anne Carpenter co-lead for computational morphology)</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(1) Architecture document: languages, schemas, ontologies (Unlimited Rights, Apache-2.0). (2) Three or more mechanistic sub-models in containerized executable form (Unlimited Rights, Apache-2.0). (3) Coverage map identifying three or more quantitative knowledge gaps (Unlimited Rights). (4) One or more TA4 data returns ingested and model-updated (Unlimited Rights). *IP assertion: the detailed factorized-PRS axis method embedded in the causal generative core is a proprietary deliverable; it is referenced here as a marked deliverable with Limited Rights. No method detail is disclosed in this document.*</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Uses existing, de-identified single-cell transcriptomic data (PsychENCODE, multi-cohort atlas) governed by originating-institution IRB and NIH GDS policy. No new human subjects research.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Architecture document including languages, schemas, and ontologies is completed and deposited in the program-shared repository by Month 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mechanistic sub-models pass unit tests and execute reproducibly in the IV&amp;V containerized environment by Month 12.</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quantitative knowledge gaps are algorithmically detected and formatted as ExperimentIntent objects passed to TA2 by Month 15.</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One or more TA4 data returns are ingested and produce a measurable update to at least one sub-model parameter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1.1.1     Title: Multiscale network prior construction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Integrate public interaction databases (STRING, SIGNOR, OmniPath, PsychENCODE regulatory networks) harmonized to the Molecular Interaction ontology using Biolink-compliant RDF. Apply depth-corrected co-expression from the multi-cohort atlas to weight cell-type-specific edges. Compute a coverage score per process and edge class. Export the graph in standard formats (GraphML, RDF/Turtle) with all identifiers grounded in OBO ontologies.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Versioned, containerized network graph with provenance (PROV-O) record (Unlimited Rights, Apache-2.0). Coverage map in machine-readable form.</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Network incorporating three or more edge classes and two or more cell-type-specific layers is built and passes schema validation by Month 6.</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Coverage map reports scores for all 50 or more Gene Ontology biological processes in the GWAS-implicated gene set by Month 9.</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Network loads and queries execute in under 60 seconds on the IV&amp;V reference hardware by Month 12.</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1.1.2     Title: Causal generative model: basal/disease/treatment three-latent SCM</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Implement the three-latent SCM as a covariance-preserving VAE extending SAMS-VAE. Train on PsychENCODE and the multi-cohort atlas with disease genotype as a soft intervention. Apply identifiability guarantees (Zhang et al. 2023). Implement the spectral, co-expression-aware positional encoding for gene identity. Integrate PDGrapher for intervention-design proposals. Validate that the disease latent axis differentiates schizophrenia from control single-cell profiles with an AUROC of 0.80 or greater.</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 (co-contributor)</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Trained model weights and training code (Unlimited Rights, Apache-2.0). Model card documenting architecture, training data, and performance metrics (Unlimited Rights). *IP assertion: the factorized-PRS axis method is a proprietary component embedded in this deliverable; Limited Rights apply to that method only.*</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Model trains to convergence on the multi-cohort atlas and achieves AUROC &gt;= 0.80 for disease vs. control classification by Month 10.</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pathway-space disease axes are extracted and annotated with their top implicated gene sets and GO processes by Month 14.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PDGrapher proposes three or more candidate perturbations ranked by predicted downstream effect size by Month 16.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1.1.3     Title: Joint cellular-clinical shift space alignment</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Define a shared pathway-space coordinate system. Project cellular perturbation readouts (CRISPRi/a knockdown transcriptomes) and clinical cohort data (PsychENCODE bulk and single-cell) into the same shift space. Compute pairwise alignment scores between cellular and clinical shifts. Identify pathway axes consistent across both evidence sources.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Joint shift-space alignment code and documentation (Unlimited Rights, Apache-2.0). Alignment score matrix for two or more pathway axes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Uses existing de-identified cohort data.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At least two pathway axes show alignment between cellular and clinical shifts with a Pearson correlation of 0.60 or greater by Month 15.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Alignment pipeline runs end-to-end in under two hours on a single GPU by Month 18.</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Shift-space coordinate specification is incorporated into the TA3 semantic foundation schema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1.1.4     Title: Ontology-conditioned hypothesis template and gap detection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Condition model predictions on MONDO (disease), Cell Ontology (cell type), UBERON (tissue), and Gene Ontology (process). Implement the hypothesis template: "perturbing process X shifts disease Y toward healthy by modulating Z." Compute a coverage map that scores each process for evidence density. Rank candidate hub nodes by estimated downstream effect on disease-enriched processes. Format top-ranked candidates as ExperimentIntent objects for TA2.</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Hypothesis-template schema and ExperimentIntent object specification (Unlimited Rights, Apache-2.0). Coverage map updated on every model revision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ExperimentIntent objects are generated and formatted per the TA3 schema by Month 15.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Coverage map ranks 30 or more candidate processes with associated confidence scores and GWAS-locus overlap by Month 16.</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Coverage map update is triggered automatically on each TA1 model revision and completes within one hour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1.2.0     Title: TA2: Orchestration Core and Experiment Design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commentRangeStart w:id="0"/>
            <w:r>
              <w:rPr>
                <w:rFonts w:ascii="Avenir Next LT Pro Light" w:hAnsi="Avenir Next LT Pro Light"/>
                <w:color w:val="000000"/>
              </w:rPr>
              <w:t xml:space="preserve">Implement a hypothesis tournament: competing causal-link hypotheses are evaluated by adversarial critic agents grounded in the TA1 model output and mechanistic constraints. Apply retrieval-augmented planning (RAP) where the retrieval corpus is the structured TA1 coverage map and model output, not free-text literature alone. Score experiments by a value-of-information metric computed against the TA1 uncertainty estimates. Pre-screen proposals with lightweight simulations before proposing to the researcher. Build on open, swappable agentic scaffolding (stateful agent graphs, multi-agent debate, explainable critique traces) so future model backends can be swapped. Produce explainable narratives and visualizations for every proposed experiment. Require human authorization before issuing any ExperimentIntent object to TA3. </w:t>
            </w:r>
            <w:r>
              <w:rPr>
                <w:rFonts w:ascii="Avenir Next LT Pro Light" w:hAnsi="Avenir Next LT Pro Light"/>
                <w:color w:val="000000"/>
                <w:b/>
                <w:bCs/>
              </w:rPr>
              <w:t>*[SIFT-authored draft — Dan Bryce / SIFT to revise]</w:t>
            </w:r>
            <w:r>
              <w:rPr>
                <w:rFonts w:ascii="Avenir Next LT Pro Light" w:hAnsi="Avenir Next LT Pro Light"/>
                <w:color w:val="000000"/>
              </w:rPr>
              <w:t xml:space="preserve">* SIFT contributes a scoped value-of-information planning and scheduling layer under the Cytognosis and IPAI lead, building on XPlan (DARPA SD2 lineage). From a prioritized set of TA1 knowledge gaps, XPlan develops hypotheses and identifies experimental designs to close them, expressed as ExperimentIntent objects in a new ontology layer encoding biological entities, experimental variables, measurable outcomes, and expected model updates. Agentic programming methods connect human experts with TA1 mechanistic models to collaboratively develop machine-interpretable experimental intent. Expressing intent in structured, ontology-grounded terms provides the semantic specificity to drive downstream TA3 protocol generation without ad hoc text reformatting. </w:t>
            </w:r>
            <w:r>
              <w:rPr>
                <w:rFonts w:ascii="Avenir Next LT Pro Light" w:hAnsi="Avenir Next LT Pro Light"/>
                <w:color w:val="000000"/>
                <w:b/>
                <w:bCs/>
              </w:rPr>
              <w:t>*[end SIFT-authored draft]*</w:t>
            </w:r>
            <w:commentRangeEnd w:id="0"/>
            <w:r>
              <w:rPr>
                <w:rStyle w:val="CommentReference"/>
              </w:rPr>
              <w:commentReference w:id="0"/>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 Phylo (optional,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 (co-contributor); SIFT (scoped VOI planning layer, not TA2 co-lead); Phylo (optional, TA2 agentic add-on)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Orchestration architecture document and code repository (Unlimited Rights, Apache-2.0). Three or more proposed experiments with explainable narratives and human-authorization records (Unlimited Rights). TA2-TA3 interface specification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Orchestration architecture document is reviewed at the DDD workshop and accepted by the program team by Month 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TA2-TA1 interface is demonstrated end-to-end (coverage map in, ExperimentIntent out) by Month 9.</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experiments are proposed and executed via TA3-TA4, with 50% or more rated high-value by an independent expert panel of three or more domain scientists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1.2.1     Title: Hypothesis tournament and adversarial critic framework</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Implement a tournament where three or more agent instances propose and criticize alternative causal explanations for each detected knowledge gap. Critics are constrained to cite specific TA1 model edges and GWAS-locus evidence; unconstrained assertions are penalized. Track hypothesis scores across tournament rounds. Output the winning hypothesis and its supporting TA1 evidence as the ExperimentIntent rationale.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Adversarial critic code and tournament harness (Unlimited Rights, Apache-2.0). Critique trace logs for each proposed experiment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Tournament completes for three or more knowledge gaps and produces ranked hypotheses with mechanistic citations by Month 12.</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Critic agents reduce the fraction of unsupported claims in proposed rationales by 40% or more relative to an LLM-only baseline by Month 15.</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Tournament output is formatted as a machine-readable critique trace that passes the IV&amp;V schema validation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1.2.2     Title: Mechanistic model-grounded RAP and value-of-information selection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Implement a value-of-information (VOI) scorer that takes the TA1 uncertainty estimates and coverage map as inputs and returns a ranked list of candidate experiments. Apply lightweight TA1 simulation to pre-screen each candidate. Use the ranked list to filter the hypothesis-tournament output. Confirm that VOI scores correlate with post-experiment TA1 model improvement (assessed retrospectively).</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 (co-contributor)</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VOI scoring code integrated with the TA1 model API (Unlimited Rights, Apache-2.0). Ranked experiment proposals with VOI scores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VOI scorer produces ranked experiment lists for three or more knowledge gaps by Month 12.</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Pre-screening simulation eliminates 20% or more of proposals that would have produced null TA1 updates, validated retrospectively on at least three executed experiments, by Month 18.</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VOI score and post-experiment TA1 update magnitude show Spearman correlation &gt;= 0.50 across three or more Phase I experiments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1.2.3     Title: ExperimentIntent schema and TA2-TA3 interface</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Author the ExperimentIntent schema in LinkML with all fields URI-bound to OBO ontologies. Required fields include: proposed perturbation (GA4GH VRS identifier or Sequence Ontology modality tag), target cell type (Cell Ontology), readout modality, VOI score, human authorization record, and a narrative rationale. Ratify the schema at the Month 3 DDD workshop. Validate that a TA3 LabOP protocol can be generated from any valid ExperimentIntent object without human reformatting.</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SIFT (TA3 counterpart)</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SIFT (interface counterpart)</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ExperimentIntent LinkML schema, Pydantic model, and RDF serialization (Unlimited Rights, Apache-2.0). Ratified interface specification signed by both Cytognosis and SIFT leads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ExperimentIntent schema v1.0 is ratified at the DDD workshop, Month 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valid ExperimentIntent objects are transmitted to TA3 and converted to executable LabOP protocols without manual reformatting by Month 12.</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Schema passes IV&amp;V schema validation with zero blocking errors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1.3.0     Title: TA3: Protocol Schema and Calibration Artifacts (Version 1)</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 xml:space="preserve">Build the four-layer stack (Intent, Process, Calibration, Hardware). Adopt LabOP as the backbone (SIFT co-authored LabOP under DARPA SD2); add SiLA 2 at the hardware layer. Extend LabOP with three new phases (cellular model, perturbation, readout) each with a quantitative QC gate. Define calibration artifacts for each laboratory. Ratify the ExperimentIntent and LabCapabilityProfile schemas at the DDD workshop. Implement LLM-based extraction (Instructor with Pydantic; DSPy as backup) to onboard laboratories. Define the RFC governance process for locked-parameter changes. </w:t>
            </w:r>
            <w:r>
              <w:rPr>
                <w:rFonts w:ascii="Avenir Next LT Pro Light" w:hAnsi="Avenir Next LT Pro Light"/>
                <w:color w:val="000000"/>
                <w:b/>
                <w:bCs/>
              </w:rPr>
              <w:t>*[SIFT-authored draft — Dan Bryce / SIFT to revise]</w:t>
            </w:r>
            <w:r>
              <w:rPr>
                <w:rFonts w:ascii="Avenir Next LT Pro Light" w:hAnsi="Avenir Next LT Pro Light"/>
                <w:color w:val="000000"/>
              </w:rPr>
              <w:t xml:space="preserve">* TA2-TA3 interface: SIFT leads the design and implementation of the shared semantic layer encoding relationships among mechanistic disease models, knowledge gaps, experimental variables, and protocol steps, so TA2 hypothesis outputs translate into TA3 protocol specifications through structured, traceable representations rather than ad hoc text generation. LabOP already integrates ontologies for measurement units, container types, chemical entities, and biological materials; IGoR extends this with a richer knowledge-graph layer. The interface is formally specified at the Phase I DDD workshop, with explicit data models defining TA2-to-TA3 data flows, formats, and validation constraints. TA3 three-tier model: (1) UML Activity Model base providing control flow, dataflow, parameterization, and activity composition; (2) LabOP protocols above it encoding sample arrays, datasets, primitive operations, and external ontologies for measures, units, strains, chemicals, media, and containers; (3) LabOP Executions at top recording execution sequences, runtime variable bindings, datasets, and provenance per W3C PROV-O. The existing execution engine spans metadata simulation through semi-automated to fully automated, exporting machine-readable and natural-language formats for TA4 labs of varying automation sophistication. SIFT will enhance the engine to support protocol authoring against TA1 mechanistic models, expand LabOP primitive libraries for the chosen disease focus, and support IV&amp;V bake-offs and the RFC process, contributing LabOP as the candidate program-wide protocol standard. </w:t>
            </w:r>
            <w:r>
              <w:rPr>
                <w:rFonts w:ascii="Avenir Next LT Pro Light" w:hAnsi="Avenir Next LT Pro Light"/>
                <w:color w:val="000000"/>
                <w:b/>
                <w:bCs/>
              </w:rPr>
              <w:t>*[end SIFT-authored draft]*</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(Arlington, VA)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 (lead)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LabOP protocol schema with perturbation-biology extensions (Unlimited Rights, Apache-2.0). Calibration artifact package for two or more laboratories (Unlimited Rights). LabCapabilityProfile schema (Unlimited Rights, Apache-2.0). RFC governance document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ExperimentIntent and LabCapabilityProfile schemas are ratified at the DDD workshop by Month 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Two or more modalities (morphological screening, scRNA-seq library preparation) are expressed in valid LabOP protocols by Month 12.</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The same LabOP morphological protocol is executed at both TA4 arms (Purdue/IPAI Tegtmeyer lab fixed-cell high-plex readouts and Cellanome R3200) and produces outputs within 15% coefficient of variation on three or more morphological features, analyzed by Carpenter's computational models,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1.3.1     Title: Four-layer protocol stack on LabOP</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Map existing LabOP primitives to the Process layer. Define new LabOP primitives for perturbation biology: InduceDifferentiation, MatureCulture (cellular model phase); DeliverGuideRNA, TreatCompound (perturbation phase); CalciumImagingAcquisition, ScRNAseqLibraryPrep, CellPaintingStain (readout phase). Attach a quantitative QC gate to each phase: cellular model (MAP2+/TUJ1+ &gt;= 0.85, NeuN &gt;= 0.80); perturbation (knockdown log2FC &lt;= -1.5, activation &gt;= 3x, viability &gt;= 0.90); readout (genes/cell &gt;= 1000, doublets &lt;= 5%, stable calcium baseline). Record every execution step and QC result in PROV-O.</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Extended LabOP library with perturbation-biology primitives (Unlimited Rights, Apache-2.0). PROV-O provenance record templates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Six or more new LabOP primitives for perturbation biology pass unit tests by Month 9.</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QC gates (cellular model, perturbation, readout) are implemented and tested against synthetic QC failure scenarios by Month 12.</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PROV-O record captures all execution steps and QC outcomes end-to-end for two or more executed protocols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1.3.2     Title: LabCapabilityProfile schema and SiLA 2 hardware integration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Author the LabCapabilityProfile schema in LinkML. Define required fields: instrument identifiers, supported modalities, QC calibration status, throughput limits, SiLA 2 Feature identifiers. Implement SiLA 2 feature-discovery auto-population for the Opentrons OT-2 and the high-content imager. Validate that a TA3 protocol-matching step can route a Cell Painting ExperimentIntent to a laboratory with confirmed Cell Painting capability without manual intervention.</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 IPAI/Purdue (IN, instrument integration)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 (lead); IPAI/Purdue (instrument integration)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LabCapabilityProfile LinkML schema and Pydantic model (Unlimited Rights, Apache-2.0). SiLA 2 adapter for Opentrons OT-2 (Unlimited Rights, Apache-2.0).</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LabCapabilityProfile schema v1.0 is ratified at the DDD workshop by Month 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SiLA 2 auto-population fills the LabCapabilityProfile for two instruments without manual editing by Month 12.</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Protocol-to-lab routing matches Cell Painting and scRNA-seq protocols to correct labs with zero routing errors across five or more test cases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1.3.3     Title: One-semantic-foundation schema ratification (DDD workshop, Month 3)</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Author the canonical identifier policy in a single LinkML document: genes as Ensembl or HGNC identifiers grounded in Biolink; natural variants in GA4GH VRS and HGVS; engineered perturbations carrying locus plus Sequence Ontology modality tag; cell types in Cell Ontology; tissues in UBERON; processes in GO; diseases in MONDO. Validate the policy at the DDD workshop with representatives from all four TAs. Enforce via schema validation in CI pipelines for all four TA code repositories.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 lead); all TAs (reviewer)</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 (lead); Cytognosis, IPAI/Purdue, Cellanome (reviewers)</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One-semantic-foundation policy document and shared LinkML identifier module (Unlimited Rights, Apache-2.0). CI validation hook for all four TA repositories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One-semantic-foundation policy is ratified by all TA leads at the DDD workshop by Month 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CI validation hook passes on all four TA repositories with zero blocking identifier-namespace errors by Month 9.</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The same gene identifier resolves identically in the TA1 graph, the TA2 ExperimentIntent, the TA3 protocol, and the TA4 data record for three or more genes confirmed by a cross-TA integration test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1.4.0     Title: TA4: Intra-Team Cell Line and Instrument Validation (academic arm + industry arm)</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commentRangeStart w:id="1"/>
            <w:r>
              <w:rPr>
                <w:rFonts w:ascii="Avenir Next LT Pro Light" w:hAnsi="Avenir Next LT Pro Light"/>
                <w:color w:val="000000"/>
              </w:rPr>
              <w:t>Stage 1 experimental anchor.</w:t>
            </w:r>
            <w:r>
              <w:rPr>
                <w:rFonts w:ascii="Avenir Next LT Pro Light" w:hAnsi="Avenir Next LT Pro Light"/>
                <w:color w:val="000000"/>
                <w:b/>
                <w:bCs/>
              </w:rPr>
              <w:t xml:space="preserve"> This task executes the Stage 1 phenotypic-triage screen: curated SZ variant panel (22q11.2 CNVs, SCHEMA rare-coding genes, PsyGene/SSPsyGene-nominated genes) plus BD variants and control genes, engineered as isogenic NGN2 pairs; transcriptomic, morphological, and single-cell calcium-imaging readouts; triage to the 5-10 genes with the most robust, reproducible, and prominent phenotypic shifts versus controls. The count and effect-size metrics from this triage are the quantitative Phase I milestones for TA1 and TA4. </w:t>
            </w:r>
            <w:r>
              <w:rPr>
                <w:rFonts w:ascii="Avenir Next LT Pro Light" w:hAnsi="Avenir Next LT Pro Light"/>
                <w:color w:val="000000"/>
              </w:rPr>
              <w:t>Academic arm (Purdue, Tegtmeyer lab, Biomedical Engineering / Integrative Neuroscience):</w:t>
            </w:r>
            <w:r>
              <w:rPr>
                <w:rFonts w:ascii="Avenir Next LT Pro Light" w:hAnsi="Avenir Next LT Pro Light"/>
                <w:color w:val="000000"/>
                <w:b/>
                <w:bCs/>
              </w:rPr>
              <w:t xml:space="preserve"> Tegtmeyer group establishes the 22q11.2 iPSC-neuron model using the NGN2-accelerated differentiation protocol (Tegtmeyer et al. 2025) and runs fixed-cell high-plex readouts (RNA ~350-plex, protein ~50-plex, Cell-Painting-style morphology, in-situ CRISPR-guide sequencing). Carpenter group (IPAI/Purdue, no bench) validates computational morphological profiling and CellProfiler/interpretable-model feature extraction on these readouts. </w:t>
            </w:r>
            <w:r>
              <w:rPr>
                <w:rFonts w:ascii="Avenir Next LT Pro Light" w:hAnsi="Avenir Next LT Pro Light"/>
                <w:color w:val="000000"/>
              </w:rPr>
              <w:t>Industry arm (Cellanome):</w:t>
            </w:r>
            <w:r>
              <w:rPr>
                <w:rFonts w:ascii="Avenir Next LT Pro Light" w:hAnsi="Avenir Next LT Pro Light"/>
                <w:color w:val="000000"/>
                <w:b/>
                <w:bCs/>
              </w:rPr>
              <w:t xml:space="preserve"> validate live-cell imaging and pooled CRISPR-seq readouts using the same 22q11.2 lines received as a cell-bank aliquot via the R3200; the Phase I functional neuronal activity readout is </w:t>
            </w:r>
            <w:r>
              <w:rPr>
                <w:rFonts w:ascii="Avenir Next LT Pro Light" w:hAnsi="Avenir Next LT Pro Light"/>
                <w:color w:val="000000"/>
              </w:rPr>
              <w:t>single-cell calcium imaging</w:t>
            </w:r>
            <w:r>
              <w:rPr>
                <w:rFonts w:ascii="Avenir Next LT Pro Light" w:hAnsi="Avenir Next LT Pro Light"/>
                <w:color w:val="000000"/>
                <w:b/>
                <w:bCs/>
              </w:rPr>
              <w:t xml:space="preserve"> via the R3200, which folds into the live-cell imaging stack. </w:t>
            </w:r>
            <w:r>
              <w:rPr>
                <w:rFonts w:ascii="Avenir Next LT Pro Light" w:hAnsi="Avenir Next LT Pro Light"/>
                <w:color w:val="000000"/>
              </w:rPr>
              <w:t>Cross-arm concordance:</w:t>
            </w:r>
            <w:r>
              <w:rPr>
                <w:rFonts w:ascii="Avenir Next LT Pro Light" w:hAnsi="Avenir Next LT Pro Light"/>
                <w:color w:val="000000"/>
                <w:b/>
                <w:bCs/>
              </w:rPr>
              <w:t xml:space="preserve"> both arms run the same IV&amp;V reference morphological assay and submit quantitative QC metrics; Carpenter's computational models provide the common analysis layer that makes the two arms comparable. </w:t>
            </w:r>
            <w:r>
              <w:rPr>
                <w:rFonts w:ascii="Avenir Next LT Pro Light" w:hAnsi="Avenir Next LT Pro Light"/>
                <w:color w:val="000000"/>
              </w:rPr>
              <w:t>Illumina:</w:t>
            </w:r>
            <w:r>
              <w:rPr>
                <w:rFonts w:ascii="Avenir Next LT Pro Light" w:hAnsi="Avenir Next LT Pro Light"/>
                <w:color w:val="000000"/>
                <w:b/>
                <w:bCs/>
              </w:rPr>
              <w:t xml:space="preserve"> validate NovaSeq X library quality for scRNA-seq libraries from both arms (optional in-kind). Labs declare LabCapabilityProfiles.</w:t>
            </w:r>
            <w:commentRangeEnd w:id="1"/>
            <w:r>
              <w:rPr>
                <w:rStyle w:val="CommentReference"/>
              </w:rPr>
              <w:commentReference w:id="1"/>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 Cellanome (San Mateo, CA); Illumina (San Diego,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Purdue, Tegtmeyer lab (Biomedical Engineering / Integrative Neuroscience; iPSC-neuron + fixed-cell high-plex readouts; TA4 academic execution); IPAI/Purdue, Carpenter group (computational morphology and imaging models, no bench); Cellanome (live-cell + Perturb-seq, industry arm); Illumina (optional, sequencing)</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Validated 22q11.2 iPSC-neuron cell bank with QC certificate (Unlimited Rights). Cell Painting workflow validation report from two laboratories (Unlimited Rights). LabCapabilityProfiles for each participating laboratory (Unlimited Rights). IV&amp;V calibration artifact package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iPSC lines are established or engineered cell lines; no human subjects research.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22q11.2 iPSC lines differentiate to NGN2 neurons at MAP2+/TUJ1+ &gt;= 0.85 and NeuN &gt;= 0.80 at IPAI/Purdue by Month 9.</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The IV&amp;V reference morphological assay is executed at both the academic arm (IPAI/Purdue, fixed-cell high-plex readouts) and the industry arm (Cellanome R3200), with 80% or greater cross-arm concordance (Spearman correlation &gt;= 0.80 on 20 or more morphological features analyzed by Carpenter's computational models) by Month 15.</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LabCapabilityProfiles for three or more instruments across two or more laboratories are submitted to the TA3 registry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1.4.1     Title: Purdue academic arm: iPSC-neuron wet-lab (22q11.2 anchor), fixed-cell high-plex readouts, and Carpenter computational validation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Install and commission the high-content imaging system (~$350K) and the spinning-disk confocal/calcium-imaging rig (~$275K) for Tegtmeyer's wet-lab. Install two Opentrons OT-2 liquid handlers and validate LabOP compatibility. Acquire 22q11.2 disease iPSC lines and CRISPR-corrected isogenic controls. Execute the NGN2-accelerated differentiation protocol. Run fixed-cell high-plex readouts on differentiated neurons: RNA ~350-plex, protein ~50-plex, Cell-Painting-style morphological features, and in-situ CRISPR-guide sequencing. Validate Carpenter's CellProfiler-based and interpretable morphology models on the resulting morphological features (Carpenter computational; no additional bench). Validate single-cell calcium imaging as the functional readout. Document all protocols in LabOP format.</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Purdue, Tegtmeyer lab (Biomedical Engineering / Integrative Neuroscience, non-IPAI dept; wet-lab, fixed-cell high-plex readouts); IPAI/Purdue, Carpenter group (computational morphology model validation)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Commissioned instrument validation reports for high-content imager, confocal, OT-2 liquid handlers, and fixed-cell high-plex readout platform (Unlimited Rights). Validated 22q11.2 iPSC-NGN2 neuron protocol in LabOP format (Unlimited Rights). Computational morphological profiling validation report from Carpenter's models on fixed-cell readout data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High-content imaging system and confocal/calcium rig are commissioned and pass vendor qualification by Month 6.</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NGN2 differentiation protocol produces neurons with MAP2+/TUJ1+ &gt;= 0.85 and NeuN &gt;= 0.80 in three or more independent runs by Month 10.</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Cell Painting morphological profiles discriminate 22q11.2 disease from isogenic control with an AUROC &gt;= 0.80 on three or more independent wells by Month 15.</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1.4.2     Title: Cellanome live-cell and Perturb-seq validation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Receive 22q11.2 iPSC-neuron cell bank aliquot from Purdue. Establish the R3200 live-cell imaging protocol for neuronal morphology. Run a targeted Perturb-seq screen on three or more candidate CRISPRi targets identified by TA1. Validate that the same loci show directional transcriptional effects in Cellanome's scRNA-seq readout as in the Purdue bulk benchmarks. Submit quantitative QC metrics and LabCapabilityProfile.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Cellanome (San Mateo,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Cellanome</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Live-cell imaging and Perturb-seq validation report (Unlimited Rights). LabCapabilityProfile for the R3200 instrument (Unlimited Rights). Raw data deposit in program-shared repository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Live-cell imaging protocol for iPSC-neurons is validated with three or more morphological features meeting predefined thresholds by Month 12.</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Targeted Perturb-seq screen on three or more CRISPRi targets produces single-cell transcriptomes with median genes/cell &gt;= 1000 and doublet rate &lt;= 5% by Month 15.</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Directional log2FC concordance between Cellanome scRNA-seq and Purdue bulk for three or more CRISPRi targets is &gt;= 80% (same sign)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1.4.3     Title: Illumina sequencing validation and BCA data access</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Receive scRNA-seq libraries from IPAI/Purdue and Cellanome. Run sequencing on NovaSeq X and validate Q30 scores, mapping rates, and per-cell gene counts against the program QC thresholds. Establish a data-transfer agreement for Billion Cell Atlas perturbation data. Deposit processed count matrices in the program-shared repository in a standard format (AnnData/h5ad).</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Illumina (San Diego,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Illumina</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Sequencing QC report for two or more library batches (Unlimited Rights). BCA data-access agreement and data-transfer documentation (Unlimited Rights). Processed count matrices in program repository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NovaSeq X sequencing of two or more library batches achieves Q30 &gt;= 80% and median genes/cell &gt;= 1000 per Phase I QC thresholds by Month 15.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BCA data-access agreement is executed and at least one BCA dataset is deposited in the shared repository by Month 12.</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Count matrices from two or more Phase I experiments are deposited in program repository within five business days of sequencing completion by Month 18.</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     Task: 1.5.0     Title: Program Integration: Walking-Skeleton Closed Loop</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Convene the DDD workshop at kickoff (Month 1) to co-design all cross-TA interfaces and ratify the one-semantic-foundation schema. Generate shared interface specification and version it in the program repository. Containerize all TA1 artifacts for IV&amp;V. Execute one complete closed-loop cycle within the team: TA1 detects one or more gaps, TA2 proposes and authorizes one experiment, TA3 generates a LabOP protocol, TA4 executes the protocol and returns data, and TA1 ingests and updates. Confirm that all TA1 artifacts build and execute on the IV&amp;V reference environment.</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All performing organizations; DDD workshop in Washington DC or Purdue</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 (prime, integration lead)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Shared interface specification v1.0 (Unlimited Rights). Walking-skeleton demonstration report (Unlimited Rights). IV&amp;V containerization package for TA1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DDD workshop is held by Month 2 and produces a ratified interface specification signed by all TA leads.</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 complete closed-loop cycle (TA1 gap, TA2 proposal, TA3 protocol, TA4 execution, TA1 update) is demonstrated within the team by Month 18.</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100% of TA1 model artifacts build and execute reproducibly in the IV&amp;V containerized environment by Month 18.</w:t>
            </w:r>
          </w:p>
        </w:tc>
      </w:tr>
    </w:tbl>
    <w:p>
      <w:pPr>
        <w:spacing w:line="240" w:lineRule="atLeast"/>
      </w:pPr>
    </w:p>
    <w:p>
      <w:pPr>
        <w:widowControl/>
        <w:autoSpaceDE/>
        <w:autoSpaceDN/>
        <w:spacing w:line="240" w:lineRule="atLeast"/>
        <w:jc w:val="both"/>
      </w:pPr>
      <w:r>
        <w:rPr>
          <w:rFonts w:ascii="Avenir Next LT Pro Light" w:hAnsi="Avenir Next LT Pro Light"/>
          <w:color w:val="000000"/>
          <w:b/>
          <w:bCs/>
          <w:sz w:val="22"/>
          <w:szCs w:val="22"/>
        </w:rPr>
        <w:t>Phase II (Months 18–36)</w:t>
      </w:r>
    </w:p>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2.1.0     Title: TA1: Auto-Updating Mechanistic Model</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 xml:space="preserve">Build an automated ingestion pipeline: TA4 data returns trigger a validation and normalization step, then a model-update step that re-trains or fine-tunes affected sub-models. Implement incremental learning to avoid full retraining on each data return. Expand the disease model from Phase I's three sub-models to ten or more, adding a second biological scale (e.g., circuit-level or pathway-network in addition to single-cell). Generate model cards for each sub-model. Confirm statistically that the updated model outperforms a literature-only model on a held-out prediction task. </w:t>
            </w:r>
            <w:r>
              <w:rPr>
                <w:rFonts w:ascii="Avenir Next LT Pro Light" w:hAnsi="Avenir Next LT Pro Light"/>
                <w:color w:val="000000"/>
                <w:b/>
                <w:bCs/>
              </w:rPr>
              <w:t>Stage 2 experimental anchor:</w:t>
            </w:r>
            <w:r>
              <w:rPr>
                <w:rFonts w:ascii="Avenir Next LT Pro Light" w:hAnsi="Avenir Next LT Pro Light"/>
                <w:color w:val="000000"/>
              </w:rPr>
              <w:t xml:space="preserve"> Phase II is anchored by disease-model-specific unbiased pooled Perturb-seq in the prioritized lines from Stage 1 triage, which provides the basis for learning treatment-effect embeddings and validating therapeutic interventions in the TA1 model.</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 (co-contributor; Carpenter co-lead on computational morphology sub-models)</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Automated ingestion pipeline code (Unlimited Rights, Apache-2.0). Ten or more sub-models with model cards (Unlimited Rights). Statistically significant improvement report vs. literature-only model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Ten or more TA4 data returns are ingested and produce measurable sub-model parameter updates by Month 27.</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Sub-model count reaches ten or more across two or more biological scales by Month 30.</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At least one novel TA1 prediction is confirmed via TA4 experiment by Month 33.</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Model update latency from TA4 data receipt to updated model availability is &lt;= 24 hours for 90% or more of ingested data returns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2.1.1     Title: Automated ingestion pipeline and update latency optimization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Implement event-driven ingestion triggered by TA4 data deposits. Validate and normalize incoming data against the one-semantic-foundation schema. Apply incremental model update. Monitor latency and alert on SLA breach. Publish a latency dashboard visible to all TA leads.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Ingestion pipeline code and latency dashboard (Unlimited Rights, Apache-2.0).</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Pipeline processes 10 or more simulated data returns without error by Month 21.</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Median update latency falls below 24 hours on 10 or more real data returns by Month 30.</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Latency dashboard is operational and accessible to all TA leads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2.1.2     Title: Multi-scale model expansion and model-card documentation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Add a second biological scale (synaptic/circuit-level or pathway-network) to complement the single-cell scale built in Phase I. Build sub-models for at least 10 implicated processes identified by the TA2 coverage map. Author model cards following ML model card conventions adapted for disease-biology models: training data, performance metrics, known failure modes, and update history.</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Ten or more sub-models with model cards (Unlimited Rights, Apache-2.0).</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Five or more new sub-models are built beyond the Phase I three by Month 27.</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Ten or more sub-models spanning two or more scales are available and versioned in the program repository by Month 33.</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Model cards for all 10 or more sub-models pass IV&amp;V completeness check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2.1.3     Title: Novel prediction experimental confirmation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Identify one or more candidate predictions where TA1 model output diverges from a literature-only baseline. Propose the experiment via TA2, execute via TA3-TA4, and compare outcome to model prediction. Assess statistical significance of the confirmed prediction (p &lt; 0.05, effect size &gt;= 1.5x over matched control).</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 all TA4 labs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(TA1 lead); IPAI/Purdue (TA4 execution lead)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Confirmed-prediction report with experimental evidence and statistical analysis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One or more candidate non-obvious predictions are identified and formatted as ExperimentIntent objects by Month 24.</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Experiment is executed and data returned by Month 30.</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Confirmed prediction report with p &lt; 0.05 and effect size &gt;= 1.5x is completed by Month 33.</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2.2.0     Title: TA2: Multi-Backend Deployment and Usability Study</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Integrate a second model backend (an open-weight model such as Llama 3 or Mistral) into the agentic scaffolding alongside the primary frontier model, validated to produce equivalent experiment proposals. Conduct a usability study with ten or more domain scientists: provide each with a real knowledge gap and ask them to use TA2 to propose an experiment; collect structured feedback on usefulness, explainability, and trust. Demonstrate that experiments designed by TA2 in Phase II produce TA1 model improvements of a measurable magnitude relative to randomly selected experiments.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 usability participants distributed</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 (co-contributor); Phylo (optional backend integration)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Multi-backend TA2 system with two or more model backends (Unlimited Rights, Apache-2.0). Usability study report with statistical summary (Unlimited Rights). Feedback on design-to-TA1-improvement linkage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Usability study collects professional feedback from domain scientists acting in their professional capacity; this is standard software usability evaluation and does not constitute human subjects research.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Second (open-weight) model backend integrated and producing equivalent experiment proposals to the primary backend on 5 or more benchmark knowledge gaps by Month 27.</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Usability study completed with 10 or more domain scientists, 70% or more reporting the system as useful by Month 33.</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75% or more of TA2-proposed experiments in Phase II are rated high-value by the expert panel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2.2.1     Title: Open-weight model backend integration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Select and fine-tune or prompt-engineer an open-weight model (Llama 3, Mistral, or equivalent). Validate on a benchmark set of five or more knowledge-gap prompts against the primary backend. Deploy using open-source serving infrastructure (vLLM or equivalent). Document performance differences in the model-backend comparison report.</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Phylo (optional)</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Open-weight model integration code (Unlimited Rights, Apache-2.0). Backend comparison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Open-weight backend deployed and serving requests by Month 24.</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Backend produces experiment proposals with 80% or more overlap with primary backend proposals on five benchmark knowledge gaps by Month 27.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Serving latency for open-weight backend is &lt;= 2x primary backend on a standardized benchmark by Month 30.</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2.2.2     Title: Usability study with domain scientists</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Recruit 10 or more domain scientists (computational biologists, neuropsychiatrists, geneticists) from within the team and from partner institutions. Present each participant with a real Phase II knowledge gap. Ask them to use TA2 to propose an experiment. Collect structured responses on: usefulness (5-point Likert), explainability, and trust. Analyze results and incorporate findings into TA2 design improvements.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Distributed (remote study); led by Cytognosis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Usability study design, data, and statistical summary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Professional feedback from domain scientists acting in their research capacity; not human subjects research per 45 CFR 46.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Study design and protocol approved by program team by Month 22.</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Study completed with 10 or more participants by Month 30.</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70% or more of participants rate the system useful (&gt;= 4/5 on Likert scale) by Month 33.</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2.2.3     Title: Design-to-TA1-improvement feedback loop</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Compare post-experiment TA1 parameter update magnitudes for TA2-selected versus randomly selected experiments (matched for assay type and scale). Compute mean update magnitude and 95% confidence interval for each group. Report statistical significance.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Feedback-loop analysis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Comparison dataset of 6 or more TA2-selected and 6 or more randomly selected experiments is assembled by Month 30.</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Statistical analysis shows TA2-selected experiments produce measurably larger TA1 updates (p &lt; 0.10 by Month 33).</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Analysis is incorporated into the Phase II technical progress report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2.3.0     Title: TA3: RFC Governance and Cross-Team Protocol Execution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Formalize the RFC governance document. Initiate the first RFC to govern a locked parameter identified as a source of inter-laboratory variation in Phase I (e.g., iPSC culture media formulation). Process two or more RFCs through the full review cycle (propose, review, approve or reject with rationale). Execute the Cell Painting protocol and an NGN2-neuron scRNA-seq library prep protocol at three or more laboratories, including one cross-team laboratory outside the PsychIGoR team, each running three or more experiments to the predefined reproducibility thresholds. Expand to three or more modalities.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 IPAI/Purdue (IN); Cellanome (CA); cross-team lab (in discussion)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 (lead)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Two or more ratified RFCs with full review records (Unlimited Rights). Protocol execution reports from three or more laboratories (Unlimited Rights). Three or more modalities in the LabOP schema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RFC process is operational with governance document signed by all TA3 participants by Month 21.</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Two or more RFCs complete the full review cycle by Month 30.</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The same LabOP protocol is executed at three or more laboratories including one cross-team lab, each running three or more experiments with coefficient of variation &lt;= 20% on three or more key morphological or transcriptomic features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2.3.1     Title: RFC process operationalization and first two RFCs</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Publish the RFC governance document specifying the proposal, review, comment, decision, and versioning steps. Assign SIFT as the RFC secretariat. Initiate RFC-001 for a Phase I-identified locked parameter. Initiate RFC-002 based on Phase II cross-team execution observations. Track each RFC to closure.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RFC governance document (Unlimited Rights). RFC-001 and RFC-002 records with rationale and decision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RFC governance document ratified by Month 21.</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RFC-001 completed and parameter change (or rejection with rationale) published by Month 27.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RFC-002 completed by Month 33.</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2.3.2     Title: Cross-team protocol execution at three or more laboratories</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Identify one cross-team laboratory (a laboratory from a different IGoR team or an independent academic lab). Transfer LabOP protocols and IV&amp;V calibration artifacts. Provide remote support via the TA3 LabCapabilityProfile and RFC governance process. Execute three or more experiments at the cross-team lab and compare outputs to the IPAI/Purdue reference.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(protocol support); cross-team laboratory (TBD); IPAI/Purdue (reference)</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 (lead); cross-team laboratory</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Cross-team execution report with reproducibility metrics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Cross-team laboratory identified and LabCapabilityProfile submitted to TA3 registry by Month 24.</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experiments executed at cross-team lab by Month 33.</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Concordance between cross-team and IPAI/Purdue reference outputs is &gt;= 90% on three or more features by Month 36, consistent with the TA4 cross-team Phase II target.</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2.4.0     Title: TA4: Cross-Team Marketplace Interface and Concordance</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Build the marketplace request interface: an API that receives an ExperimentIntent from TA2, matches it to a laboratory with the required LabCapabilityProfile, issues the TA3 protocol to that laboratory, tracks execution, and accepts the data return. Validate the interface with three or more cross-team experiments. Track exceptions (protocol deviations, QC failures, aborted runs) and measure the reduction versus Phase I.</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 Cellanome (CA); Illumina (CA); cross-team labs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 (marketplace interface lead); Cellanome, Illumina (execution)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Marketplace request/return API (Unlimited Rights, Apache-2.0). Three or more cross-team experiment execution records (Unlimited Rights). Exception-rate comparison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Marketplace API is deployed and tested with simulated requests by Month 24.</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cross-team experiments are ordered and executed via the marketplace API by Month 33.</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Cross-team concordance is &gt;= 90% on three or more experiments by Month 36.</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Exception rate per experiment is reduced &gt;= 50% versus Phase I baseline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2.4.1     Title: Marketplace request/return interface deployment</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Implement the API with endpoints for: experiment request submission, capability matching query, status tracking, and data return ingestion. Validate API against TA3 LabCapabilityProfile registry.</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Marketplace API code (Unlimited Rights, Apache-2.0). API documentation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API deployed and returns valid responses to 10 or more test requests by Month 24.</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API integrated with TA3 LabCapabilityProfile registry and returns correct lab matches for 5 or more test protocols by Month 27.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API handles data return ingestion and triggers TA1 update pipeline for 3 or more real experiments by Month 36.</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2.4.2     Title: Cross-team concordance validation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Define concordance as Spearman correlation &gt;= 0.90 on 20 or more morphological features or directional log2FC agreement on 80% or more of tested genes (scRNA-seq). First, confirm cross-arm concordance between the academic arm (Tegtmeyer fixed-cell high-plex readouts) and the industry arm (Cellanome R3200) using Carpenter's computational morphology models as the common analysis layer. Then execute three or more cross-team experiments using the same LabOP protocol. Compute concordance metrics for both intra-team cross-arm and cross-team comparisons. Report any discordant results and submit an RFC if a locked parameter is implicated.</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 Cellanome (CA); cross-team lab</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 (Tegtmeyer academic arm reference; Carpenter computational analysis); Cellanome (industry arm + cross-team execution)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Concordance validation report for three or more cross-team experiments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Concordance metrics computed for all three or more cross-team experiments by Month 33.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of three or more experiments meet the &gt;= 90% concordance threshold by Month 36.</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Discordant results (if any) are documented and an RFC initiated within two weeks of identification.</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     Task: 2.5.0     Title: Program Integration: Interoperability Gate and Cycle-Time Milestone</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Execute one or more cross-team interoperability tests: a second team's laboratory receives a PsychIGoR LabOP protocol and returns data that updates the PsychIGoR TA1 model. Measure cycle time from TA1 gap detection to model update for five or more Phase II cycles and compare to the Phase I baseline. Report the IV&amp;V biannual review findings.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All performing organizations; IV&amp;V partner reviews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 (prime, integration lead)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Phase II interoperability test report (Unlimited Rights). Cycle-time comparison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One or more successful cross-team interoperability tests completed by Month 33.</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Median cycle time from TA1 gap detection to TA1 model update is &gt;= 4x faster than Phase I baseline, measured over five or more Phase II cycles, by Month 36.</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Phase II progress report is submitted to ARPA-H PM on schedule by Month 36.</w:t>
            </w:r>
          </w:p>
        </w:tc>
      </w:tr>
    </w:tbl>
    <w:p>
      <w:pPr>
        <w:spacing w:line="240" w:lineRule="atLeast"/>
      </w:pPr>
    </w:p>
    <w:p>
      <w:pPr>
        <w:widowControl/>
        <w:autoSpaceDE/>
        <w:autoSpaceDN/>
        <w:spacing w:line="240" w:lineRule="atLeast"/>
        <w:jc w:val="both"/>
      </w:pPr>
      <w:r>
        <w:rPr>
          <w:rFonts w:ascii="Avenir Next LT Pro Light" w:hAnsi="Avenir Next LT Pro Light"/>
          <w:color w:val="000000"/>
          <w:b/>
          <w:bCs/>
          <w:sz w:val="22"/>
          <w:szCs w:val="22"/>
        </w:rPr>
        <w:t>Phase III (Months 36–60)</w:t>
      </w:r>
    </w:p>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3.1.0     Title: TA1: Bipolar Extension and Open-Access Model Deposit</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 xml:space="preserve">Integrate bipolar GWAS data (PGC BD3) and rare-variant data. Transfer schizophrenia disease axes to bipolar by mapping the shared genetic architecture and updating the shift-space alignment with bipolar cohort data (PsychENCODE supplementary releases). Build five or more additional sub-models for bipolar-specific and transdiagnostic processes, reaching 15 or more total. Add a third biological scale (e.g., circuit or systems level). Optimize update latency to &lt;= 4 h via asynchronous model update and incremental learning. Deposit all models in Zenodo or equivalent certified repository in containerized executable form. </w:t>
            </w:r>
            <w:r>
              <w:rPr>
                <w:rFonts w:ascii="Avenir Next LT Pro Light" w:hAnsi="Avenir Next LT Pro Light"/>
                <w:color w:val="000000"/>
                <w:b/>
                <w:bCs/>
              </w:rPr>
              <w:t>Stage 3 experimental anchor:</w:t>
            </w:r>
            <w:r>
              <w:rPr>
                <w:rFonts w:ascii="Avenir Next LT Pro Light" w:hAnsi="Avenir Next LT Pro Light"/>
                <w:color w:val="000000"/>
              </w:rPr>
              <w:t xml:space="preserve"> Phase III is anchored by targeted, combinatorial perturbation of pathways and processes nominated by the TA1 model and the TA2 engine; combinatorial designs are required because single-point interventions at non-hub genes are often limited by compensatory or redundant pathways, and hub-gene interventions risk broad side effects. Stage 3 perturbations are the primary experimental fuel for reaching the 10x cycle-time target and confirming novel validated hypotheses in both disease areas.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 (co-contributor; Carpenter co-lead on computational morphology)</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Bipolar-extended TA1 model with 15 or more sub-models across three or more scales (Unlimited Rights, Apache-2.0). Open-access certified deposit with DOI (Unlimited Rights). Latency audit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Bipolar GWAS and cohort data integrated and bipolar-specific disease axes extracted by Month 45.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Sub-model count reaches 15 or more across three or more scales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Update latency is &lt;= 4 h for 90% or more of TA4 data returns by Month 57.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All 15 or more models are deposited in certified open-access executable form with DOI by Month 60.</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3.1.1     Title: Bipolar disorder data integration and disease axis transfer</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Pull PGC BD3 GWAS summary statistics and rare-variant data. Integrate available bipolar single-cell data (PsychENCODE BD, McLean biobank where applicable under existing IRB and GDS policy). Map shared loci and pathways between schizophrenia and bipolar to identify transferable axes. Update the joint cellular-clinical shift space with bipolar evidence.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McLean/HMS (MA, data governance)</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McLean/HMS (data governance)</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Bipolar data integration pipeline and documentation (Unlimited Rights, Apache-2.0). Bipolar-schizophrenia axis alignment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Uses existing de-identified data governed by originating-institution IRB and NIH GDS policy.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Bipolar GWAS data integrated and three or more shared pathway axes identified by Month 42.</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Bipolar disease axes show Pearson correlation &gt;= 0.60 with corresponding schizophrenia axes by Month 48.</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Joint shift-space alignment includes bipolar cohort evidence by Month 50.</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3.1.2     Title: Scale-out to 15 or more sub-models across three or more scales</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Build five or more new sub-models beyond the Phase II 10, covering bipolar-specific and transdiagnostic processes. Add the systems (circuit or network) scale as the third layer. Update model cards for all sub-models.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Fifteen or more sub-models with updated model cards (Unlimited Rights, Apache-2.0).</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Twelve or more sub-models available by Month 48.</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Fifteen or more sub-models across three or more scales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All sub-models pass IV&amp;V reproducibility check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3.1.3     Title: Open-access certified deposit</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Package all 15 or more sub-models with their training code, model cards, and example inference scripts in containerized form. Deposit on Zenodo or equivalent with DOI. Register in a biomedical AI model registry (e.g., Hugging Face Hub). Submit data to dbGaP or GEO per NIH GDS policy for any derived genomic datasets.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 IPAI/Purdue</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Open-access deposit with DOI (Unlimited Rights). Data submission records for NIH GDS policy compliance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All sub-model containers pass the IV&amp;V reproducibility check by Month 57.</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Deposit with DOI is live on Zenodo by Month 59.</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Model registry entry is live with download count reported to ARPA-H PM by Month 60.</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3.2.0     Title: TA2: Generalization to Bipolar and External User Study</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Extend TA2 to consume bipolar knowledge gaps and produce bipolar ExperimentIntent objects. Expand the user study to 20 or more researchers including external users (academic labs, clinical collaborators). Quantify design efficiency vs. a conventional baseline (time-per-hypothesis, expert rating, resulting TA1 update magnitude).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external participants (distributed)</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 (lead)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Bipolar TA2 extension (Unlimited Rights, Apache-2.0). External user study report (Unlimited Rights). Design efficiency report vs. conventional baseline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External user study is professional usability evaluation; not human subjects research.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Bipolar experiment design demonstrated with three or more ExperimentIntent objects by Month 48.</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External user study completed with 20 or more researchers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85% or more of TA2-proposed experiments rated high-value by Month 57.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80% or more of external users rate the system useful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3.2.1     Title: Bipolar experiment design and validation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Update the TA2 retrieval corpus with bipolar TA1 coverage map. Generate three or more ExperimentIntent objects for bipolar-specific knowledge gaps. Execute via TA3-TA4 and confirm at least one non-obvious bipolar prediction.</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Cytognosis Foundation (CA); all TA4 labs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Bipolar ExperimentIntent objects (Unlimited Rights). Validated bipolar prediction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Three or more bipolar ExperimentIntent objects generated by Month 45.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One or more bipolar experiments executed via TA4 by Month 51.</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At least one novel validated bipolar hypothesis confirmed (p &lt; 0.05)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3.2.2     Title: External user study (20 or more researchers)</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Recruit 20 or more researchers including external users (academic labs, clinical researchers, and representatives from Phase III partner laboratories not on the team). Provide standardized knowledge-gap prompts for both schizophrenia and bipolar disorder. Collect structured usability feedback. Analyze and report disaggregated by disease and user type.</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Distributed; led by Cytognosis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Cytognosis Foundation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External user study data and statistical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Professional usability evaluation.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Recruitment of 20 or more researchers confirmed by Month 45.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Study completed and data collected by Month 51.</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80% or more of participants report the system as useful (&gt;= 4/5 Likert) by Month 54.</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3.3.0     Title: TA3: Open Standards Engagement and Connect-a-Thon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Develop the open data and metadata layer: machine-readable metadata companion to all deposited data, aligned with FAIR principles and the one-semantic-foundation schema. Engage one or more external standards body (SLAS Technology, SiLA Consortium, or an instrument manufacturer) to propose adoption of LabOP perturbation-biology extensions. Execute protocols at five or more laboratories across multiple IGoR teams in preparation for the connect-a-thon. Organize and execute the Phase III connect-a-thon: laboratories from two or more IGoR teams exchange LabOP protocols and demonstrate interoperability.</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 all participating laboratories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 (lead)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Open data and metadata layer specification (Unlimited Rights, Apache-2.0). Standards body engagement report (Unlimited Rights). Connect-a-thon execution report with interoperability metrics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Open data and metadata layer specification published by Month 48.</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Engagement with one or more external standards body initiated by Month 48.</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Protocols run at five or more laboratories across two or more IGoR teams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Four or more modalities supported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5.</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Connect-a-thon completed and interoperability demonstrated between two or more IGoR teams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3.3.1     Title: Open data and metadata layer delivery</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Define the metadata schema in LinkML. Require all TA4 data deposits to include a companion metadata record. Publish schema and example records.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Open metadata schema and documentation (Unlimited Rights, Apache-2.0).</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Schema published and adopted by all team labs by Month 45.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100% of Phase III data deposits include a valid metadata record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Schema passes FAIR maturity assessment at level 2 or above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3.3.2     Title: External standards body engagement</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Identify the most appropriate standards body (SLAS Technology, SiLA Consortium, LabOP/PAML standards group, or an Illumina instrument standards working group). Draft a standards proposal or extension specification. Submit and track the proposal status.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SIFT (VA)</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Standards proposal submitted to one or more external bodies (Unlimited Rights). Engagement status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External standards body identified and engagement initiated by Month 42.</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Standards proposal or extension specification submitted by Month 51.</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Engagement status report (acknowledgment, review, or adoption) submitted to ARPA-H PM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3.3.3     Title: Phase III connect-a-thon</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Coordinate with the ARPA-H PM and at least one other IGoR team. Exchange LabOP protocol packages with LabCapabilityProfiles. Execute one or more cross-team protocols at each team's laboratory. Document outcomes against the IV&amp;V concordance thresholds.</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 partner IGoR team laboratory (TBD)</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SIFT (protocol coordination); IPAI/Purdue (execution host)</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Connect-a-thon interoperability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Connect-a-thon partner laboratory(ies) identified and Associate Performer Agreement(s) executed by Month 42.</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Protocol exchange completed and remote execution attempted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Interoperability demonstrated with concordance &gt;= 80% on three or more features at the partner lab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3.4.0     Title: TA4: Unified Marketplace and Autonomous Exception Handling</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Extend the Phase II marketplace API to a unified interface accepting requests from external researchers with Associate Performer Agreements. Publish laboratory capability manifests and onboarding documentation. Implement automated exception-handling logic for the top exception classes identified in Phases I and II (reagent QC failures, instrument calibration drift, cell viability below threshold). Track the fraction of exceptions handled without human escalation.</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 Cellanome (CA); Illumina (CA); external labs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 (marketplace lead); Cellanome, Illumina (execution)</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Unified marketplace API and onboarding documentation (Unlimited Rights, Apache-2.0). Public capability manifests for all participating laboratories (Unlimited Rights). Exception-handling automation code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Unified marketplace accepts external researcher orders by Month 48.</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Marketplace concordance is &gt;= 90% across experiments ordered via the marketplace by Month 54.</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70% or more of protocol exceptions are handled autonomously without human escalation by Month 57.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Experiments from at least two disease indications are executed via the marketplace by Month 60.</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3.4.1     Title: Unified marketplace deployment</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Extend the API authentication and authorization layer to support external users with Associate Performer Agreements. Publish capability manifests for all participating laboratories. Provide onboarding documentation and a self-service capability-match query.</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External-user marketplace API and onboarding documentation (Unlimited Rights, Apache-2.0). Capability manifests for three or more laboratories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External-user authentication deployed and tested by Month 45.</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Capability manifests for three or more labs published by Month 48.</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First external researcher order received and executed by Month 51.</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3.4.2     Title: Autonomous exception handling scale-up</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Analyze Phase I and II exception logs to identify the top five exception classes. Implement automated exception-resolution logic for each class (reagent substitution, instrument recalibration trigger, repeat-run authorization). Test on historical exceptions. Deploy in production.</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IPAI/Purdue (IN); SIFT (VA, protocol logic)</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 (lead); SIFT (protocol logic)</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Exception-handling automation code (Unlimited Rights, Apache-2.0). Exception-rate reduction report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Top five exception classes identified from Phase I and II logs by Month 39.</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Automated handling logic deployed for three or more exception classes by Month 48.</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70% or more exceptions handled autonomously by Month 57.</w:t>
            </w:r>
          </w:p>
        </w:tc>
      </w:tr>
    </w:tbl>
    <w:p>
      <w:pPr>
        <w:spacing w:line="240" w:lineRule="atLeast"/>
      </w:pPr>
    </w:p>
    <w:tbl>
      <w:tblPr>
        <w:tblW w:w="0" w:type="auto"/>
        <w:tblInd w:w="100"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2506"/>
        <w:gridCol w:w="4320"/>
        <w:gridCol w:w="2610"/>
        <w:gridCol w:w="12"/>
      </w:tblGrid>
      <w:tr w:rsidR="002C5C6B" w:rsidRPr="00D216E6" w14:paraId="3247EA0C" w14:textId="77777777" w:rsidTr="00D710F0">
        <w:trPr>
          <w:trHeight w:hRule="exact" w:val="302"/>
        </w:trPr>
        <w:tc>
          <w:tcPr>
            <w:tcW w:w="9448" w:type="dxa"/>
            <w:gridSpan w:val="4"/>
            <w:tcBorders>
              <w:bottom w:val="single" w:sz="11" w:space="0" w:color="000000"/>
            </w:tcBorders>
            <w:shd w:val="clear" w:color="auto" w:fill="BDD6EE" w:themeFill="accent5" w:themeFillTint="66"/>
            <w:vAlign w:val="center"/>
          </w:tcPr>
          <w:p>
            <w:pPr>
              <w:widowControl/>
              <w:autoSpaceDE/>
              <w:autoSpaceDN/>
              <w:spacing w:line="240" w:lineRule="atLeast"/>
              <w:jc w:val="both"/>
            </w:pPr>
            <w:r>
              <w:rPr>
                <w:rFonts w:ascii="Avenir Next LT Pro Light" w:hAnsi="Avenir Next LT Pro Light"/>
                <w:color w:val="000000"/>
                <w:b/>
                <w:bCs/>
                <w:sz w:val="20"/>
                <w:szCs w:val="20"/>
              </w:rPr>
              <w:t>PHASE: III     Task: 3.5.0     Title: Program Integration: Transition, Open-Access Certification, and Sustainability</w:t>
            </w:r>
          </w:p>
        </w:tc>
      </w:tr>
      <w:tr w:rsidR="002C5C6B" w:rsidRPr="00D216E6" w14:paraId="328B1272" w14:textId="77777777" w:rsidTr="00166B0B">
        <w:trPr>
          <w:trHeight w:hRule="exact" w:val="2457"/>
        </w:trPr>
        <w:tc>
          <w:tcPr>
            <w:tcW w:w="2506" w:type="dxa"/>
            <w:tcBorders>
              <w:top w:val="single" w:sz="11" w:space="0" w:color="000000"/>
              <w:bottom w:val="single" w:sz="11" w:space="0" w:color="000000"/>
            </w:tcBorders>
          </w:tcPr>
          <w:p w14:paraId="0BEA9266" w14:textId="462DFC55" w:rsidR="002C5C6B" w:rsidRPr="00F300B8" w:rsidRDefault="000F3F08">
            <w:pPr>
              <w:spacing w:before="5"/>
              <w:ind w:left="103"/>
              <w:rPr>
                <w:rFonts w:ascii="Avenir Next LT Pro Light" w:eastAsia="Calibri" w:hAnsi="Avenir Next LT Pro Light"/>
                <w:b/>
                <w:sz w:val="20"/>
              </w:rPr>
            </w:pPr>
            <w:r>
              <w:rPr>
                <w:rFonts w:ascii="Avenir Next LT Pro Light" w:eastAsia="Calibri" w:hAnsi="Avenir Next LT Pro Light"/>
                <w:b/>
                <w:sz w:val="20"/>
              </w:rPr>
              <w:t>Task Objective</w:t>
            </w:r>
          </w:p>
        </w:tc>
        <w:tc>
          <w:tcPr>
            <w:tcW w:w="4320" w:type="dxa"/>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Execute the transition plan: transfer stewardship of the open-source repositories to Cytognosis as the nonprofit steward; finalize at least one sustained partnership or adoption path (public-private marketplace partnership, academic consortium, or philanthropic continuation). Certify all artifacts as open-access in a recognized repository. Measure cycle time for five or more Phase III experiments and compare to the Phase I baseline. Report to ARPA-H PM.</w:t>
            </w:r>
          </w:p>
        </w:tc>
        <w:tc>
          <w:tcPr>
            <w:tcW w:w="2622" w:type="dxa"/>
            <w:gridSpan w:val="2"/>
            <w:tcBorders>
              <w:top w:val="single" w:sz="11" w:space="0" w:color="000000"/>
              <w:bottom w:val="single" w:sz="11" w:space="0" w:color="000000"/>
            </w:tcBorders>
          </w:tcPr>
          <w:p>
            <w:pPr>
              <w:widowControl/>
              <w:autoSpaceDE/>
              <w:autoSpaceDN/>
              <w:spacing w:line="240" w:lineRule="atLeast"/>
              <w:jc w:val="both"/>
            </w:pPr>
            <w:r>
              <w:rPr>
                <w:rFonts w:ascii="Avenir Next LT Pro Light" w:hAnsi="Avenir Next LT Pro Light"/>
                <w:color w:val="000000"/>
              </w:rPr>
              <w:t>Location</w:t>
            </w:r>
          </w:p>
          <w:p>
            <w:pPr>
              <w:widowControl/>
              <w:autoSpaceDE/>
              <w:autoSpaceDN/>
              <w:spacing w:line="240" w:lineRule="atLeast"/>
              <w:jc w:val="both"/>
            </w:pPr>
            <w:r>
              <w:rPr>
                <w:rFonts w:ascii="Avenir Next LT Pro Light" w:hAnsi="Avenir Next LT Pro Light"/>
                <w:color w:val="000000"/>
              </w:rPr>
              <w:t>All performing organizations</w:t>
            </w:r>
          </w:p>
        </w:tc>
      </w:tr>
      <w:tr w:rsidR="002C5C6B" w:rsidRPr="00D216E6" w14:paraId="5FAB5D54" w14:textId="77777777" w:rsidTr="00166B0B">
        <w:trPr>
          <w:trHeight w:hRule="exact" w:val="570"/>
        </w:trPr>
        <w:tc>
          <w:tcPr>
            <w:tcW w:w="2506" w:type="dxa"/>
            <w:tcBorders>
              <w:top w:val="single" w:sz="11" w:space="0" w:color="000000"/>
            </w:tcBorders>
            <w:vAlign w:val="center"/>
          </w:tcPr>
          <w:p w14:paraId="1C4F7848" w14:textId="29F1D2BF" w:rsidR="002C5C6B" w:rsidRPr="00F300B8" w:rsidRDefault="002C5C6B">
            <w:pPr>
              <w:tabs>
                <w:tab w:val="left" w:pos="947"/>
                <w:tab w:val="left" w:pos="1943"/>
                <w:tab w:val="left" w:pos="2743"/>
              </w:tabs>
              <w:spacing w:before="1"/>
              <w:ind w:left="103" w:right="104"/>
              <w:rPr>
                <w:rFonts w:ascii="Avenir Next LT Pro Light" w:eastAsia="Calibri" w:hAnsi="Avenir Next LT Pro Light"/>
                <w:sz w:val="20"/>
              </w:rPr>
            </w:pPr>
            <w:r>
              <w:rPr>
                <w:rFonts w:ascii="Avenir Next LT Pro Light" w:eastAsia="Calibri" w:hAnsi="Avenir Next LT Pro Light"/>
                <w:b/>
                <w:sz w:val="20"/>
              </w:rPr>
              <w:t>Organization Responsible for Task</w:t>
            </w:r>
          </w:p>
        </w:tc>
        <w:tc>
          <w:tcPr>
            <w:tcW w:w="6942" w:type="dxa"/>
            <w:gridSpan w:val="3"/>
            <w:tcBorders>
              <w:top w:val="single" w:sz="11" w:space="0" w:color="000000"/>
            </w:tcBorders>
            <w:vAlign w:val="center"/>
          </w:tcPr>
          <w:p>
            <w:pPr>
              <w:widowControl/>
              <w:autoSpaceDE/>
              <w:autoSpaceDN/>
              <w:spacing w:line="240" w:lineRule="atLeast"/>
              <w:jc w:val="both"/>
            </w:pPr>
            <w:r>
              <w:rPr>
                <w:rFonts w:ascii="Avenir Next LT Pro Light" w:hAnsi="Avenir Next LT Pro Light"/>
                <w:color w:val="000000"/>
              </w:rPr>
              <w:t>IPAI/Purdue (prime, integration lead); Cytognosis Foundation (open-source steward)</w:t>
            </w:r>
          </w:p>
        </w:tc>
      </w:tr>
      <w:tr w:rsidR="002C5C6B" w:rsidRPr="00D216E6" w14:paraId="2DF78C66" w14:textId="77777777" w:rsidTr="00166B0B">
        <w:trPr>
          <w:trHeight w:hRule="exact" w:val="1249"/>
        </w:trPr>
        <w:tc>
          <w:tcPr>
            <w:tcW w:w="2506" w:type="dxa"/>
            <w:tcBorders>
              <w:bottom w:val="double" w:sz="3" w:space="0" w:color="000000"/>
            </w:tcBorders>
            <w:vAlign w:val="center"/>
          </w:tcPr>
          <w:p w14:paraId="4C284F3C" w14:textId="6B5CB8EC" w:rsidR="002C5C6B" w:rsidRPr="00F300B8" w:rsidRDefault="002C5C6B">
            <w:pPr>
              <w:spacing w:before="1"/>
              <w:ind w:left="103"/>
              <w:rPr>
                <w:rFonts w:ascii="Avenir Next LT Pro Light" w:eastAsia="Calibri" w:hAnsi="Avenir Next LT Pro Light"/>
                <w:b/>
                <w:sz w:val="20"/>
              </w:rPr>
            </w:pPr>
            <w:r>
              <w:rPr>
                <w:rFonts w:ascii="Avenir Next LT Pro Light" w:eastAsia="Calibri" w:hAnsi="Avenir Next LT Pro Light"/>
                <w:b/>
                <w:sz w:val="20"/>
              </w:rPr>
              <w:t xml:space="preserve">Deliverable(s) </w:t>
            </w:r>
            <w:r>
              <w:rPr>
                <w:rFonts w:ascii="Avenir Next LT Pro Light" w:eastAsia="Calibri" w:hAnsi="Avenir Next LT Pro Light"/>
                <w:bCs/>
                <w:sz w:val="20"/>
              </w:rPr>
              <w:t>(with associated Intellectual Property (IP) assertion if less than Unlimited Rights)</w:t>
            </w:r>
            <w:r>
              <w:rPr>
                <w:rFonts w:ascii="Avenir Next LT Pro Light" w:eastAsia="Calibri" w:hAnsi="Avenir Next LT Pro Light"/>
                <w:b/>
                <w:sz w:val="20"/>
              </w:rPr>
              <w:t xml:space="preserve"> </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Transition plan and stewardship transfer record (Unlimited Rights). At least one sustained partnership agreement or adoption-path documentation (Unlimited Rights). Cycle-time comparison report (Unlimited Rights). Final open-access certification (Unlimited Rights).</w:t>
            </w:r>
          </w:p>
        </w:tc>
      </w:tr>
      <w:tr w:rsidR="00FA3E3D" w:rsidRPr="00D216E6" w14:paraId="7E4CBF61" w14:textId="77777777" w:rsidTr="00223A29">
        <w:trPr>
          <w:trHeight w:hRule="exact" w:val="1533"/>
        </w:trPr>
        <w:tc>
          <w:tcPr>
            <w:tcW w:w="2506" w:type="dxa"/>
            <w:tcBorders>
              <w:bottom w:val="double" w:sz="3" w:space="0" w:color="000000"/>
            </w:tcBorders>
            <w:vAlign w:val="center"/>
          </w:tcPr>
          <w:p w14:paraId="0CD1ED97" w14:textId="00A21E5A" w:rsidR="00FA3E3D" w:rsidRPr="00F300B8" w:rsidRDefault="00FA3E3D" w:rsidP="00FA3E3D">
            <w:pPr>
              <w:spacing w:before="5"/>
              <w:ind w:left="103"/>
              <w:rPr>
                <w:rFonts w:ascii="Avenir Next LT Pro Light" w:eastAsia="Calibri" w:hAnsi="Avenir Next LT Pro Light"/>
                <w:b/>
                <w:sz w:val="20"/>
              </w:rPr>
            </w:pPr>
            <w:r>
              <w:rPr>
                <w:rFonts w:ascii="Avenir Next LT Pro Light" w:eastAsia="Calibri" w:hAnsi="Avenir Next LT Pro Light"/>
                <w:b/>
                <w:sz w:val="20"/>
              </w:rPr>
              <w:t>Human Subjects and/or Animal Subject Research?</w:t>
            </w:r>
          </w:p>
        </w:tc>
        <w:tc>
          <w:tcPr>
            <w:tcW w:w="6942" w:type="dxa"/>
            <w:gridSpan w:val="3"/>
            <w:tcBorders>
              <w:bottom w:val="double" w:sz="3" w:space="0" w:color="000000"/>
            </w:tcBorders>
            <w:vAlign w:val="center"/>
          </w:tcPr>
          <w:p>
            <w:pPr>
              <w:widowControl/>
              <w:autoSpaceDE/>
              <w:autoSpaceDN/>
              <w:spacing w:line="240" w:lineRule="atLeast"/>
              <w:jc w:val="both"/>
            </w:pPr>
            <w:r>
              <w:rPr>
                <w:rFonts w:ascii="Avenir Next LT Pro Light" w:hAnsi="Avenir Next LT Pro Light"/>
                <w:color w:val="000000"/>
              </w:rPr>
              <w:t>Human subjects: No.
Animal subjects: No.</w:t>
            </w:r>
          </w:p>
        </w:tc>
      </w:tr>
      <w:tr w:rsidR="002C5C6B" w:rsidRPr="00D216E6" w14:paraId="6B4CF913" w14:textId="77777777" w:rsidTr="00166B0B">
        <w:trPr>
          <w:gridAfter w:val="1"/>
          <w:wAfter w:w="12" w:type="dxa"/>
          <w:trHeight w:hRule="exact" w:val="723"/>
        </w:trPr>
        <w:tc>
          <w:tcPr>
            <w:tcW w:w="2506" w:type="dxa"/>
            <w:tcBorders>
              <w:top w:val="double" w:sz="3" w:space="0" w:color="000000"/>
            </w:tcBorders>
            <w:vAlign w:val="center"/>
          </w:tcPr>
          <w:p w14:paraId="6156F428" w14:textId="1BBB3233" w:rsidR="002C5C6B" w:rsidRPr="00D710F0" w:rsidRDefault="002C5C6B">
            <w:pPr>
              <w:spacing w:before="1"/>
              <w:ind w:left="103"/>
              <w:rPr>
                <w:rFonts w:ascii="Avenir Next LT Pro Light" w:eastAsia="Calibri" w:hAnsi="Avenir Next LT Pro Light"/>
                <w:b/>
                <w:bCs/>
                <w:sz w:val="20"/>
              </w:rPr>
            </w:pPr>
            <w:r>
              <w:rPr>
                <w:rFonts w:ascii="Avenir Next LT Pro Light" w:eastAsia="Calibri" w:hAnsi="Avenir Next LT Pro Light"/>
                <w:b/>
                <w:bCs/>
                <w:sz w:val="20"/>
              </w:rPr>
              <w:t>Associated Milestone(s)</w:t>
            </w:r>
          </w:p>
        </w:tc>
        <w:tc>
          <w:tcPr>
            <w:tcW w:w="6930" w:type="dxa"/>
            <w:gridSpan w:val="2"/>
            <w:tcBorders>
              <w:top w:val="double" w:sz="3" w:space="0" w:color="000000"/>
            </w:tcBorders>
            <w:vAlign w:val="center"/>
          </w:tcPr>
          <w:p>
            <w:pPr>
              <w:widowControl/>
              <w:autoSpaceDE/>
              <w:autoSpaceDN/>
              <w:spacing w:line="240" w:lineRule="atLeast"/>
              <w:jc w:val="both"/>
            </w:pPr>
            <w:r>
              <w:rPr>
                <w:rFonts w:ascii="Avenir Next LT Pro Light" w:hAnsi="Avenir Next LT Pro Light"/>
                <w:color w:val="000000"/>
              </w:rPr>
              <w:t>Observable/measurable events. Add/delete rows as applicable.</w:t>
            </w:r>
          </w:p>
        </w:tc>
      </w:tr>
      <w:tr w:rsidR="002C5C6B" w:rsidRPr="00D216E6" w14:paraId="64AF4F97" w14:textId="77777777" w:rsidTr="00166B0B">
        <w:trPr>
          <w:gridAfter w:val="1"/>
          <w:wAfter w:w="12" w:type="dxa"/>
          <w:trHeight w:hRule="exact" w:val="312"/>
        </w:trPr>
        <w:tc>
          <w:tcPr>
            <w:tcW w:w="2506" w:type="dxa"/>
            <w:vAlign w:val="center"/>
          </w:tcPr>
          <w:p w14:paraId="02FC3A7A"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1.</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Transition plan is submitted to ARPA-H PM by Month 54.</w:t>
            </w:r>
          </w:p>
        </w:tc>
      </w:tr>
      <w:tr w:rsidR="002C5C6B" w:rsidRPr="00D216E6" w14:paraId="080F7252" w14:textId="77777777" w:rsidTr="00166B0B">
        <w:trPr>
          <w:gridAfter w:val="1"/>
          <w:wAfter w:w="12" w:type="dxa"/>
          <w:trHeight w:hRule="exact" w:val="312"/>
        </w:trPr>
        <w:tc>
          <w:tcPr>
            <w:tcW w:w="2506" w:type="dxa"/>
            <w:vAlign w:val="center"/>
          </w:tcPr>
          <w:p w14:paraId="348D45E6"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2.</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At least one external researcher uses the IGoR end-to-end (gap to experiment to TA1 update) by Month 57.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3.</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Cycle-time comparison report demonstrates &gt;= 10x improvement over Phase I baseline across five or more Phase III experiments by Month 57.</w:t>
            </w:r>
          </w:p>
        </w:tc>
      </w:tr>
      <w:tr w:rsidR="002C5C6B" w:rsidRPr="00D216E6" w14:paraId="4BA06593" w14:textId="77777777" w:rsidTr="00166B0B">
        <w:trPr>
          <w:gridAfter w:val="1"/>
          <w:wAfter w:w="12" w:type="dxa"/>
          <w:trHeight w:hRule="exact" w:val="312"/>
        </w:trPr>
        <w:tc>
          <w:tcPr>
            <w:tcW w:w="2506" w:type="dxa"/>
            <w:vAlign w:val="center"/>
          </w:tcPr>
          <w:p w14:paraId="53A16192" w14:textId="77777777" w:rsidR="002C5C6B" w:rsidRPr="00F300B8" w:rsidRDefault="002C5C6B">
            <w:pPr>
              <w:spacing w:before="5"/>
              <w:ind w:left="103"/>
              <w:rPr>
                <w:rFonts w:ascii="Avenir Next LT Pro Light" w:eastAsia="Calibri" w:hAnsi="Avenir Next LT Pro Light"/>
                <w:sz w:val="20"/>
              </w:rPr>
            </w:pPr>
            <w:r>
              <w:rPr>
                <w:rFonts w:ascii="Avenir Next LT Pro Light" w:eastAsia="Calibri" w:hAnsi="Avenir Next LT Pro Light"/>
                <w:sz w:val="20"/>
              </w:rPr>
              <w:t>4.</w:t>
            </w:r>
          </w:p>
        </w:tc>
        <w:tc>
          <w:tcPr>
            <w:tcW w:w="6930" w:type="dxa"/>
            <w:gridSpan w:val="2"/>
            <w:vAlign w:val="center"/>
          </w:tcPr>
          <w:p>
            <w:pPr>
              <w:widowControl/>
              <w:autoSpaceDE/>
              <w:autoSpaceDN/>
              <w:spacing w:line="240" w:lineRule="atLeast"/>
              <w:jc w:val="both"/>
            </w:pPr>
            <w:r>
              <w:rPr>
                <w:rFonts w:ascii="Avenir Next LT Pro Light" w:hAnsi="Avenir Next LT Pro Light"/>
                <w:color w:val="000000"/>
              </w:rPr>
              <w:t>All program artifacts are certified open-access with DOIs and deposited by Month 60.</w:t>
            </w:r>
          </w:p>
        </w:tc>
      </w:tr>
    </w:tbl>
    <w:p>
      <w:pPr>
        <w:spacing w:line="240" w:lineRule="atLeast"/>
      </w:pPr>
    </w:p>
    <w:p>
      <w:pPr>
        <w:widowControl/>
        <w:autoSpaceDE/>
        <w:autoSpaceDN/>
        <w:spacing w:line="240" w:lineRule="atLeast"/>
        <w:jc w:val="both"/>
      </w:pPr>
      <w:r>
        <w:rPr>
          <w:rFonts w:ascii="Avenir Next LT Pro Light" w:hAnsi="Avenir Next LT Pro Light"/>
          <w:color w:val="000000"/>
          <w:b/>
          <w:bCs/>
          <w:sz w:val="22"/>
          <w:szCs w:val="22"/>
        </w:rPr>
        <w:t>Cross-Walk Note</w:t>
      </w:r>
    </w:p>
    <w:p>
      <w:pPr>
        <w:widowControl/>
        <w:autoSpaceDE/>
        <w:autoSpaceDN/>
        <w:spacing w:line="240" w:lineRule="atLeast"/>
        <w:jc w:val="both"/>
      </w:pPr>
      <w:r>
        <w:rPr>
          <w:rFonts w:ascii="Avenir Next LT Pro Light" w:hAnsi="Avenir Next LT Pro Light"/>
          <w:color w:val="000000"/>
        </w:rPr>
        <w:t>Every task and milestone above maps to Appendix C.3 (Price Proposal) as follows: Phase I tasks (1.1.0–1.5.0) map to the Phase I cost columns in Table 1-A and Table 6-A; Phase II tasks (2.1.0–2.5.0) map to Phase II columns; Phase III tasks (3.1.0–3.5.0) map to Phase III columns. Labor, equipment, materials, travel, and ODC lines in C.3 are organized by the same Phase-and-TA structure used here. The Appendix C.4 workbook provides per-task cost detail. Any IP assertion in the deliverables column of this document is reflected in the C.3 narrative under the relevant organization's cost entry.</w:t>
      </w:r>
    </w:p>
    <w:p>
      <w:pPr>
        <w:spacing w:line="240" w:lineRule="atLeast"/>
      </w:pPr>
    </w:p>
    <w:sectPr w:rsidR="00ED5992" w:rsidRPr="00F67E0F" w:rsidSect="009043E7">
      <w:headerReference w:type="default" r:id="rId10"/>
      <w:footerReference w:type="default" r:id="rId11"/>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in Mohammadi" w:date="2026-06-22T05:23:04Z" w:initials="SM">
    <w:p w14:paraId="5605F85B" w14:textId="77777777">
      <w:r>
        <w:rPr>
          <w:rStyle w:val="CommentReference"/>
        </w:rPr>
        <w:annotationRef/>
      </w:r>
      <w:r>
        <w:rPr>
          <w:color w:val="000000"/>
          <w:sz w:val="20"/>
          <w:szCs w:val="20"/>
        </w:rPr>
        <w:t>Dan / SIFT: revise these task approaches (SIFT-authored draft).</w:t>
      </w:r>
    </w:p>
  </w:comment>
  <w:comment w:id="1" w:author="Shahin Mohammadi" w:date="2026-06-22T05:23:04Z" w:initials="SM">
    <w:p w14:paraId="695D60D8" w14:textId="77777777">
      <w:r>
        <w:rPr>
          <w:rStyle w:val="CommentReference"/>
        </w:rPr>
        <w:annotationRef/>
      </w:r>
      <w:r>
        <w:rPr>
          <w:color w:val="000000"/>
          <w:sz w:val="20"/>
          <w:szCs w:val="20"/>
        </w:rPr>
        <w:t>Matt: confirm experimental feasibility, equipment, and line counts.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5F85B" w15:done="0"/>
  <w15:commentEx w15:paraId="695D60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D677CDA" w16cex:dateUtc="2026-06-22T05:23:04Z"/>
  <w16cex:commentExtensible w16cex:durableId="513AFC7E" w16cex:dateUtc="2026-06-22T05:23:0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5F85B" w16cid:durableId="5D677CDA"/>
  <w16cid:commentId w16cid:paraId="695D60D8" w16cid:durableId="513AFC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AE5D0" w14:textId="77777777" w:rsidR="00DD75EB" w:rsidRDefault="00DD75EB">
      <w:r>
        <w:separator/>
      </w:r>
    </w:p>
  </w:endnote>
  <w:endnote w:type="continuationSeparator" w:id="0">
    <w:p w14:paraId="7B01F2BE" w14:textId="77777777" w:rsidR="00DD75EB" w:rsidRDefault="00DD75EB">
      <w:r>
        <w:continuationSeparator/>
      </w:r>
    </w:p>
  </w:endnote>
  <w:endnote w:type="continuationNotice" w:id="1">
    <w:p w14:paraId="351F24DE" w14:textId="77777777" w:rsidR="00DD75EB" w:rsidRDefault="00DD75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Light">
    <w:altName w:val="Calibri"/>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508014"/>
      <w:docPartObj>
        <w:docPartGallery w:val="Page Numbers (Bottom of Page)"/>
        <w:docPartUnique/>
      </w:docPartObj>
    </w:sdtPr>
    <w:sdtEndPr>
      <w:rPr>
        <w:rFonts w:ascii="Avenir Next LT Pro" w:hAnsi="Avenir Next LT Pro"/>
        <w:noProof/>
      </w:rPr>
    </w:sdtEndPr>
    <w:sdtContent>
      <w:p w14:paraId="74AEC2FC" w14:textId="45AA6436" w:rsidR="004A2780" w:rsidRPr="004A2780" w:rsidRDefault="004A2780">
        <w:pPr>
          <w:pStyle w:val="Footer"/>
          <w:jc w:val="right"/>
          <w:rPr>
            <w:rFonts w:ascii="Avenir Next LT Pro" w:hAnsi="Avenir Next LT Pro"/>
          </w:rPr>
        </w:pPr>
        <w:r w:rsidRPr="004A2780">
          <w:rPr>
            <w:rFonts w:ascii="Avenir Next LT Pro" w:hAnsi="Avenir Next LT Pro"/>
          </w:rPr>
          <w:fldChar w:fldCharType="begin"/>
        </w:r>
        <w:r w:rsidRPr="004A2780">
          <w:rPr>
            <w:rFonts w:ascii="Avenir Next LT Pro" w:hAnsi="Avenir Next LT Pro"/>
          </w:rPr>
          <w:instrText xml:space="preserve"> PAGE   \* MERGEFORMAT </w:instrText>
        </w:r>
        <w:r w:rsidRPr="004A2780">
          <w:rPr>
            <w:rFonts w:ascii="Avenir Next LT Pro" w:hAnsi="Avenir Next LT Pro"/>
          </w:rPr>
          <w:fldChar w:fldCharType="separate"/>
        </w:r>
        <w:r w:rsidRPr="004A2780">
          <w:rPr>
            <w:rFonts w:ascii="Avenir Next LT Pro" w:hAnsi="Avenir Next LT Pro"/>
            <w:noProof/>
          </w:rPr>
          <w:t>2</w:t>
        </w:r>
        <w:r w:rsidRPr="004A2780">
          <w:rPr>
            <w:rFonts w:ascii="Avenir Next LT Pro" w:hAnsi="Avenir Next LT Pro"/>
            <w:noProof/>
          </w:rPr>
          <w:fldChar w:fldCharType="end"/>
        </w:r>
      </w:p>
    </w:sdtContent>
  </w:sdt>
  <w:p w14:paraId="784D1A2A" w14:textId="77777777" w:rsidR="00C75694" w:rsidRDefault="00C75694">
    <w:pPr>
      <w:pStyle w:val="BodyText"/>
      <w:spacing w:line="14" w:lineRule="auto"/>
      <w:ind w:right="15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4521" w14:textId="77777777" w:rsidR="00DD75EB" w:rsidRDefault="00DD75EB">
      <w:r>
        <w:separator/>
      </w:r>
    </w:p>
  </w:footnote>
  <w:footnote w:type="continuationSeparator" w:id="0">
    <w:p w14:paraId="43EAD048" w14:textId="77777777" w:rsidR="00DD75EB" w:rsidRDefault="00DD75EB">
      <w:r>
        <w:continuationSeparator/>
      </w:r>
    </w:p>
  </w:footnote>
  <w:footnote w:type="continuationNotice" w:id="1">
    <w:p w14:paraId="5677F1D2" w14:textId="77777777" w:rsidR="00DD75EB" w:rsidRDefault="00DD75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A662" w14:textId="5FECEC56" w:rsidR="009043E7" w:rsidRPr="009043E7" w:rsidRDefault="20ED63CF" w:rsidP="009043E7">
    <w:pPr>
      <w:jc w:val="right"/>
      <w:rPr>
        <w:rFonts w:ascii="Avenir Next LT Pro" w:hAnsi="Avenir Next LT Pro"/>
        <w:sz w:val="20"/>
        <w:szCs w:val="20"/>
      </w:rPr>
    </w:pPr>
    <w:r w:rsidRPr="20ED63CF">
      <w:rPr>
        <w:rFonts w:ascii="Avenir Next LT Pro" w:hAnsi="Avenir Next LT Pro"/>
      </w:rPr>
      <w:t>APPENDIX C.2: TASK DESCRIPTION DOCUMENT</w:t>
    </w:r>
  </w:p>
  <w:p w14:paraId="22BEA99D" w14:textId="438B1E81" w:rsidR="00371406" w:rsidRPr="009043E7" w:rsidRDefault="00371406" w:rsidP="00904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55532"/>
    <w:multiLevelType w:val="hybridMultilevel"/>
    <w:tmpl w:val="A0568CA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232" w:hanging="360"/>
      </w:pPr>
      <w:rPr>
        <w:rFonts w:ascii="Symbol" w:hAnsi="Symbol" w:hint="default"/>
      </w:rPr>
    </w:lvl>
    <w:lvl w:ilvl="2" w:tplc="04090005">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5EA82B8A"/>
    <w:multiLevelType w:val="hybridMultilevel"/>
    <w:tmpl w:val="9ED49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2F093E"/>
    <w:multiLevelType w:val="hybridMultilevel"/>
    <w:tmpl w:val="4EDE2904"/>
    <w:lvl w:ilvl="0" w:tplc="D7C88ED2">
      <w:start w:val="1"/>
      <w:numFmt w:val="decimal"/>
      <w:lvlText w:val="%1."/>
      <w:lvlJc w:val="left"/>
      <w:pPr>
        <w:ind w:left="720" w:hanging="360"/>
      </w:pPr>
      <w:rPr>
        <w:rFonts w:ascii="Avenir Next LT Pro Light" w:hAnsi="Avenir Next LT Pro Light" w:hint="default"/>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663900">
    <w:abstractNumId w:val="0"/>
  </w:num>
  <w:num w:numId="2" w16cid:durableId="1179463414">
    <w:abstractNumId w:val="2"/>
  </w:num>
  <w:num w:numId="3" w16cid:durableId="17303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C6B"/>
    <w:rsid w:val="00002C1D"/>
    <w:rsid w:val="00010B91"/>
    <w:rsid w:val="00024E59"/>
    <w:rsid w:val="000427D1"/>
    <w:rsid w:val="00045C46"/>
    <w:rsid w:val="00047A37"/>
    <w:rsid w:val="0005797B"/>
    <w:rsid w:val="00063275"/>
    <w:rsid w:val="00071545"/>
    <w:rsid w:val="000754C4"/>
    <w:rsid w:val="00080B05"/>
    <w:rsid w:val="00081B99"/>
    <w:rsid w:val="000956B4"/>
    <w:rsid w:val="000A4CD1"/>
    <w:rsid w:val="000C243D"/>
    <w:rsid w:val="000C4268"/>
    <w:rsid w:val="000C4A88"/>
    <w:rsid w:val="000C5ABB"/>
    <w:rsid w:val="000C5D63"/>
    <w:rsid w:val="000C67BB"/>
    <w:rsid w:val="000D1514"/>
    <w:rsid w:val="000E6238"/>
    <w:rsid w:val="000F2B6D"/>
    <w:rsid w:val="000F3F08"/>
    <w:rsid w:val="000F43D6"/>
    <w:rsid w:val="000F4EB2"/>
    <w:rsid w:val="00100F4C"/>
    <w:rsid w:val="001011AE"/>
    <w:rsid w:val="00145AD7"/>
    <w:rsid w:val="00152695"/>
    <w:rsid w:val="00162A24"/>
    <w:rsid w:val="001657A8"/>
    <w:rsid w:val="00166B0B"/>
    <w:rsid w:val="001833FF"/>
    <w:rsid w:val="001866E8"/>
    <w:rsid w:val="001952F2"/>
    <w:rsid w:val="001977BE"/>
    <w:rsid w:val="001A276C"/>
    <w:rsid w:val="001B037A"/>
    <w:rsid w:val="001B659E"/>
    <w:rsid w:val="001B7A8A"/>
    <w:rsid w:val="001C354D"/>
    <w:rsid w:val="001C4157"/>
    <w:rsid w:val="001D2F1F"/>
    <w:rsid w:val="001F4B9B"/>
    <w:rsid w:val="001F61F7"/>
    <w:rsid w:val="00200139"/>
    <w:rsid w:val="0020518E"/>
    <w:rsid w:val="00212F26"/>
    <w:rsid w:val="002169A9"/>
    <w:rsid w:val="00217B04"/>
    <w:rsid w:val="00217CC5"/>
    <w:rsid w:val="00223A29"/>
    <w:rsid w:val="0022486D"/>
    <w:rsid w:val="00234E61"/>
    <w:rsid w:val="0023651F"/>
    <w:rsid w:val="00241103"/>
    <w:rsid w:val="00256253"/>
    <w:rsid w:val="00257657"/>
    <w:rsid w:val="00260056"/>
    <w:rsid w:val="002602A6"/>
    <w:rsid w:val="0026448F"/>
    <w:rsid w:val="00270A2B"/>
    <w:rsid w:val="00271DE6"/>
    <w:rsid w:val="00276A68"/>
    <w:rsid w:val="00291A9B"/>
    <w:rsid w:val="00293441"/>
    <w:rsid w:val="002B3354"/>
    <w:rsid w:val="002C10B3"/>
    <w:rsid w:val="002C3175"/>
    <w:rsid w:val="002C5C6B"/>
    <w:rsid w:val="002D2F44"/>
    <w:rsid w:val="002F3E4C"/>
    <w:rsid w:val="003149F4"/>
    <w:rsid w:val="00324286"/>
    <w:rsid w:val="00331756"/>
    <w:rsid w:val="00333049"/>
    <w:rsid w:val="003334A2"/>
    <w:rsid w:val="003357C8"/>
    <w:rsid w:val="00353123"/>
    <w:rsid w:val="00353CB1"/>
    <w:rsid w:val="0036029A"/>
    <w:rsid w:val="00366E25"/>
    <w:rsid w:val="00371406"/>
    <w:rsid w:val="0038227C"/>
    <w:rsid w:val="00385099"/>
    <w:rsid w:val="0039219F"/>
    <w:rsid w:val="003937C6"/>
    <w:rsid w:val="003A4487"/>
    <w:rsid w:val="003B5CF1"/>
    <w:rsid w:val="003C2C1A"/>
    <w:rsid w:val="003C7D3B"/>
    <w:rsid w:val="003D57BB"/>
    <w:rsid w:val="003F1FDE"/>
    <w:rsid w:val="003F70AD"/>
    <w:rsid w:val="0040065E"/>
    <w:rsid w:val="00401BD1"/>
    <w:rsid w:val="0040597C"/>
    <w:rsid w:val="00405B13"/>
    <w:rsid w:val="0041603C"/>
    <w:rsid w:val="0043611A"/>
    <w:rsid w:val="00452F60"/>
    <w:rsid w:val="0046254B"/>
    <w:rsid w:val="00467445"/>
    <w:rsid w:val="004979BE"/>
    <w:rsid w:val="004A2780"/>
    <w:rsid w:val="004A3FA5"/>
    <w:rsid w:val="004A7202"/>
    <w:rsid w:val="004C0AFD"/>
    <w:rsid w:val="004D38F2"/>
    <w:rsid w:val="004D501C"/>
    <w:rsid w:val="004D5368"/>
    <w:rsid w:val="004E08DC"/>
    <w:rsid w:val="004E46B9"/>
    <w:rsid w:val="004F1896"/>
    <w:rsid w:val="004F51B6"/>
    <w:rsid w:val="0050508E"/>
    <w:rsid w:val="00515016"/>
    <w:rsid w:val="00523912"/>
    <w:rsid w:val="00526D5F"/>
    <w:rsid w:val="00535783"/>
    <w:rsid w:val="00541820"/>
    <w:rsid w:val="00542E1A"/>
    <w:rsid w:val="00544C54"/>
    <w:rsid w:val="005714BE"/>
    <w:rsid w:val="00577284"/>
    <w:rsid w:val="00593B2D"/>
    <w:rsid w:val="005A2090"/>
    <w:rsid w:val="005A4484"/>
    <w:rsid w:val="005A4FB4"/>
    <w:rsid w:val="005A618A"/>
    <w:rsid w:val="005A7402"/>
    <w:rsid w:val="005B2CC5"/>
    <w:rsid w:val="005B32CF"/>
    <w:rsid w:val="005B381F"/>
    <w:rsid w:val="005B3C35"/>
    <w:rsid w:val="005D4232"/>
    <w:rsid w:val="005D7F20"/>
    <w:rsid w:val="005F7DDC"/>
    <w:rsid w:val="00626158"/>
    <w:rsid w:val="006515A8"/>
    <w:rsid w:val="006520EE"/>
    <w:rsid w:val="00660FF4"/>
    <w:rsid w:val="006810FB"/>
    <w:rsid w:val="00687E62"/>
    <w:rsid w:val="00692291"/>
    <w:rsid w:val="006A00FF"/>
    <w:rsid w:val="006A6B7D"/>
    <w:rsid w:val="006D3217"/>
    <w:rsid w:val="006D6D42"/>
    <w:rsid w:val="006E7086"/>
    <w:rsid w:val="00712C29"/>
    <w:rsid w:val="00732D2F"/>
    <w:rsid w:val="00733D4F"/>
    <w:rsid w:val="007369EC"/>
    <w:rsid w:val="007439BB"/>
    <w:rsid w:val="00750030"/>
    <w:rsid w:val="007508EB"/>
    <w:rsid w:val="00752294"/>
    <w:rsid w:val="00757F98"/>
    <w:rsid w:val="00771988"/>
    <w:rsid w:val="0078658D"/>
    <w:rsid w:val="007869B4"/>
    <w:rsid w:val="007B27E2"/>
    <w:rsid w:val="007C2C73"/>
    <w:rsid w:val="007C4B9D"/>
    <w:rsid w:val="007D0588"/>
    <w:rsid w:val="007F4789"/>
    <w:rsid w:val="007F5325"/>
    <w:rsid w:val="00807D93"/>
    <w:rsid w:val="00817F70"/>
    <w:rsid w:val="008329B2"/>
    <w:rsid w:val="0083618C"/>
    <w:rsid w:val="00854890"/>
    <w:rsid w:val="008566B8"/>
    <w:rsid w:val="00860DF5"/>
    <w:rsid w:val="008677A8"/>
    <w:rsid w:val="00870120"/>
    <w:rsid w:val="008702DB"/>
    <w:rsid w:val="00871838"/>
    <w:rsid w:val="0087362B"/>
    <w:rsid w:val="00885127"/>
    <w:rsid w:val="00886354"/>
    <w:rsid w:val="00887563"/>
    <w:rsid w:val="008A4037"/>
    <w:rsid w:val="008A4535"/>
    <w:rsid w:val="008B0608"/>
    <w:rsid w:val="008B79EF"/>
    <w:rsid w:val="008C0B4A"/>
    <w:rsid w:val="008C166F"/>
    <w:rsid w:val="008C69A0"/>
    <w:rsid w:val="008D5B4F"/>
    <w:rsid w:val="008E029E"/>
    <w:rsid w:val="008E062F"/>
    <w:rsid w:val="008E0D96"/>
    <w:rsid w:val="008F0617"/>
    <w:rsid w:val="008F1577"/>
    <w:rsid w:val="009025A0"/>
    <w:rsid w:val="009043E7"/>
    <w:rsid w:val="00912D53"/>
    <w:rsid w:val="00927D11"/>
    <w:rsid w:val="00974378"/>
    <w:rsid w:val="0097605D"/>
    <w:rsid w:val="009854D5"/>
    <w:rsid w:val="00994176"/>
    <w:rsid w:val="0099760C"/>
    <w:rsid w:val="009A1898"/>
    <w:rsid w:val="009A2AB6"/>
    <w:rsid w:val="009B53C2"/>
    <w:rsid w:val="009D1AB8"/>
    <w:rsid w:val="009D2843"/>
    <w:rsid w:val="00A06CC3"/>
    <w:rsid w:val="00A2138C"/>
    <w:rsid w:val="00A3046D"/>
    <w:rsid w:val="00A35471"/>
    <w:rsid w:val="00A4286B"/>
    <w:rsid w:val="00A4602F"/>
    <w:rsid w:val="00A5306A"/>
    <w:rsid w:val="00A5635F"/>
    <w:rsid w:val="00A61790"/>
    <w:rsid w:val="00A626F3"/>
    <w:rsid w:val="00A64171"/>
    <w:rsid w:val="00A769B6"/>
    <w:rsid w:val="00A77C03"/>
    <w:rsid w:val="00A90B41"/>
    <w:rsid w:val="00A965CA"/>
    <w:rsid w:val="00AA1BC8"/>
    <w:rsid w:val="00AA77E1"/>
    <w:rsid w:val="00AB0936"/>
    <w:rsid w:val="00AB0F50"/>
    <w:rsid w:val="00AB3B27"/>
    <w:rsid w:val="00AB4107"/>
    <w:rsid w:val="00AB7C53"/>
    <w:rsid w:val="00AC7868"/>
    <w:rsid w:val="00AD2230"/>
    <w:rsid w:val="00AD2824"/>
    <w:rsid w:val="00AE0DC6"/>
    <w:rsid w:val="00AE74F0"/>
    <w:rsid w:val="00B03CB1"/>
    <w:rsid w:val="00B06CC1"/>
    <w:rsid w:val="00B1146F"/>
    <w:rsid w:val="00B11580"/>
    <w:rsid w:val="00B12EB1"/>
    <w:rsid w:val="00B251FB"/>
    <w:rsid w:val="00B31CD5"/>
    <w:rsid w:val="00B403CD"/>
    <w:rsid w:val="00B43672"/>
    <w:rsid w:val="00B46ED8"/>
    <w:rsid w:val="00B5327D"/>
    <w:rsid w:val="00B54D3A"/>
    <w:rsid w:val="00B56516"/>
    <w:rsid w:val="00B6626C"/>
    <w:rsid w:val="00B7068E"/>
    <w:rsid w:val="00B70E0D"/>
    <w:rsid w:val="00B87C89"/>
    <w:rsid w:val="00BA11B2"/>
    <w:rsid w:val="00BA7BAE"/>
    <w:rsid w:val="00BC0C09"/>
    <w:rsid w:val="00BD0DD9"/>
    <w:rsid w:val="00BF004F"/>
    <w:rsid w:val="00BF7011"/>
    <w:rsid w:val="00C131AB"/>
    <w:rsid w:val="00C2175C"/>
    <w:rsid w:val="00C23E9D"/>
    <w:rsid w:val="00C27E34"/>
    <w:rsid w:val="00C3111A"/>
    <w:rsid w:val="00C35954"/>
    <w:rsid w:val="00C43576"/>
    <w:rsid w:val="00C50DC4"/>
    <w:rsid w:val="00C51182"/>
    <w:rsid w:val="00C6173B"/>
    <w:rsid w:val="00C709AD"/>
    <w:rsid w:val="00C75694"/>
    <w:rsid w:val="00C870E4"/>
    <w:rsid w:val="00CA1292"/>
    <w:rsid w:val="00CB1E4B"/>
    <w:rsid w:val="00CB4B86"/>
    <w:rsid w:val="00CB63D7"/>
    <w:rsid w:val="00CB687E"/>
    <w:rsid w:val="00CD2BD7"/>
    <w:rsid w:val="00CD743E"/>
    <w:rsid w:val="00CF51F1"/>
    <w:rsid w:val="00D06817"/>
    <w:rsid w:val="00D06B9E"/>
    <w:rsid w:val="00D13B67"/>
    <w:rsid w:val="00D216E6"/>
    <w:rsid w:val="00D26625"/>
    <w:rsid w:val="00D44397"/>
    <w:rsid w:val="00D463F2"/>
    <w:rsid w:val="00D54E9D"/>
    <w:rsid w:val="00D62E1F"/>
    <w:rsid w:val="00D64E43"/>
    <w:rsid w:val="00D66AD9"/>
    <w:rsid w:val="00D710F0"/>
    <w:rsid w:val="00D77389"/>
    <w:rsid w:val="00D82510"/>
    <w:rsid w:val="00D849EF"/>
    <w:rsid w:val="00DA0F42"/>
    <w:rsid w:val="00DB167A"/>
    <w:rsid w:val="00DB690B"/>
    <w:rsid w:val="00DB7AB0"/>
    <w:rsid w:val="00DC06BD"/>
    <w:rsid w:val="00DC09D4"/>
    <w:rsid w:val="00DC2679"/>
    <w:rsid w:val="00DC33AC"/>
    <w:rsid w:val="00DD59DA"/>
    <w:rsid w:val="00DD7070"/>
    <w:rsid w:val="00DD75EB"/>
    <w:rsid w:val="00DD76A5"/>
    <w:rsid w:val="00DE29F4"/>
    <w:rsid w:val="00DE4FA6"/>
    <w:rsid w:val="00DF54D1"/>
    <w:rsid w:val="00E02D0D"/>
    <w:rsid w:val="00E26C14"/>
    <w:rsid w:val="00E33557"/>
    <w:rsid w:val="00E64AFB"/>
    <w:rsid w:val="00E655E3"/>
    <w:rsid w:val="00E71104"/>
    <w:rsid w:val="00E73150"/>
    <w:rsid w:val="00E747F4"/>
    <w:rsid w:val="00E830EF"/>
    <w:rsid w:val="00E87180"/>
    <w:rsid w:val="00E97E7F"/>
    <w:rsid w:val="00EA1372"/>
    <w:rsid w:val="00EA2AA3"/>
    <w:rsid w:val="00EB597C"/>
    <w:rsid w:val="00EC02BE"/>
    <w:rsid w:val="00ED090A"/>
    <w:rsid w:val="00ED5992"/>
    <w:rsid w:val="00ED5D99"/>
    <w:rsid w:val="00EF6ADB"/>
    <w:rsid w:val="00F300B8"/>
    <w:rsid w:val="00F4165D"/>
    <w:rsid w:val="00F41928"/>
    <w:rsid w:val="00F4323F"/>
    <w:rsid w:val="00F51652"/>
    <w:rsid w:val="00F51F1B"/>
    <w:rsid w:val="00F556FD"/>
    <w:rsid w:val="00F6282A"/>
    <w:rsid w:val="00F67E0F"/>
    <w:rsid w:val="00F72101"/>
    <w:rsid w:val="00F73BD1"/>
    <w:rsid w:val="00F81DD8"/>
    <w:rsid w:val="00F822E4"/>
    <w:rsid w:val="00F85120"/>
    <w:rsid w:val="00F85453"/>
    <w:rsid w:val="00F86B7F"/>
    <w:rsid w:val="00F8736E"/>
    <w:rsid w:val="00F87637"/>
    <w:rsid w:val="00F9462F"/>
    <w:rsid w:val="00FA3E3D"/>
    <w:rsid w:val="00FC19B8"/>
    <w:rsid w:val="00FC3F2C"/>
    <w:rsid w:val="00FD44ED"/>
    <w:rsid w:val="00FE5DA3"/>
    <w:rsid w:val="0687D5AB"/>
    <w:rsid w:val="0E9110FF"/>
    <w:rsid w:val="17D55B72"/>
    <w:rsid w:val="1D69160F"/>
    <w:rsid w:val="20ED63CF"/>
    <w:rsid w:val="25D0745C"/>
    <w:rsid w:val="26575E9E"/>
    <w:rsid w:val="287118BE"/>
    <w:rsid w:val="2D430E0D"/>
    <w:rsid w:val="303C2936"/>
    <w:rsid w:val="37FFA7EB"/>
    <w:rsid w:val="413F055D"/>
    <w:rsid w:val="428B0D68"/>
    <w:rsid w:val="4426DDC9"/>
    <w:rsid w:val="44B20763"/>
    <w:rsid w:val="47194865"/>
    <w:rsid w:val="475E7E8B"/>
    <w:rsid w:val="4F12FA03"/>
    <w:rsid w:val="58C17066"/>
    <w:rsid w:val="5EC430DD"/>
    <w:rsid w:val="610A49C4"/>
    <w:rsid w:val="61907B75"/>
    <w:rsid w:val="65D53E2C"/>
    <w:rsid w:val="7A3C5069"/>
    <w:rsid w:val="7F71BE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EB62D"/>
  <w15:chartTrackingRefBased/>
  <w15:docId w15:val="{E35EF826-3628-4E9B-B346-C0544024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C5C6B"/>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C5C6B"/>
  </w:style>
  <w:style w:type="character" w:customStyle="1" w:styleId="BodyTextChar">
    <w:name w:val="Body Text Char"/>
    <w:basedOn w:val="DefaultParagraphFont"/>
    <w:link w:val="BodyText"/>
    <w:rsid w:val="002C5C6B"/>
    <w:rPr>
      <w:rFonts w:ascii="Times New Roman" w:eastAsia="Times New Roman" w:hAnsi="Times New Roman" w:cs="Times New Roman"/>
    </w:rPr>
  </w:style>
  <w:style w:type="paragraph" w:styleId="ListParagraph">
    <w:name w:val="List Paragraph"/>
    <w:basedOn w:val="Normal"/>
    <w:uiPriority w:val="1"/>
    <w:qFormat/>
    <w:rsid w:val="002C5C6B"/>
    <w:pPr>
      <w:ind w:left="120" w:firstLine="720"/>
    </w:pPr>
  </w:style>
  <w:style w:type="paragraph" w:styleId="Footer">
    <w:name w:val="footer"/>
    <w:basedOn w:val="Normal"/>
    <w:link w:val="FooterChar"/>
    <w:uiPriority w:val="99"/>
    <w:unhideWhenUsed/>
    <w:rsid w:val="002C5C6B"/>
    <w:pPr>
      <w:tabs>
        <w:tab w:val="center" w:pos="4680"/>
        <w:tab w:val="right" w:pos="9360"/>
      </w:tabs>
    </w:pPr>
  </w:style>
  <w:style w:type="character" w:customStyle="1" w:styleId="FooterChar">
    <w:name w:val="Footer Char"/>
    <w:basedOn w:val="DefaultParagraphFont"/>
    <w:link w:val="Footer"/>
    <w:uiPriority w:val="99"/>
    <w:rsid w:val="002C5C6B"/>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C5C6B"/>
    <w:rPr>
      <w:sz w:val="16"/>
      <w:szCs w:val="16"/>
    </w:rPr>
  </w:style>
  <w:style w:type="paragraph" w:styleId="CommentText">
    <w:name w:val="annotation text"/>
    <w:basedOn w:val="Normal"/>
    <w:link w:val="CommentTextChar"/>
    <w:uiPriority w:val="99"/>
    <w:unhideWhenUsed/>
    <w:rsid w:val="002C5C6B"/>
    <w:rPr>
      <w:sz w:val="20"/>
      <w:szCs w:val="20"/>
    </w:rPr>
  </w:style>
  <w:style w:type="character" w:customStyle="1" w:styleId="CommentTextChar">
    <w:name w:val="Comment Text Char"/>
    <w:basedOn w:val="DefaultParagraphFont"/>
    <w:link w:val="CommentText"/>
    <w:uiPriority w:val="99"/>
    <w:rsid w:val="002C5C6B"/>
    <w:rPr>
      <w:rFonts w:ascii="Times New Roman" w:eastAsia="Times New Roman" w:hAnsi="Times New Roman" w:cs="Times New Roman"/>
      <w:sz w:val="20"/>
      <w:szCs w:val="20"/>
    </w:rPr>
  </w:style>
  <w:style w:type="character" w:styleId="IntenseReference">
    <w:name w:val="Intense Reference"/>
    <w:basedOn w:val="DefaultParagraphFont"/>
    <w:uiPriority w:val="32"/>
    <w:qFormat/>
    <w:rsid w:val="002C5C6B"/>
    <w:rPr>
      <w:b/>
      <w:bCs/>
      <w:smallCaps/>
      <w:color w:val="4472C4" w:themeColor="accent1"/>
      <w:spacing w:val="5"/>
    </w:rPr>
  </w:style>
  <w:style w:type="paragraph" w:styleId="Revision">
    <w:name w:val="Revision"/>
    <w:hidden/>
    <w:uiPriority w:val="99"/>
    <w:semiHidden/>
    <w:rsid w:val="00401BD1"/>
    <w:pPr>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401BD1"/>
    <w:pPr>
      <w:tabs>
        <w:tab w:val="center" w:pos="4680"/>
        <w:tab w:val="right" w:pos="9360"/>
      </w:tabs>
    </w:pPr>
  </w:style>
  <w:style w:type="character" w:customStyle="1" w:styleId="HeaderChar">
    <w:name w:val="Header Char"/>
    <w:basedOn w:val="DefaultParagraphFont"/>
    <w:link w:val="Header"/>
    <w:uiPriority w:val="99"/>
    <w:rsid w:val="00401BD1"/>
    <w:rPr>
      <w:rFonts w:ascii="Times New Roman" w:eastAsia="Times New Roman" w:hAnsi="Times New Roman" w:cs="Times New Roman"/>
    </w:rPr>
  </w:style>
  <w:style w:type="character" w:customStyle="1" w:styleId="normaltextrun">
    <w:name w:val="normaltextrun"/>
    <w:basedOn w:val="DefaultParagraphFont"/>
    <w:rsid w:val="00AE0DC6"/>
  </w:style>
  <w:style w:type="character" w:customStyle="1" w:styleId="eop">
    <w:name w:val="eop"/>
    <w:basedOn w:val="DefaultParagraphFont"/>
    <w:rsid w:val="00AE0DC6"/>
  </w:style>
  <w:style w:type="paragraph" w:styleId="CommentSubject">
    <w:name w:val="annotation subject"/>
    <w:basedOn w:val="CommentText"/>
    <w:next w:val="CommentText"/>
    <w:link w:val="CommentSubjectChar"/>
    <w:uiPriority w:val="99"/>
    <w:semiHidden/>
    <w:unhideWhenUsed/>
    <w:rsid w:val="006515A8"/>
    <w:rPr>
      <w:b/>
      <w:bCs/>
    </w:rPr>
  </w:style>
  <w:style w:type="character" w:customStyle="1" w:styleId="CommentSubjectChar">
    <w:name w:val="Comment Subject Char"/>
    <w:basedOn w:val="CommentTextChar"/>
    <w:link w:val="CommentSubject"/>
    <w:uiPriority w:val="99"/>
    <w:semiHidden/>
    <w:rsid w:val="006515A8"/>
    <w:rPr>
      <w:rFonts w:ascii="Times New Roman" w:eastAsia="Times New Roman" w:hAnsi="Times New Roman" w:cs="Times New Roman"/>
      <w:b/>
      <w:bCs/>
      <w:sz w:val="20"/>
      <w:szCs w:val="20"/>
    </w:rPr>
  </w:style>
  <w:style w:type="paragraph" w:customStyle="1" w:styleId="pf0">
    <w:name w:val="pf0"/>
    <w:basedOn w:val="Normal"/>
    <w:rsid w:val="0022486D"/>
    <w:pPr>
      <w:widowControl/>
      <w:autoSpaceDE/>
      <w:autoSpaceDN/>
      <w:spacing w:before="100" w:beforeAutospacing="1" w:after="100" w:afterAutospacing="1"/>
    </w:pPr>
    <w:rPr>
      <w:sz w:val="24"/>
      <w:szCs w:val="24"/>
    </w:rPr>
  </w:style>
  <w:style w:type="character" w:customStyle="1" w:styleId="cf01">
    <w:name w:val="cf01"/>
    <w:basedOn w:val="DefaultParagraphFont"/>
    <w:rsid w:val="0022486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F1F839-98DD-4ED1-BD98-07B881C6E1EE}">
  <ds:schemaRefs>
    <ds:schemaRef ds:uri="http://schemas.microsoft.com/sharepoint/v3/contenttype/forms"/>
  </ds:schemaRefs>
</ds:datastoreItem>
</file>

<file path=customXml/itemProps2.xml><?xml version="1.0" encoding="utf-8"?>
<ds:datastoreItem xmlns:ds="http://schemas.openxmlformats.org/officeDocument/2006/customXml" ds:itemID="{7B08CA34-BCB9-4726-B2BB-36B642E0C3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E422CF-E976-4C5A-9612-82FC95EB2A67}">
  <ds:schemaRefs>
    <ds:schemaRef ds:uri="http://schemas.microsoft.com/office/2006/metadata/properties"/>
    <ds:schemaRef ds:uri="http://schemas.microsoft.com/office/infopath/2007/PartnerControls"/>
    <ds:schemaRef ds:uri="9a96d420-221f-4e9d-95ed-cff15f2d7ad9"/>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Jennifer (ARPA-H)</dc:creator>
  <cp:keywords/>
  <dc:description/>
  <cp:lastModifiedBy>Adrea Robinson (ARPA-H)</cp:lastModifiedBy>
  <cp:revision>41</cp:revision>
  <dcterms:created xsi:type="dcterms:W3CDTF">2025-11-11T04:49:00Z</dcterms:created>
  <dcterms:modified xsi:type="dcterms:W3CDTF">2026-05-05T19:48:00Z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y fmtid="{D5CDD505-2E9C-101B-9397-08002B2CF9AE}" pid="4" name="docLang">
    <vt:lpwstr>en</vt:lpwstr>
  </property>
  <property fmtid="{D5CDD505-2E9C-101B-9397-08002B2CF9AE}" pid="5" name="Order">
    <vt:r8>919200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