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spacing w:before="0" w:after="120"/>
      </w:pPr>
      <w:r>
        <w:rPr>
          <w:b/>
        </w:rPr>
        <w:t>PsychIGoR — ARPA-H IGoR Appendix C.3 Price Proposal</w:t>
      </w:r>
    </w:p>
    <w:p>
      <w:pPr>
        <w:pStyle w:val="BodyText"/>
        <w:spacing w:before="0" w:after="120"/>
      </w:pPr>
      <w:r>
        <w:t>ARPA-H-SOL-26-155 | Proactive Health Office | Other Transaction | Submitted: 2026-08-06</w:t>
      </w:r>
    </w:p>
    <w:p>
      <w:pPr>
        <w:pStyle w:val="Normal"/>
      </w:pPr>
    </w:p>
    <w:tbl>
      <w:tblPr>
        <w:tblStyle w:val="TableGrid"/>
        <w:tblW w:w="9360" w:type="dxa"/>
        <w:tblBorders>
          <w:top w:val="single" w:sz="8" w:space="0" w:color="2E75B6"/>
          <w:left w:val="single" w:sz="8" w:space="0" w:color="2E75B6"/>
          <w:bottom w:val="single" w:sz="8" w:space="0" w:color="2E75B6"/>
          <w:right w:val="single" w:sz="8" w:space="0" w:color="2E75B6"/>
          <w:insideH w:val="single" w:sz="4" w:space="0" w:color="2E75B6"/>
          <w:insideV w:val="single" w:sz="4" w:space="0" w:color="2E75B6"/>
        </w:tblBorders>
      </w:tblPr>
      <w:tblGrid>
        <w:gridCol w:w="3000"/>
        <w:gridCol w:w="6360"/>
      </w:tblGrid>
      <w:tr>
        <w:tc>
          <w:tcPr>
            <w:tcW w:w="3000" w:type="dxa"/>
            <w:shd w:val="clear" w:color="auto" w:fill="D6E4F0"/>
          </w:tcPr>
          <w:p>
            <w:pPr>
              <w:pStyle w:val="Normal"/>
              <w:spacing w:before="60" w:after="60"/>
            </w:pPr>
            <w:r>
              <w:rPr>
                <w:b/>
              </w:rPr>
              <w:t>Proposal Title</w:t>
            </w:r>
          </w:p>
        </w:tc>
        <w:tc>
          <w:tcPr>
            <w:tcW w:w="6360" w:type="dxa"/>
          </w:tcPr>
          <w:p>
            <w:pPr>
              <w:pStyle w:val="Normal"/>
              <w:spacing w:before="60" w:after="60"/>
            </w:pPr>
            <w:r>
              <w:t>A Closed-Loop, Mechanistically Grounded Research Engine for Complex Neuropsychiatric Disease: Schizophrenia to Bipolar Disorder</w:t>
            </w:r>
          </w:p>
        </w:tc>
      </w:tr>
      <w:tr>
        <w:tc>
          <w:tcPr>
            <w:tcW w:w="3000" w:type="dxa"/>
            <w:shd w:val="clear" w:color="auto" w:fill="D6E4F0"/>
          </w:tcPr>
          <w:p>
            <w:pPr>
              <w:pStyle w:val="Normal"/>
              <w:spacing w:before="60" w:after="60"/>
            </w:pPr>
            <w:r>
              <w:rPr>
                <w:b/>
              </w:rPr>
              <w:t>Prime Organization</w:t>
            </w:r>
          </w:p>
        </w:tc>
        <w:tc>
          <w:tcPr>
            <w:tcW w:w="6360" w:type="dxa"/>
          </w:tcPr>
          <w:p>
            <w:pPr>
              <w:pStyle w:val="Normal"/>
              <w:spacing w:before="60" w:after="60"/>
            </w:pPr>
            <w:r>
              <w:t>Institute for Physical AI (IPAI), Purdue University</w:t>
            </w:r>
          </w:p>
        </w:tc>
      </w:tr>
      <w:tr>
        <w:tc>
          <w:tcPr>
            <w:tcW w:w="3000" w:type="dxa"/>
            <w:shd w:val="clear" w:color="auto" w:fill="D6E4F0"/>
          </w:tcPr>
          <w:p>
            <w:pPr>
              <w:pStyle w:val="Normal"/>
              <w:spacing w:before="60" w:after="60"/>
            </w:pPr>
            <w:r>
              <w:rPr>
                <w:b/>
              </w:rPr>
              <w:t>SAM.gov UEI</w:t>
            </w:r>
          </w:p>
        </w:tc>
        <w:tc>
          <w:tcPr>
            <w:tcW w:w="6360" w:type="dxa"/>
          </w:tcPr>
          <w:p>
            <w:pPr>
              <w:pStyle w:val="Normal"/>
              <w:spacing w:before="60" w:after="60"/>
            </w:pPr>
            <w:r>
              <w:t>Purdue University [to confirm before submission]</w:t>
            </w:r>
          </w:p>
        </w:tc>
      </w:tr>
      <w:tr>
        <w:tc>
          <w:tcPr>
            <w:tcW w:w="3000" w:type="dxa"/>
            <w:shd w:val="clear" w:color="auto" w:fill="D6E4F0"/>
          </w:tcPr>
          <w:p>
            <w:pPr>
              <w:pStyle w:val="Normal"/>
              <w:spacing w:before="60" w:after="60"/>
            </w:pPr>
            <w:r>
              <w:rPr>
                <w:b/>
              </w:rPr>
              <w:t>Proposer's Internal Reference</w:t>
            </w:r>
          </w:p>
        </w:tc>
        <w:tc>
          <w:tcPr>
            <w:tcW w:w="6360" w:type="dxa"/>
          </w:tcPr>
          <w:p>
            <w:pPr>
              <w:pStyle w:val="Normal"/>
              <w:spacing w:before="60" w:after="60"/>
            </w:pPr>
            <w:r>
              <w:t>PsychIGoR-IGoR-2026</w:t>
            </w:r>
          </w:p>
        </w:tc>
      </w:tr>
      <w:tr>
        <w:tc>
          <w:tcPr>
            <w:tcW w:w="3000" w:type="dxa"/>
            <w:shd w:val="clear" w:color="auto" w:fill="D6E4F0"/>
          </w:tcPr>
          <w:p>
            <w:pPr>
              <w:pStyle w:val="Normal"/>
              <w:spacing w:before="60" w:after="60"/>
            </w:pPr>
            <w:r>
              <w:rPr>
                <w:b/>
              </w:rPr>
              <w:t>Total price (inclusive of all phases and in-kind)</w:t>
            </w:r>
          </w:p>
        </w:tc>
        <w:tc>
          <w:tcPr>
            <w:tcW w:w="6360" w:type="dxa"/>
          </w:tcPr>
          <w:p>
            <w:pPr>
              <w:pStyle w:val="Normal"/>
              <w:spacing w:before="60" w:after="60"/>
            </w:pPr>
            <w:r>
              <w:t>~$45,200,000 | Phase I: ~$11,500,000 | Phase II: ~$13,100,000 | Phase III: ~$18,400,000</w:t>
            </w:r>
          </w:p>
        </w:tc>
      </w:tr>
      <w:tr>
        <w:tc>
          <w:tcPr>
            <w:tcW w:w="3000" w:type="dxa"/>
            <w:shd w:val="clear" w:color="auto" w:fill="D6E4F0"/>
          </w:tcPr>
          <w:p>
            <w:pPr>
              <w:pStyle w:val="Normal"/>
              <w:spacing w:before="60" w:after="60"/>
            </w:pPr>
            <w:r>
              <w:rPr>
                <w:b/>
              </w:rPr>
              <w:t>Total ARPA-H request (excluding in-kind)</w:t>
            </w:r>
          </w:p>
        </w:tc>
        <w:tc>
          <w:tcPr>
            <w:tcW w:w="6360" w:type="dxa"/>
          </w:tcPr>
          <w:p>
            <w:pPr>
              <w:pStyle w:val="Normal"/>
              <w:spacing w:before="60" w:after="60"/>
            </w:pPr>
            <w:r>
              <w:t>~$42,900,000</w:t>
            </w:r>
          </w:p>
        </w:tc>
      </w:tr>
      <w:tr>
        <w:tc>
          <w:tcPr>
            <w:tcW w:w="3000" w:type="dxa"/>
            <w:shd w:val="clear" w:color="auto" w:fill="D6E4F0"/>
          </w:tcPr>
          <w:p>
            <w:pPr>
              <w:pStyle w:val="Normal"/>
              <w:spacing w:before="60" w:after="60"/>
            </w:pPr>
            <w:r>
              <w:rPr>
                <w:b/>
              </w:rPr>
              <w:t>Resource Sharing</w:t>
            </w:r>
          </w:p>
        </w:tc>
        <w:tc>
          <w:tcPr>
            <w:tcW w:w="6360" w:type="dxa"/>
          </w:tcPr>
          <w:p>
            <w:pPr>
              <w:pStyle w:val="Normal"/>
              <w:spacing w:before="60" w:after="60"/>
            </w:pPr>
            <w:r>
              <w:t>Gov't: ~94.9% / ~$42,900,000  |  Performer (in-kind): ~5.1% / ~$2,300,000</w:t>
            </w:r>
          </w:p>
        </w:tc>
      </w:tr>
    </w:tbl>
    <w:p>
      <w:pPr>
        <w:pStyle w:val="Normal"/>
      </w:pPr>
    </w:p>
    <w:p>
      <w:pPr>
        <w:pStyle w:val="Normal"/>
        <w:spacing w:before="0" w:after="120"/>
      </w:pPr>
      <w:r>
        <w:t>Phase arithmetic: ~$11.5M + ~$13.1M + ~$18.4M = ~$42.9M (ARPA-H request). Government (~$42.9M) + Performer in-kind (~$2.3M) = ~$45.2M total project value.</w:t>
      </w:r>
    </w:p>
    <w:p>
      <w:pPr>
        <w:pStyle w:val="Normal"/>
      </w:pPr>
    </w:p>
    <w:p>
      <w:pPr>
        <w:pStyle w:val="BodyText"/>
        <w:spacing w:before="160" w:after="80"/>
      </w:pPr>
      <w:r>
        <w:rPr>
          <w:b/>
          <w:sz w:val="22"/>
        </w:rPr>
        <w:t>Per-Organization, Per-Phase Price Table (Cost Model Table 1-A)</w:t>
      </w:r>
    </w:p>
    <w:p>
      <w:pPr>
        <w:pStyle w:val="Normal"/>
      </w:pPr>
      <w:commentRangeStart w:id="0"/>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000"/>
        <w:gridCol w:w="3260"/>
        <w:gridCol w:w="1000"/>
        <w:gridCol w:w="1000"/>
        <w:gridCol w:w="1000"/>
        <w:gridCol w:w="1100"/>
      </w:tblGrid>
      <w:tr>
        <w:trPr>
          <w:tblHeader/>
        </w:trPr>
        <w:tc>
          <w:tcPr>
            <w:tcW w:w="2000" w:type="dxa"/>
            <w:shd w:val="clear" w:color="auto" w:fill="D6E4F0"/>
          </w:tcPr>
          <w:p>
            <w:pPr>
              <w:pStyle w:val="Normal"/>
              <w:spacing w:before="40" w:after="40"/>
            </w:pPr>
            <w:r>
              <w:rPr>
                <w:b/>
                <w:sz w:val="18"/>
                <w:szCs w:val="18"/>
              </w:rPr>
              <w:t>Performer</w:t>
            </w:r>
          </w:p>
        </w:tc>
        <w:tc>
          <w:tcPr>
            <w:tcW w:w="3260" w:type="dxa"/>
            <w:shd w:val="clear" w:color="auto" w:fill="D6E4F0"/>
          </w:tcPr>
          <w:p>
            <w:pPr>
              <w:pStyle w:val="Normal"/>
              <w:spacing w:before="40" w:after="40"/>
            </w:pPr>
            <w:r>
              <w:rPr>
                <w:b/>
                <w:sz w:val="18"/>
                <w:szCs w:val="18"/>
              </w:rPr>
              <w:t>Role / TAs</w:t>
            </w:r>
          </w:p>
        </w:tc>
        <w:tc>
          <w:tcPr>
            <w:tcW w:w="1000" w:type="dxa"/>
            <w:shd w:val="clear" w:color="auto" w:fill="D6E4F0"/>
          </w:tcPr>
          <w:p>
            <w:pPr>
              <w:pStyle w:val="Normal"/>
              <w:spacing w:before="40" w:after="40"/>
            </w:pPr>
            <w:r>
              <w:rPr>
                <w:b/>
                <w:sz w:val="18"/>
                <w:szCs w:val="18"/>
              </w:rPr>
              <w:t>Phase I ($)</w:t>
            </w:r>
          </w:p>
        </w:tc>
        <w:tc>
          <w:tcPr>
            <w:tcW w:w="1000" w:type="dxa"/>
            <w:shd w:val="clear" w:color="auto" w:fill="D6E4F0"/>
          </w:tcPr>
          <w:p>
            <w:pPr>
              <w:pStyle w:val="Normal"/>
              <w:spacing w:before="40" w:after="40"/>
            </w:pPr>
            <w:r>
              <w:rPr>
                <w:b/>
                <w:sz w:val="18"/>
                <w:szCs w:val="18"/>
              </w:rPr>
              <w:t>Phase II ($)</w:t>
            </w:r>
          </w:p>
        </w:tc>
        <w:tc>
          <w:tcPr>
            <w:tcW w:w="1000" w:type="dxa"/>
            <w:shd w:val="clear" w:color="auto" w:fill="D6E4F0"/>
          </w:tcPr>
          <w:p>
            <w:pPr>
              <w:pStyle w:val="Normal"/>
              <w:spacing w:before="40" w:after="40"/>
            </w:pPr>
            <w:r>
              <w:rPr>
                <w:b/>
                <w:sz w:val="18"/>
                <w:szCs w:val="18"/>
              </w:rPr>
              <w:t>Phase III ($)</w:t>
            </w:r>
          </w:p>
        </w:tc>
        <w:tc>
          <w:tcPr>
            <w:tcW w:w="1100" w:type="dxa"/>
            <w:shd w:val="clear" w:color="auto" w:fill="D6E4F0"/>
          </w:tcPr>
          <w:p>
            <w:pPr>
              <w:pStyle w:val="Normal"/>
              <w:spacing w:before="40" w:after="40"/>
            </w:pPr>
            <w:r>
              <w:rPr>
                <w:b/>
                <w:sz w:val="18"/>
                <w:szCs w:val="18"/>
              </w:rPr>
              <w:t>5-yr Total ($)</w:t>
            </w:r>
          </w:p>
        </w:tc>
      </w:tr>
      <w:tr>
        <w:tc>
          <w:tcPr>
            <w:tcW w:w="2000" w:type="dxa"/>
          </w:tcPr>
          <w:p>
            <w:pPr>
              <w:pStyle w:val="Normal"/>
              <w:spacing w:before="40" w:after="40"/>
            </w:pPr>
            <w:r>
              <w:rPr>
                <w:sz w:val="18"/>
                <w:szCs w:val="18"/>
              </w:rPr>
              <w:t>Purdue/IPAI — computational (Prime)</w:t>
            </w:r>
          </w:p>
        </w:tc>
        <w:tc>
          <w:tcPr>
            <w:tcW w:w="3260" w:type="dxa"/>
          </w:tcPr>
          <w:p>
            <w:pPr>
              <w:pStyle w:val="Normal"/>
              <w:spacing w:before="40" w:after="40"/>
            </w:pPr>
            <w:r>
              <w:rPr>
                <w:sz w:val="18"/>
                <w:szCs w:val="18"/>
              </w:rPr>
              <w:t>PI (Grama); TA1/TA2 engine; Anne Carpenter (TA1 co-lead, computational morphology); PhD students; research engineers; disease-modeling postdoc; ~57% F&amp;A</w:t>
            </w:r>
          </w:p>
        </w:tc>
        <w:tc>
          <w:tcPr>
            <w:tcW w:w="1000" w:type="dxa"/>
          </w:tcPr>
          <w:p>
            <w:pPr>
              <w:pStyle w:val="Normal"/>
              <w:spacing w:before="40" w:after="40"/>
            </w:pPr>
            <w:r>
              <w:rPr>
                <w:sz w:val="18"/>
                <w:szCs w:val="18"/>
              </w:rPr>
              <w:t>1,800,000</w:t>
            </w:r>
          </w:p>
        </w:tc>
        <w:tc>
          <w:tcPr>
            <w:tcW w:w="1000" w:type="dxa"/>
          </w:tcPr>
          <w:p>
            <w:pPr>
              <w:pStyle w:val="Normal"/>
              <w:spacing w:before="40" w:after="40"/>
            </w:pPr>
            <w:r>
              <w:rPr>
                <w:sz w:val="18"/>
                <w:szCs w:val="18"/>
              </w:rPr>
              <w:t>2,000,000</w:t>
            </w:r>
          </w:p>
        </w:tc>
        <w:tc>
          <w:tcPr>
            <w:tcW w:w="1000" w:type="dxa"/>
          </w:tcPr>
          <w:p>
            <w:pPr>
              <w:pStyle w:val="Normal"/>
              <w:spacing w:before="40" w:after="40"/>
            </w:pPr>
            <w:r>
              <w:rPr>
                <w:sz w:val="18"/>
                <w:szCs w:val="18"/>
              </w:rPr>
              <w:t>2,700,000</w:t>
            </w:r>
          </w:p>
        </w:tc>
        <w:tc>
          <w:tcPr>
            <w:tcW w:w="1100" w:type="dxa"/>
          </w:tcPr>
          <w:p>
            <w:pPr>
              <w:pStyle w:val="Normal"/>
              <w:spacing w:before="40" w:after="40"/>
            </w:pPr>
            <w:r>
              <w:rPr>
                <w:sz w:val="18"/>
                <w:szCs w:val="18"/>
              </w:rPr>
              <w:t>6,500,000</w:t>
            </w:r>
          </w:p>
        </w:tc>
      </w:tr>
      <w:tr>
        <w:tc>
          <w:tcPr>
            <w:tcW w:w="2000" w:type="dxa"/>
          </w:tcPr>
          <w:p>
            <w:pPr>
              <w:pStyle w:val="Normal"/>
              <w:spacing w:before="40" w:after="40"/>
            </w:pPr>
            <w:r>
              <w:rPr>
                <w:sz w:val="18"/>
                <w:szCs w:val="18"/>
              </w:rPr>
              <w:t>Purdue — Tegtmeyer lab (TA4-academic)</w:t>
            </w:r>
          </w:p>
        </w:tc>
        <w:tc>
          <w:tcPr>
            <w:tcW w:w="3260" w:type="dxa"/>
          </w:tcPr>
          <w:p>
            <w:pPr>
              <w:pStyle w:val="Normal"/>
              <w:spacing w:before="40" w:after="40"/>
            </w:pPr>
            <w:r>
              <w:rPr>
                <w:sz w:val="18"/>
                <w:szCs w:val="18"/>
              </w:rPr>
              <w:t>iPSC-neuron wet-lab; multimodal readouts incl. single-cell calcium imaging; Matt also TA1 disease-modeling contributor; Ph I equipment ~$1.4M front-loaded</w:t>
            </w:r>
          </w:p>
        </w:tc>
        <w:tc>
          <w:tcPr>
            <w:tcW w:w="1000" w:type="dxa"/>
          </w:tcPr>
          <w:p>
            <w:pPr>
              <w:pStyle w:val="Normal"/>
              <w:spacing w:before="40" w:after="40"/>
            </w:pPr>
            <w:r>
              <w:rPr>
                <w:sz w:val="18"/>
                <w:szCs w:val="18"/>
              </w:rPr>
              <w:t>2,000,000</w:t>
            </w:r>
          </w:p>
        </w:tc>
        <w:tc>
          <w:tcPr>
            <w:tcW w:w="1000" w:type="dxa"/>
          </w:tcPr>
          <w:p>
            <w:pPr>
              <w:pStyle w:val="Normal"/>
              <w:spacing w:before="40" w:after="40"/>
            </w:pPr>
            <w:r>
              <w:rPr>
                <w:sz w:val="18"/>
                <w:szCs w:val="18"/>
              </w:rPr>
              <w:t>1,700,000</w:t>
            </w:r>
          </w:p>
        </w:tc>
        <w:tc>
          <w:tcPr>
            <w:tcW w:w="1000" w:type="dxa"/>
          </w:tcPr>
          <w:p>
            <w:pPr>
              <w:pStyle w:val="Normal"/>
              <w:spacing w:before="40" w:after="40"/>
            </w:pPr>
            <w:r>
              <w:rPr>
                <w:sz w:val="18"/>
                <w:szCs w:val="18"/>
              </w:rPr>
              <w:t>2,300,000</w:t>
            </w:r>
          </w:p>
        </w:tc>
        <w:tc>
          <w:tcPr>
            <w:tcW w:w="1100" w:type="dxa"/>
          </w:tcPr>
          <w:p>
            <w:pPr>
              <w:pStyle w:val="Normal"/>
              <w:spacing w:before="40" w:after="40"/>
            </w:pPr>
            <w:r>
              <w:rPr>
                <w:sz w:val="18"/>
                <w:szCs w:val="18"/>
              </w:rPr>
              <w:t>6,000,000</w:t>
            </w:r>
          </w:p>
        </w:tc>
      </w:tr>
      <w:tr>
        <w:tc>
          <w:tcPr>
            <w:tcW w:w="2000" w:type="dxa"/>
          </w:tcPr>
          <w:p>
            <w:pPr>
              <w:pStyle w:val="Normal"/>
              <w:spacing w:before="40" w:after="40"/>
            </w:pPr>
            <w:r>
              <w:rPr>
                <w:b/>
                <w:sz w:val="18"/>
                <w:szCs w:val="18"/>
              </w:rPr>
              <w:t>Purdue total (prime)</w:t>
            </w:r>
          </w:p>
        </w:tc>
        <w:tc>
          <w:tcPr>
            <w:tcW w:w="3260" w:type="dxa"/>
          </w:tcPr>
          <w:p>
            <w:pPr>
              <w:pStyle w:val="Normal"/>
              <w:spacing w:before="40" w:after="40"/>
            </w:pPr>
            <w:r>
              <w:rPr>
                <w:sz w:val="18"/>
                <w:szCs w:val="18"/>
              </w:rPr>
              <w:t/>
            </w:r>
          </w:p>
        </w:tc>
        <w:tc>
          <w:tcPr>
            <w:tcW w:w="1000" w:type="dxa"/>
          </w:tcPr>
          <w:p>
            <w:pPr>
              <w:pStyle w:val="Normal"/>
              <w:spacing w:before="40" w:after="40"/>
            </w:pPr>
            <w:r>
              <w:rPr>
                <w:sz w:val="18"/>
                <w:szCs w:val="18"/>
              </w:rPr>
              <w:t>3,800,000</w:t>
            </w:r>
          </w:p>
        </w:tc>
        <w:tc>
          <w:tcPr>
            <w:tcW w:w="1000" w:type="dxa"/>
          </w:tcPr>
          <w:p>
            <w:pPr>
              <w:pStyle w:val="Normal"/>
              <w:spacing w:before="40" w:after="40"/>
            </w:pPr>
            <w:r>
              <w:rPr>
                <w:sz w:val="18"/>
                <w:szCs w:val="18"/>
              </w:rPr>
              <w:t>3,700,000</w:t>
            </w:r>
          </w:p>
        </w:tc>
        <w:tc>
          <w:tcPr>
            <w:tcW w:w="1000" w:type="dxa"/>
          </w:tcPr>
          <w:p>
            <w:pPr>
              <w:pStyle w:val="Normal"/>
              <w:spacing w:before="40" w:after="40"/>
            </w:pPr>
            <w:r>
              <w:rPr>
                <w:sz w:val="18"/>
                <w:szCs w:val="18"/>
              </w:rPr>
              <w:t>5,000,000</w:t>
            </w:r>
          </w:p>
        </w:tc>
        <w:tc>
          <w:tcPr>
            <w:tcW w:w="1100" w:type="dxa"/>
          </w:tcPr>
          <w:p>
            <w:pPr>
              <w:pStyle w:val="Normal"/>
              <w:spacing w:before="40" w:after="40"/>
            </w:pPr>
            <w:r>
              <w:rPr>
                <w:sz w:val="18"/>
                <w:szCs w:val="18"/>
              </w:rPr>
              <w:t>12,500,000</w:t>
            </w:r>
          </w:p>
        </w:tc>
      </w:tr>
      <w:tr>
        <w:tc>
          <w:tcPr>
            <w:tcW w:w="2000" w:type="dxa"/>
          </w:tcPr>
          <w:p>
            <w:pPr>
              <w:pStyle w:val="Normal"/>
              <w:spacing w:before="40" w:after="40"/>
            </w:pPr>
            <w:r>
              <w:rPr>
                <w:sz w:val="18"/>
                <w:szCs w:val="18"/>
              </w:rPr>
              <w:t>Cytognosis Foundation (Sub)</w:t>
            </w:r>
          </w:p>
        </w:tc>
        <w:tc>
          <w:tcPr>
            <w:tcW w:w="3260" w:type="dxa"/>
          </w:tcPr>
          <w:p>
            <w:pPr>
              <w:pStyle w:val="Normal"/>
              <w:spacing w:before="40" w:after="40"/>
            </w:pPr>
            <w:r>
              <w:rPr>
                <w:sz w:val="18"/>
                <w:szCs w:val="18"/>
              </w:rPr>
              <w:t>TA1 model lead; TA1-TA2 hypothesis lead; Shahin + PM (Purcell) + SWE/Architect + ~5 ML/comp-bio; 15% de minimis F&amp;A</w:t>
            </w:r>
          </w:p>
        </w:tc>
        <w:tc>
          <w:tcPr>
            <w:tcW w:w="1000" w:type="dxa"/>
          </w:tcPr>
          <w:p>
            <w:pPr>
              <w:pStyle w:val="Normal"/>
              <w:spacing w:before="40" w:after="40"/>
            </w:pPr>
            <w:r>
              <w:rPr>
                <w:sz w:val="18"/>
                <w:szCs w:val="18"/>
              </w:rPr>
              <w:t>2,400,000</w:t>
            </w:r>
          </w:p>
        </w:tc>
        <w:tc>
          <w:tcPr>
            <w:tcW w:w="1000" w:type="dxa"/>
          </w:tcPr>
          <w:p>
            <w:pPr>
              <w:pStyle w:val="Normal"/>
              <w:spacing w:before="40" w:after="40"/>
            </w:pPr>
            <w:r>
              <w:rPr>
                <w:sz w:val="18"/>
                <w:szCs w:val="18"/>
              </w:rPr>
              <w:t>2,900,000</w:t>
            </w:r>
          </w:p>
        </w:tc>
        <w:tc>
          <w:tcPr>
            <w:tcW w:w="1000" w:type="dxa"/>
          </w:tcPr>
          <w:p>
            <w:pPr>
              <w:pStyle w:val="Normal"/>
              <w:spacing w:before="40" w:after="40"/>
            </w:pPr>
            <w:r>
              <w:rPr>
                <w:sz w:val="18"/>
                <w:szCs w:val="18"/>
              </w:rPr>
              <w:t>4,200,000</w:t>
            </w:r>
          </w:p>
        </w:tc>
        <w:tc>
          <w:tcPr>
            <w:tcW w:w="1100" w:type="dxa"/>
          </w:tcPr>
          <w:p>
            <w:pPr>
              <w:pStyle w:val="Normal"/>
              <w:spacing w:before="40" w:after="40"/>
            </w:pPr>
            <w:r>
              <w:rPr>
                <w:sz w:val="18"/>
                <w:szCs w:val="18"/>
              </w:rPr>
              <w:t>9,500,000</w:t>
            </w:r>
          </w:p>
        </w:tc>
      </w:tr>
      <w:tr>
        <w:tc>
          <w:tcPr>
            <w:tcW w:w="2000" w:type="dxa"/>
          </w:tcPr>
          <w:p>
            <w:pPr>
              <w:pStyle w:val="Normal"/>
              <w:spacing w:before="40" w:after="40"/>
            </w:pPr>
            <w:r>
              <w:rPr>
                <w:sz w:val="18"/>
                <w:szCs w:val="18"/>
              </w:rPr>
              <w:t>SIFT (Sub)</w:t>
            </w:r>
          </w:p>
        </w:tc>
        <w:tc>
          <w:tcPr>
            <w:tcW w:w="3260" w:type="dxa"/>
          </w:tcPr>
          <w:p>
            <w:pPr>
              <w:pStyle w:val="Normal"/>
              <w:spacing w:before="40" w:after="40"/>
            </w:pPr>
            <w:r>
              <w:rPr>
                <w:sz w:val="18"/>
                <w:szCs w:val="18"/>
              </w:rPr>
              <w:t>TA2-TA3 + TA3 + TA3-TA4 (scoped VOI layer); Dan Bryce lead; Goldman advisor; 24,204 labor hours; DL $4,094,437; indirect $2,199,941; travel $69,747; fee $636,412</w:t>
            </w:r>
          </w:p>
        </w:tc>
        <w:tc>
          <w:tcPr>
            <w:tcW w:w="1000" w:type="dxa"/>
          </w:tcPr>
          <w:p>
            <w:pPr>
              <w:pStyle w:val="Normal"/>
              <w:spacing w:before="40" w:after="40"/>
            </w:pPr>
            <w:r>
              <w:rPr>
                <w:sz w:val="18"/>
                <w:szCs w:val="18"/>
              </w:rPr>
              <w:t>2,000,000</w:t>
            </w:r>
          </w:p>
        </w:tc>
        <w:tc>
          <w:tcPr>
            <w:tcW w:w="1000" w:type="dxa"/>
          </w:tcPr>
          <w:p>
            <w:pPr>
              <w:pStyle w:val="Normal"/>
              <w:spacing w:before="40" w:after="40"/>
            </w:pPr>
            <w:r>
              <w:rPr>
                <w:sz w:val="18"/>
                <w:szCs w:val="18"/>
              </w:rPr>
              <w:t>2,200,000</w:t>
            </w:r>
          </w:p>
        </w:tc>
        <w:tc>
          <w:tcPr>
            <w:tcW w:w="1000" w:type="dxa"/>
          </w:tcPr>
          <w:p>
            <w:pPr>
              <w:pStyle w:val="Normal"/>
              <w:spacing w:before="40" w:after="40"/>
            </w:pPr>
            <w:r>
              <w:rPr>
                <w:sz w:val="18"/>
                <w:szCs w:val="18"/>
              </w:rPr>
              <w:t>2,800,000</w:t>
            </w:r>
          </w:p>
        </w:tc>
        <w:tc>
          <w:tcPr>
            <w:tcW w:w="1100" w:type="dxa"/>
          </w:tcPr>
          <w:p>
            <w:pPr>
              <w:pStyle w:val="Normal"/>
              <w:spacing w:before="40" w:after="40"/>
            </w:pPr>
            <w:r>
              <w:rPr>
                <w:sz w:val="18"/>
                <w:szCs w:val="18"/>
              </w:rPr>
              <w:t>7,000,000</w:t>
            </w:r>
          </w:p>
        </w:tc>
      </w:tr>
      <w:tr>
        <w:tc>
          <w:tcPr>
            <w:tcW w:w="2000" w:type="dxa"/>
          </w:tcPr>
          <w:p>
            <w:pPr>
              <w:pStyle w:val="Normal"/>
              <w:spacing w:before="40" w:after="40"/>
            </w:pPr>
            <w:r>
              <w:rPr>
                <w:sz w:val="18"/>
                <w:szCs w:val="18"/>
              </w:rPr>
              <w:t>Cellanome (Sub)</w:t>
            </w:r>
          </w:p>
        </w:tc>
        <w:tc>
          <w:tcPr>
            <w:tcW w:w="3260" w:type="dxa"/>
          </w:tcPr>
          <w:p>
            <w:pPr>
              <w:pStyle w:val="Normal"/>
              <w:spacing w:before="40" w:after="40"/>
            </w:pPr>
            <w:r>
              <w:rPr>
                <w:sz w:val="18"/>
                <w:szCs w:val="18"/>
              </w:rPr>
              <w:t>TA4-industry arm; R3200 RENT-and-we-run base; single-cell calcium imaging integration; confirm via quote</w:t>
            </w:r>
          </w:p>
        </w:tc>
        <w:tc>
          <w:tcPr>
            <w:tcW w:w="1000" w:type="dxa"/>
          </w:tcPr>
          <w:p>
            <w:pPr>
              <w:pStyle w:val="Normal"/>
              <w:spacing w:before="40" w:after="40"/>
            </w:pPr>
            <w:r>
              <w:rPr>
                <w:sz w:val="18"/>
                <w:szCs w:val="18"/>
              </w:rPr>
              <w:t>1,400,000</w:t>
            </w:r>
          </w:p>
        </w:tc>
        <w:tc>
          <w:tcPr>
            <w:tcW w:w="1000" w:type="dxa"/>
          </w:tcPr>
          <w:p>
            <w:pPr>
              <w:pStyle w:val="Normal"/>
              <w:spacing w:before="40" w:after="40"/>
            </w:pPr>
            <w:r>
              <w:rPr>
                <w:sz w:val="18"/>
                <w:szCs w:val="18"/>
              </w:rPr>
              <w:t>1,800,000</w:t>
            </w:r>
          </w:p>
        </w:tc>
        <w:tc>
          <w:tcPr>
            <w:tcW w:w="1000" w:type="dxa"/>
          </w:tcPr>
          <w:p>
            <w:pPr>
              <w:pStyle w:val="Normal"/>
              <w:spacing w:before="40" w:after="40"/>
            </w:pPr>
            <w:r>
              <w:rPr>
                <w:sz w:val="18"/>
                <w:szCs w:val="18"/>
              </w:rPr>
              <w:t>2,800,000</w:t>
            </w:r>
          </w:p>
        </w:tc>
        <w:tc>
          <w:tcPr>
            <w:tcW w:w="1100" w:type="dxa"/>
          </w:tcPr>
          <w:p>
            <w:pPr>
              <w:pStyle w:val="Normal"/>
              <w:spacing w:before="40" w:after="40"/>
            </w:pPr>
            <w:r>
              <w:rPr>
                <w:sz w:val="18"/>
                <w:szCs w:val="18"/>
              </w:rPr>
              <w:t>6,000,000</w:t>
            </w:r>
          </w:p>
        </w:tc>
      </w:tr>
      <w:tr>
        <w:tc>
          <w:tcPr>
            <w:tcW w:w="2000" w:type="dxa"/>
          </w:tcPr>
          <w:p>
            <w:pPr>
              <w:pStyle w:val="Normal"/>
              <w:spacing w:before="40" w:after="40"/>
            </w:pPr>
            <w:r>
              <w:rPr>
                <w:sz w:val="18"/>
                <w:szCs w:val="18"/>
              </w:rPr>
              <w:t>Shared program compute</w:t>
            </w:r>
          </w:p>
        </w:tc>
        <w:tc>
          <w:tcPr>
            <w:tcW w:w="3260" w:type="dxa"/>
          </w:tcPr>
          <w:p>
            <w:pPr>
              <w:pStyle w:val="Normal"/>
              <w:spacing w:before="40" w:after="40"/>
            </w:pPr>
            <w:r>
              <w:rPr>
                <w:sz w:val="18"/>
                <w:szCs w:val="18"/>
              </w:rPr>
              <w:t>GPU/cloud; TA1+TA2; program line; partially shiftable to IPAI HPC in-kind</w:t>
            </w:r>
          </w:p>
        </w:tc>
        <w:tc>
          <w:tcPr>
            <w:tcW w:w="1000" w:type="dxa"/>
          </w:tcPr>
          <w:p>
            <w:pPr>
              <w:pStyle w:val="Normal"/>
              <w:spacing w:before="40" w:after="40"/>
            </w:pPr>
            <w:r>
              <w:rPr>
                <w:sz w:val="18"/>
                <w:szCs w:val="18"/>
              </w:rPr>
              <w:t>600,000</w:t>
            </w:r>
          </w:p>
        </w:tc>
        <w:tc>
          <w:tcPr>
            <w:tcW w:w="1000" w:type="dxa"/>
          </w:tcPr>
          <w:p>
            <w:pPr>
              <w:pStyle w:val="Normal"/>
              <w:spacing w:before="40" w:after="40"/>
            </w:pPr>
            <w:r>
              <w:rPr>
                <w:sz w:val="18"/>
                <w:szCs w:val="18"/>
              </w:rPr>
              <w:t>800,000</w:t>
            </w:r>
          </w:p>
        </w:tc>
        <w:tc>
          <w:tcPr>
            <w:tcW w:w="1000" w:type="dxa"/>
          </w:tcPr>
          <w:p>
            <w:pPr>
              <w:pStyle w:val="Normal"/>
              <w:spacing w:before="40" w:after="40"/>
            </w:pPr>
            <w:r>
              <w:rPr>
                <w:sz w:val="18"/>
                <w:szCs w:val="18"/>
              </w:rPr>
              <w:t>1,100,000</w:t>
            </w:r>
          </w:p>
        </w:tc>
        <w:tc>
          <w:tcPr>
            <w:tcW w:w="1100" w:type="dxa"/>
          </w:tcPr>
          <w:p>
            <w:pPr>
              <w:pStyle w:val="Normal"/>
              <w:spacing w:before="40" w:after="40"/>
            </w:pPr>
            <w:r>
              <w:rPr>
                <w:sz w:val="18"/>
                <w:szCs w:val="18"/>
              </w:rPr>
              <w:t>2,500,000</w:t>
            </w:r>
          </w:p>
        </w:tc>
      </w:tr>
      <w:tr>
        <w:tc>
          <w:tcPr>
            <w:tcW w:w="2000" w:type="dxa"/>
          </w:tcPr>
          <w:p>
            <w:pPr>
              <w:pStyle w:val="Normal"/>
              <w:spacing w:before="40" w:after="40"/>
            </w:pPr>
            <w:r>
              <w:rPr>
                <w:sz w:val="18"/>
                <w:szCs w:val="18"/>
              </w:rPr>
              <w:t>TA4 sequencing CRO</w:t>
            </w:r>
          </w:p>
        </w:tc>
        <w:tc>
          <w:tcPr>
            <w:tcW w:w="3260" w:type="dxa"/>
          </w:tcPr>
          <w:p>
            <w:pPr>
              <w:pStyle w:val="Normal"/>
              <w:spacing w:before="40" w:after="40"/>
            </w:pPr>
            <w:r>
              <w:rPr>
                <w:sz w:val="18"/>
                <w:szCs w:val="18"/>
              </w:rPr>
              <w:t>scRNA-seq + Perturb-seq; CRO subaward; Illumina optional in-kind only</w:t>
            </w:r>
          </w:p>
        </w:tc>
        <w:tc>
          <w:tcPr>
            <w:tcW w:w="1000" w:type="dxa"/>
          </w:tcPr>
          <w:p>
            <w:pPr>
              <w:pStyle w:val="Normal"/>
              <w:spacing w:before="40" w:after="40"/>
            </w:pPr>
            <w:r>
              <w:rPr>
                <w:sz w:val="18"/>
                <w:szCs w:val="18"/>
              </w:rPr>
              <w:t>400,000</w:t>
            </w:r>
          </w:p>
        </w:tc>
        <w:tc>
          <w:tcPr>
            <w:tcW w:w="1000" w:type="dxa"/>
          </w:tcPr>
          <w:p>
            <w:pPr>
              <w:pStyle w:val="Normal"/>
              <w:spacing w:before="40" w:after="40"/>
            </w:pPr>
            <w:r>
              <w:rPr>
                <w:sz w:val="18"/>
                <w:szCs w:val="18"/>
              </w:rPr>
              <w:t>600,000</w:t>
            </w:r>
          </w:p>
        </w:tc>
        <w:tc>
          <w:tcPr>
            <w:tcW w:w="1000" w:type="dxa"/>
          </w:tcPr>
          <w:p>
            <w:pPr>
              <w:pStyle w:val="Normal"/>
              <w:spacing w:before="40" w:after="40"/>
            </w:pPr>
            <w:r>
              <w:rPr>
                <w:sz w:val="18"/>
                <w:szCs w:val="18"/>
              </w:rPr>
              <w:t>1,000,000</w:t>
            </w:r>
          </w:p>
        </w:tc>
        <w:tc>
          <w:tcPr>
            <w:tcW w:w="1100" w:type="dxa"/>
          </w:tcPr>
          <w:p>
            <w:pPr>
              <w:pStyle w:val="Normal"/>
              <w:spacing w:before="40" w:after="40"/>
            </w:pPr>
            <w:r>
              <w:rPr>
                <w:sz w:val="18"/>
                <w:szCs w:val="18"/>
              </w:rPr>
              <w:t>2,000,000</w:t>
            </w:r>
          </w:p>
        </w:tc>
      </w:tr>
      <w:tr>
        <w:tc>
          <w:tcPr>
            <w:tcW w:w="2000" w:type="dxa"/>
          </w:tcPr>
          <w:p>
            <w:pPr>
              <w:pStyle w:val="Normal"/>
              <w:spacing w:before="40" w:after="40"/>
            </w:pPr>
            <w:r>
              <w:rPr>
                <w:sz w:val="18"/>
                <w:szCs w:val="18"/>
              </w:rPr>
              <w:t>McLean / HMS (Sub)</w:t>
            </w:r>
          </w:p>
        </w:tc>
        <w:tc>
          <w:tcPr>
            <w:tcW w:w="3260" w:type="dxa"/>
          </w:tcPr>
          <w:p>
            <w:pPr>
              <w:pStyle w:val="Normal"/>
              <w:spacing w:before="40" w:after="40"/>
            </w:pPr>
            <w:r>
              <w:rPr>
                <w:sz w:val="18"/>
                <w:szCs w:val="18"/>
              </w:rPr>
              <w:t>Clinical; W. Brad Ruzicka MD/PhD; cohort interpretation; data governance; no new clinical trials</w:t>
            </w:r>
          </w:p>
        </w:tc>
        <w:tc>
          <w:tcPr>
            <w:tcW w:w="1000" w:type="dxa"/>
          </w:tcPr>
          <w:p>
            <w:pPr>
              <w:pStyle w:val="Normal"/>
              <w:spacing w:before="40" w:after="40"/>
            </w:pPr>
            <w:r>
              <w:rPr>
                <w:sz w:val="18"/>
                <w:szCs w:val="18"/>
              </w:rPr>
              <w:t>200,000</w:t>
            </w:r>
          </w:p>
        </w:tc>
        <w:tc>
          <w:tcPr>
            <w:tcW w:w="1000" w:type="dxa"/>
          </w:tcPr>
          <w:p>
            <w:pPr>
              <w:pStyle w:val="Normal"/>
              <w:spacing w:before="40" w:after="40"/>
            </w:pPr>
            <w:r>
              <w:rPr>
                <w:sz w:val="18"/>
                <w:szCs w:val="18"/>
              </w:rPr>
              <w:t>200,000</w:t>
            </w:r>
          </w:p>
        </w:tc>
        <w:tc>
          <w:tcPr>
            <w:tcW w:w="1000" w:type="dxa"/>
          </w:tcPr>
          <w:p>
            <w:pPr>
              <w:pStyle w:val="Normal"/>
              <w:spacing w:before="40" w:after="40"/>
            </w:pPr>
            <w:r>
              <w:rPr>
                <w:sz w:val="18"/>
                <w:szCs w:val="18"/>
              </w:rPr>
              <w:t>300,000</w:t>
            </w:r>
          </w:p>
        </w:tc>
        <w:tc>
          <w:tcPr>
            <w:tcW w:w="1100" w:type="dxa"/>
          </w:tcPr>
          <w:p>
            <w:pPr>
              <w:pStyle w:val="Normal"/>
              <w:spacing w:before="40" w:after="40"/>
            </w:pPr>
            <w:r>
              <w:rPr>
                <w:sz w:val="18"/>
                <w:szCs w:val="18"/>
              </w:rPr>
              <w:t>700,000</w:t>
            </w:r>
          </w:p>
        </w:tc>
      </w:tr>
      <w:tr>
        <w:tc>
          <w:tcPr>
            <w:tcW w:w="2000" w:type="dxa"/>
          </w:tcPr>
          <w:p>
            <w:pPr>
              <w:pStyle w:val="Normal"/>
              <w:spacing w:before="40" w:after="40"/>
            </w:pPr>
            <w:r>
              <w:rPr>
                <w:sz w:val="18"/>
                <w:szCs w:val="18"/>
              </w:rPr>
              <w:t>Duane Valz — legal/IP (consultant)</w:t>
            </w:r>
          </w:p>
        </w:tc>
        <w:tc>
          <w:tcPr>
            <w:tcW w:w="3260" w:type="dxa"/>
          </w:tcPr>
          <w:p>
            <w:pPr>
              <w:pStyle w:val="Normal"/>
              <w:spacing w:before="40" w:after="40"/>
            </w:pPr>
            <w:r>
              <w:rPr>
                <w:sz w:val="18"/>
                <w:szCs w:val="18"/>
              </w:rPr>
              <w:t>OT review; IP/field-of-use; subaward/NDA; OSS licensing; billed through Cytognosis; ~$750/hr x ~150-300 hrs; [FLAG Duane + Purdue SPS for scope/rate confirmation]</w:t>
            </w:r>
          </w:p>
        </w:tc>
        <w:tc>
          <w:tcPr>
            <w:tcW w:w="1000" w:type="dxa"/>
          </w:tcPr>
          <w:p>
            <w:pPr>
              <w:pStyle w:val="Normal"/>
              <w:spacing w:before="40" w:after="40"/>
            </w:pPr>
            <w:r>
              <w:rPr>
                <w:sz w:val="18"/>
                <w:szCs w:val="18"/>
              </w:rPr>
              <w:t>80,000</w:t>
            </w:r>
          </w:p>
        </w:tc>
        <w:tc>
          <w:tcPr>
            <w:tcW w:w="1000" w:type="dxa"/>
          </w:tcPr>
          <w:p>
            <w:pPr>
              <w:pStyle w:val="Normal"/>
              <w:spacing w:before="40" w:after="40"/>
            </w:pPr>
            <w:r>
              <w:rPr>
                <w:sz w:val="18"/>
                <w:szCs w:val="18"/>
              </w:rPr>
              <w:t>60,000</w:t>
            </w:r>
          </w:p>
        </w:tc>
        <w:tc>
          <w:tcPr>
            <w:tcW w:w="1000" w:type="dxa"/>
          </w:tcPr>
          <w:p>
            <w:pPr>
              <w:pStyle w:val="Normal"/>
              <w:spacing w:before="40" w:after="40"/>
            </w:pPr>
            <w:r>
              <w:rPr>
                <w:sz w:val="18"/>
                <w:szCs w:val="18"/>
              </w:rPr>
              <w:t>60,000</w:t>
            </w:r>
          </w:p>
        </w:tc>
        <w:tc>
          <w:tcPr>
            <w:tcW w:w="1100" w:type="dxa"/>
          </w:tcPr>
          <w:p>
            <w:pPr>
              <w:pStyle w:val="Normal"/>
              <w:spacing w:before="40" w:after="40"/>
            </w:pPr>
            <w:r>
              <w:rPr>
                <w:sz w:val="18"/>
                <w:szCs w:val="18"/>
              </w:rPr>
              <w:t>200,000</w:t>
            </w:r>
          </w:p>
        </w:tc>
      </w:tr>
      <w:tr>
        <w:tc>
          <w:tcPr>
            <w:tcW w:w="2000" w:type="dxa"/>
          </w:tcPr>
          <w:p>
            <w:pPr>
              <w:pStyle w:val="Normal"/>
              <w:spacing w:before="40" w:after="40"/>
            </w:pPr>
            <w:r>
              <w:rPr>
                <w:sz w:val="18"/>
                <w:szCs w:val="18"/>
              </w:rPr>
              <w:t>Cross-team / integration / reserve</w:t>
            </w:r>
          </w:p>
        </w:tc>
        <w:tc>
          <w:tcPr>
            <w:tcW w:w="3260" w:type="dxa"/>
          </w:tcPr>
          <w:p>
            <w:pPr>
              <w:pStyle w:val="Normal"/>
              <w:spacing w:before="40" w:after="40"/>
            </w:pPr>
            <w:r>
              <w:rPr>
                <w:sz w:val="18"/>
                <w:szCs w:val="18"/>
              </w:rPr>
              <w:t>DDD workshop; bake-offs; connect-a-thon; ~6% reserve</w:t>
            </w:r>
          </w:p>
        </w:tc>
        <w:tc>
          <w:tcPr>
            <w:tcW w:w="1000" w:type="dxa"/>
          </w:tcPr>
          <w:p>
            <w:pPr>
              <w:pStyle w:val="Normal"/>
              <w:spacing w:before="40" w:after="40"/>
            </w:pPr>
            <w:r>
              <w:rPr>
                <w:sz w:val="18"/>
                <w:szCs w:val="18"/>
              </w:rPr>
              <w:t>600,000</w:t>
            </w:r>
          </w:p>
        </w:tc>
        <w:tc>
          <w:tcPr>
            <w:tcW w:w="1000" w:type="dxa"/>
          </w:tcPr>
          <w:p>
            <w:pPr>
              <w:pStyle w:val="Normal"/>
              <w:spacing w:before="40" w:after="40"/>
            </w:pPr>
            <w:r>
              <w:rPr>
                <w:sz w:val="18"/>
                <w:szCs w:val="18"/>
              </w:rPr>
              <w:t>800,000</w:t>
            </w:r>
          </w:p>
        </w:tc>
        <w:tc>
          <w:tcPr>
            <w:tcW w:w="1000" w:type="dxa"/>
          </w:tcPr>
          <w:p>
            <w:pPr>
              <w:pStyle w:val="Normal"/>
              <w:spacing w:before="40" w:after="40"/>
            </w:pPr>
            <w:r>
              <w:rPr>
                <w:sz w:val="18"/>
                <w:szCs w:val="18"/>
              </w:rPr>
              <w:t>1,100,000</w:t>
            </w:r>
          </w:p>
        </w:tc>
        <w:tc>
          <w:tcPr>
            <w:tcW w:w="1100" w:type="dxa"/>
          </w:tcPr>
          <w:p>
            <w:pPr>
              <w:pStyle w:val="Normal"/>
              <w:spacing w:before="40" w:after="40"/>
            </w:pPr>
            <w:r>
              <w:rPr>
                <w:sz w:val="18"/>
                <w:szCs w:val="18"/>
              </w:rPr>
              <w:t>2,500,000</w:t>
            </w:r>
          </w:p>
        </w:tc>
      </w:tr>
      <w:tr>
        <w:tc>
          <w:tcPr>
            <w:tcW w:w="2000" w:type="dxa"/>
          </w:tcPr>
          <w:p>
            <w:pPr>
              <w:pStyle w:val="Normal"/>
              <w:spacing w:before="40" w:after="40"/>
            </w:pPr>
            <w:r>
              <w:rPr>
                <w:b/>
                <w:sz w:val="18"/>
                <w:szCs w:val="18"/>
              </w:rPr>
              <w:t>TOTAL (ARPA-H request)</w:t>
            </w:r>
          </w:p>
        </w:tc>
        <w:tc>
          <w:tcPr>
            <w:tcW w:w="3260" w:type="dxa"/>
          </w:tcPr>
          <w:p>
            <w:pPr>
              <w:pStyle w:val="Normal"/>
              <w:spacing w:before="40" w:after="40"/>
            </w:pPr>
            <w:r>
              <w:rPr>
                <w:sz w:val="18"/>
                <w:szCs w:val="18"/>
              </w:rPr>
              <w:t/>
            </w:r>
          </w:p>
        </w:tc>
        <w:tc>
          <w:tcPr>
            <w:tcW w:w="1000" w:type="dxa"/>
          </w:tcPr>
          <w:p>
            <w:pPr>
              <w:pStyle w:val="Normal"/>
              <w:spacing w:before="40" w:after="40"/>
            </w:pPr>
            <w:r>
              <w:rPr>
                <w:sz w:val="18"/>
                <w:szCs w:val="18"/>
              </w:rPr>
              <w:t>~$11,480,000</w:t>
            </w:r>
          </w:p>
        </w:tc>
        <w:tc>
          <w:tcPr>
            <w:tcW w:w="1000" w:type="dxa"/>
          </w:tcPr>
          <w:p>
            <w:pPr>
              <w:pStyle w:val="Normal"/>
              <w:spacing w:before="40" w:after="40"/>
            </w:pPr>
            <w:r>
              <w:rPr>
                <w:sz w:val="18"/>
                <w:szCs w:val="18"/>
              </w:rPr>
              <w:t>~$13,060,000</w:t>
            </w:r>
          </w:p>
        </w:tc>
        <w:tc>
          <w:tcPr>
            <w:tcW w:w="1000" w:type="dxa"/>
          </w:tcPr>
          <w:p>
            <w:pPr>
              <w:pStyle w:val="Normal"/>
              <w:spacing w:before="40" w:after="40"/>
            </w:pPr>
            <w:r>
              <w:rPr>
                <w:sz w:val="18"/>
                <w:szCs w:val="18"/>
              </w:rPr>
              <w:t>~$18,360,000</w:t>
            </w:r>
          </w:p>
        </w:tc>
        <w:tc>
          <w:tcPr>
            <w:tcW w:w="1100" w:type="dxa"/>
          </w:tcPr>
          <w:p>
            <w:pPr>
              <w:pStyle w:val="Normal"/>
              <w:spacing w:before="40" w:after="40"/>
            </w:pPr>
            <w:r>
              <w:rPr>
                <w:sz w:val="18"/>
                <w:szCs w:val="18"/>
              </w:rPr>
              <w:t>~$42,900,000</w:t>
            </w:r>
          </w:p>
        </w:tc>
      </w:tr>
    </w:tbl>
    <w:p>
      <w:pPr>
        <w:pStyle w:val="Normal"/>
      </w:pPr>
      <w:commentRangeEnd w:id="0"/>
      <w:r>
        <w:rPr>
          <w:rStyle w:val="CommentReference"/>
        </w:rPr>
        <w:commentReference w:id="0"/>
      </w:r>
    </w:p>
    <w:p>
      <w:pPr>
        <w:pStyle w:val="Normal"/>
        <w:spacing w:before="0" w:after="120"/>
      </w:pPr>
      <w:r>
        <w:t>Phase arithmetic: $11.48M + $13.06M + $18.36M = $42.9M</w:t>
      </w:r>
    </w:p>
    <w:p>
      <w:pPr>
        <w:pStyle w:val="Normal"/>
        <w:spacing w:before="0" w:after="120"/>
      </w:pPr>
      <w:r>
        <w:t>Note on in-kind attribution: Total project value including ~$2.3M Performer in-kind = ~$45.2M. The in-kind is attributable as: IPAI/Purdue HPC compute (Anvil/Brown, NSF ACCESS rates) ~$2.0M; Purdue wet-lab facilities ~$0.15M; Cellanome instrument/run credits ~$0.16M. In-kind items are SEPARATE from the ARPA-H ask above; total project value ~$45.2M. Illumina and Phylo are not budgeted performers: Illumina = optional in-kind sequencing/cloud only; Phylo = optional TA2 collaborator, not budgeted.</w:t>
      </w:r>
    </w:p>
    <w:p>
      <w:pPr>
        <w:pStyle w:val="Normal"/>
        <w:spacing w:before="60" w:after="60"/>
      </w:pPr>
      <w:r>
        <w:rPr>
          <w:i/>
        </w:rPr>
        <w:t xml:space="preserve">[FLAG for Ananth + Shahin: confirm IGoR per-award ceiling so ~$43M headroom is confirmed. FLAG for Duane + Purdue SPS: commercial-sub salary-cap treatment (SIFT/Cellanome) — do not assume.]</w:t>
      </w:r>
    </w:p>
    <w:p>
      <w:pPr>
        <w:pStyle w:val="Normal"/>
      </w:pPr>
    </w:p>
    <w:p>
      <w:pPr>
        <w:pStyle w:val="BodyText"/>
        <w:spacing w:before="160" w:after="80"/>
      </w:pPr>
      <w:r>
        <w:rPr>
          <w:b/>
          <w:sz w:val="22"/>
        </w:rPr>
        <w:t>Consolidated Basis of Estimate (BOE) Table (Cost Model Table 6-A)</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3260"/>
        <w:gridCol w:w="1220"/>
        <w:gridCol w:w="1220"/>
        <w:gridCol w:w="1220"/>
        <w:gridCol w:w="1220"/>
        <w:gridCol w:w="1220"/>
      </w:tblGrid>
      <w:tr>
        <w:trPr>
          <w:tblHeader/>
        </w:trPr>
        <w:tc>
          <w:tcPr>
            <w:tcW w:w="3260" w:type="dxa"/>
            <w:shd w:val="clear" w:color="auto" w:fill="D6E4F0"/>
          </w:tcPr>
          <w:p>
            <w:pPr>
              <w:pStyle w:val="Normal"/>
              <w:spacing w:before="40" w:after="40"/>
            </w:pPr>
            <w:r>
              <w:rPr>
                <w:b/>
                <w:sz w:val="18"/>
                <w:szCs w:val="18"/>
              </w:rPr>
              <w:t>ARPA-H Cost Category</w:t>
            </w:r>
          </w:p>
        </w:tc>
        <w:tc>
          <w:tcPr>
            <w:tcW w:w="1220" w:type="dxa"/>
            <w:shd w:val="clear" w:color="auto" w:fill="D6E4F0"/>
          </w:tcPr>
          <w:p>
            <w:pPr>
              <w:pStyle w:val="Normal"/>
              <w:spacing w:before="40" w:after="40"/>
            </w:pPr>
            <w:r>
              <w:rPr>
                <w:b/>
                <w:sz w:val="18"/>
                <w:szCs w:val="18"/>
              </w:rPr>
              <w:t>Phase I ($)</w:t>
            </w:r>
          </w:p>
        </w:tc>
        <w:tc>
          <w:tcPr>
            <w:tcW w:w="1220" w:type="dxa"/>
            <w:shd w:val="clear" w:color="auto" w:fill="D6E4F0"/>
          </w:tcPr>
          <w:p>
            <w:pPr>
              <w:pStyle w:val="Normal"/>
              <w:spacing w:before="40" w:after="40"/>
            </w:pPr>
            <w:r>
              <w:rPr>
                <w:b/>
                <w:sz w:val="18"/>
                <w:szCs w:val="18"/>
              </w:rPr>
              <w:t>Phase II ($)</w:t>
            </w:r>
          </w:p>
        </w:tc>
        <w:tc>
          <w:tcPr>
            <w:tcW w:w="1220" w:type="dxa"/>
            <w:shd w:val="clear" w:color="auto" w:fill="D6E4F0"/>
          </w:tcPr>
          <w:p>
            <w:pPr>
              <w:pStyle w:val="Normal"/>
              <w:spacing w:before="40" w:after="40"/>
            </w:pPr>
            <w:r>
              <w:rPr>
                <w:b/>
                <w:sz w:val="18"/>
                <w:szCs w:val="18"/>
              </w:rPr>
              <w:t>Phase III ($)</w:t>
            </w:r>
          </w:p>
        </w:tc>
        <w:tc>
          <w:tcPr>
            <w:tcW w:w="1220" w:type="dxa"/>
            <w:shd w:val="clear" w:color="auto" w:fill="D6E4F0"/>
          </w:tcPr>
          <w:p>
            <w:pPr>
              <w:pStyle w:val="Normal"/>
              <w:spacing w:before="40" w:after="40"/>
            </w:pPr>
            <w:r>
              <w:rPr>
                <w:b/>
                <w:sz w:val="18"/>
                <w:szCs w:val="18"/>
              </w:rPr>
              <w:t>5-yr Total ($)</w:t>
            </w:r>
          </w:p>
        </w:tc>
        <w:tc>
          <w:tcPr>
            <w:tcW w:w="1220" w:type="dxa"/>
            <w:shd w:val="clear" w:color="auto" w:fill="D6E4F0"/>
          </w:tcPr>
          <w:p>
            <w:pPr>
              <w:pStyle w:val="Normal"/>
              <w:spacing w:before="40" w:after="40"/>
            </w:pPr>
            <w:r>
              <w:rPr>
                <w:b/>
                <w:sz w:val="18"/>
                <w:szCs w:val="18"/>
              </w:rPr>
              <w:t>% of Total</w:t>
            </w:r>
          </w:p>
        </w:tc>
      </w:tr>
      <w:tr>
        <w:tc>
          <w:tcPr>
            <w:tcW w:w="3260" w:type="dxa"/>
          </w:tcPr>
          <w:p>
            <w:pPr>
              <w:pStyle w:val="Normal"/>
              <w:spacing w:before="40" w:after="40"/>
            </w:pPr>
            <w:r>
              <w:rPr>
                <w:sz w:val="18"/>
                <w:szCs w:val="18"/>
              </w:rPr>
              <w:t>Direct Labor (fully burdened)</w:t>
            </w:r>
          </w:p>
        </w:tc>
        <w:tc>
          <w:tcPr>
            <w:tcW w:w="1220" w:type="dxa"/>
          </w:tcPr>
          <w:p>
            <w:pPr>
              <w:pStyle w:val="Normal"/>
              <w:spacing w:before="40" w:after="40"/>
            </w:pPr>
            <w:r>
              <w:rPr>
                <w:sz w:val="18"/>
                <w:szCs w:val="18"/>
              </w:rPr>
              <w:t>4,700,000</w:t>
            </w:r>
          </w:p>
        </w:tc>
        <w:tc>
          <w:tcPr>
            <w:tcW w:w="1220" w:type="dxa"/>
          </w:tcPr>
          <w:p>
            <w:pPr>
              <w:pStyle w:val="Normal"/>
              <w:spacing w:before="40" w:after="40"/>
            </w:pPr>
            <w:r>
              <w:rPr>
                <w:sz w:val="18"/>
                <w:szCs w:val="18"/>
              </w:rPr>
              <w:t>6,600,000</w:t>
            </w:r>
          </w:p>
        </w:tc>
        <w:tc>
          <w:tcPr>
            <w:tcW w:w="1220" w:type="dxa"/>
          </w:tcPr>
          <w:p>
            <w:pPr>
              <w:pStyle w:val="Normal"/>
              <w:spacing w:before="40" w:after="40"/>
            </w:pPr>
            <w:r>
              <w:rPr>
                <w:sz w:val="18"/>
                <w:szCs w:val="18"/>
              </w:rPr>
              <w:t>7,500,000</w:t>
            </w:r>
          </w:p>
        </w:tc>
        <w:tc>
          <w:tcPr>
            <w:tcW w:w="1220" w:type="dxa"/>
          </w:tcPr>
          <w:p>
            <w:pPr>
              <w:pStyle w:val="Normal"/>
              <w:spacing w:before="40" w:after="40"/>
            </w:pPr>
            <w:r>
              <w:rPr>
                <w:sz w:val="18"/>
                <w:szCs w:val="18"/>
              </w:rPr>
              <w:t>18,800,000</w:t>
            </w:r>
          </w:p>
        </w:tc>
        <w:tc>
          <w:tcPr>
            <w:tcW w:w="1220" w:type="dxa"/>
          </w:tcPr>
          <w:p>
            <w:pPr>
              <w:pStyle w:val="Normal"/>
              <w:spacing w:before="40" w:after="40"/>
            </w:pPr>
            <w:r>
              <w:rPr>
                <w:sz w:val="18"/>
                <w:szCs w:val="18"/>
              </w:rPr>
              <w:t>43.8%</w:t>
            </w:r>
          </w:p>
        </w:tc>
      </w:tr>
      <w:tr>
        <w:tc>
          <w:tcPr>
            <w:tcW w:w="3260" w:type="dxa"/>
          </w:tcPr>
          <w:p>
            <w:pPr>
              <w:pStyle w:val="Normal"/>
              <w:spacing w:before="40" w:after="40"/>
            </w:pPr>
            <w:r>
              <w:rPr>
                <w:sz w:val="18"/>
                <w:szCs w:val="18"/>
              </w:rPr>
              <w:t>Materials</w:t>
            </w:r>
          </w:p>
        </w:tc>
        <w:tc>
          <w:tcPr>
            <w:tcW w:w="1220" w:type="dxa"/>
          </w:tcPr>
          <w:p>
            <w:pPr>
              <w:pStyle w:val="Normal"/>
              <w:spacing w:before="40" w:after="40"/>
            </w:pPr>
            <w:r>
              <w:rPr>
                <w:sz w:val="18"/>
                <w:szCs w:val="18"/>
              </w:rPr>
              <w:t>600,000</w:t>
            </w:r>
          </w:p>
        </w:tc>
        <w:tc>
          <w:tcPr>
            <w:tcW w:w="1220" w:type="dxa"/>
          </w:tcPr>
          <w:p>
            <w:pPr>
              <w:pStyle w:val="Normal"/>
              <w:spacing w:before="40" w:after="40"/>
            </w:pPr>
            <w:r>
              <w:rPr>
                <w:sz w:val="18"/>
                <w:szCs w:val="18"/>
              </w:rPr>
              <w:t>800,000</w:t>
            </w:r>
          </w:p>
        </w:tc>
        <w:tc>
          <w:tcPr>
            <w:tcW w:w="1220" w:type="dxa"/>
          </w:tcPr>
          <w:p>
            <w:pPr>
              <w:pStyle w:val="Normal"/>
              <w:spacing w:before="40" w:after="40"/>
            </w:pPr>
            <w:r>
              <w:rPr>
                <w:sz w:val="18"/>
                <w:szCs w:val="18"/>
              </w:rPr>
              <w:t>1,000,000</w:t>
            </w:r>
          </w:p>
        </w:tc>
        <w:tc>
          <w:tcPr>
            <w:tcW w:w="1220" w:type="dxa"/>
          </w:tcPr>
          <w:p>
            <w:pPr>
              <w:pStyle w:val="Normal"/>
              <w:spacing w:before="40" w:after="40"/>
            </w:pPr>
            <w:r>
              <w:rPr>
                <w:sz w:val="18"/>
                <w:szCs w:val="18"/>
              </w:rPr>
              <w:t>2,400,000</w:t>
            </w:r>
          </w:p>
        </w:tc>
        <w:tc>
          <w:tcPr>
            <w:tcW w:w="1220" w:type="dxa"/>
          </w:tcPr>
          <w:p>
            <w:pPr>
              <w:pStyle w:val="Normal"/>
              <w:spacing w:before="40" w:after="40"/>
            </w:pPr>
            <w:r>
              <w:rPr>
                <w:sz w:val="18"/>
                <w:szCs w:val="18"/>
              </w:rPr>
              <w:t>5.6%</w:t>
            </w:r>
          </w:p>
        </w:tc>
      </w:tr>
      <w:tr>
        <w:tc>
          <w:tcPr>
            <w:tcW w:w="3260" w:type="dxa"/>
          </w:tcPr>
          <w:p>
            <w:pPr>
              <w:pStyle w:val="Normal"/>
              <w:spacing w:before="40" w:after="40"/>
            </w:pPr>
            <w:r>
              <w:rPr>
                <w:sz w:val="18"/>
                <w:szCs w:val="18"/>
              </w:rPr>
              <w:t>Equipment</w:t>
            </w:r>
          </w:p>
        </w:tc>
        <w:tc>
          <w:tcPr>
            <w:tcW w:w="1220" w:type="dxa"/>
          </w:tcPr>
          <w:p>
            <w:pPr>
              <w:pStyle w:val="Normal"/>
              <w:spacing w:before="40" w:after="40"/>
            </w:pPr>
            <w:r>
              <w:rPr>
                <w:sz w:val="18"/>
                <w:szCs w:val="18"/>
              </w:rPr>
              <w:t>1,400,000</w:t>
            </w:r>
          </w:p>
        </w:tc>
        <w:tc>
          <w:tcPr>
            <w:tcW w:w="1220" w:type="dxa"/>
          </w:tcPr>
          <w:p>
            <w:pPr>
              <w:pStyle w:val="Normal"/>
              <w:spacing w:before="40" w:after="40"/>
            </w:pPr>
            <w:r>
              <w:rPr>
                <w:sz w:val="18"/>
                <w:szCs w:val="18"/>
              </w:rPr>
              <w:t>0</w:t>
            </w:r>
          </w:p>
        </w:tc>
        <w:tc>
          <w:tcPr>
            <w:tcW w:w="1220" w:type="dxa"/>
          </w:tcPr>
          <w:p>
            <w:pPr>
              <w:pStyle w:val="Normal"/>
              <w:spacing w:before="40" w:after="40"/>
            </w:pPr>
            <w:r>
              <w:rPr>
                <w:sz w:val="18"/>
                <w:szCs w:val="18"/>
              </w:rPr>
              <w:t>0</w:t>
            </w:r>
          </w:p>
        </w:tc>
        <w:tc>
          <w:tcPr>
            <w:tcW w:w="1220" w:type="dxa"/>
          </w:tcPr>
          <w:p>
            <w:pPr>
              <w:pStyle w:val="Normal"/>
              <w:spacing w:before="40" w:after="40"/>
            </w:pPr>
            <w:r>
              <w:rPr>
                <w:sz w:val="18"/>
                <w:szCs w:val="18"/>
              </w:rPr>
              <w:t>1,400,000</w:t>
            </w:r>
          </w:p>
        </w:tc>
        <w:tc>
          <w:tcPr>
            <w:tcW w:w="1220" w:type="dxa"/>
          </w:tcPr>
          <w:p>
            <w:pPr>
              <w:pStyle w:val="Normal"/>
              <w:spacing w:before="40" w:after="40"/>
            </w:pPr>
            <w:r>
              <w:rPr>
                <w:sz w:val="18"/>
                <w:szCs w:val="18"/>
              </w:rPr>
              <w:t>3.3%</w:t>
            </w:r>
          </w:p>
        </w:tc>
      </w:tr>
      <w:tr>
        <w:tc>
          <w:tcPr>
            <w:tcW w:w="3260" w:type="dxa"/>
          </w:tcPr>
          <w:p>
            <w:pPr>
              <w:pStyle w:val="Normal"/>
              <w:spacing w:before="40" w:after="40"/>
            </w:pPr>
            <w:r>
              <w:rPr>
                <w:sz w:val="18"/>
                <w:szCs w:val="18"/>
              </w:rPr>
              <w:t>Travel</w:t>
            </w:r>
          </w:p>
        </w:tc>
        <w:tc>
          <w:tcPr>
            <w:tcW w:w="1220" w:type="dxa"/>
          </w:tcPr>
          <w:p>
            <w:pPr>
              <w:pStyle w:val="Normal"/>
              <w:spacing w:before="40" w:after="40"/>
            </w:pPr>
            <w:r>
              <w:rPr>
                <w:sz w:val="18"/>
                <w:szCs w:val="18"/>
              </w:rPr>
              <w:t>225,000</w:t>
            </w:r>
          </w:p>
        </w:tc>
        <w:tc>
          <w:tcPr>
            <w:tcW w:w="1220" w:type="dxa"/>
          </w:tcPr>
          <w:p>
            <w:pPr>
              <w:pStyle w:val="Normal"/>
              <w:spacing w:before="40" w:after="40"/>
            </w:pPr>
            <w:r>
              <w:rPr>
                <w:sz w:val="18"/>
                <w:szCs w:val="18"/>
              </w:rPr>
              <w:t>300,000</w:t>
            </w:r>
          </w:p>
        </w:tc>
        <w:tc>
          <w:tcPr>
            <w:tcW w:w="1220" w:type="dxa"/>
          </w:tcPr>
          <w:p>
            <w:pPr>
              <w:pStyle w:val="Normal"/>
              <w:spacing w:before="40" w:after="40"/>
            </w:pPr>
            <w:r>
              <w:rPr>
                <w:sz w:val="18"/>
                <w:szCs w:val="18"/>
              </w:rPr>
              <w:t>375,000</w:t>
            </w:r>
          </w:p>
        </w:tc>
        <w:tc>
          <w:tcPr>
            <w:tcW w:w="1220" w:type="dxa"/>
          </w:tcPr>
          <w:p>
            <w:pPr>
              <w:pStyle w:val="Normal"/>
              <w:spacing w:before="40" w:after="40"/>
            </w:pPr>
            <w:r>
              <w:rPr>
                <w:sz w:val="18"/>
                <w:szCs w:val="18"/>
              </w:rPr>
              <w:t>900,000</w:t>
            </w:r>
          </w:p>
        </w:tc>
        <w:tc>
          <w:tcPr>
            <w:tcW w:w="1220" w:type="dxa"/>
          </w:tcPr>
          <w:p>
            <w:pPr>
              <w:pStyle w:val="Normal"/>
              <w:spacing w:before="40" w:after="40"/>
            </w:pPr>
            <w:r>
              <w:rPr>
                <w:sz w:val="18"/>
                <w:szCs w:val="18"/>
              </w:rPr>
              <w:t>2.1%</w:t>
            </w:r>
          </w:p>
        </w:tc>
      </w:tr>
      <w:tr>
        <w:tc>
          <w:tcPr>
            <w:tcW w:w="3260" w:type="dxa"/>
          </w:tcPr>
          <w:p>
            <w:pPr>
              <w:pStyle w:val="Normal"/>
              <w:spacing w:before="40" w:after="40"/>
            </w:pPr>
            <w:r>
              <w:rPr>
                <w:sz w:val="18"/>
                <w:szCs w:val="18"/>
              </w:rPr>
              <w:t>Subcontracts &amp; consultants</w:t>
            </w:r>
          </w:p>
        </w:tc>
        <w:tc>
          <w:tcPr>
            <w:tcW w:w="1220" w:type="dxa"/>
          </w:tcPr>
          <w:p>
            <w:pPr>
              <w:pStyle w:val="Normal"/>
              <w:spacing w:before="40" w:after="40"/>
            </w:pPr>
            <w:r>
              <w:rPr>
                <w:sz w:val="18"/>
                <w:szCs w:val="18"/>
              </w:rPr>
              <w:t>550,000</w:t>
            </w:r>
          </w:p>
        </w:tc>
        <w:tc>
          <w:tcPr>
            <w:tcW w:w="1220" w:type="dxa"/>
          </w:tcPr>
          <w:p>
            <w:pPr>
              <w:pStyle w:val="Normal"/>
              <w:spacing w:before="40" w:after="40"/>
            </w:pPr>
            <w:r>
              <w:rPr>
                <w:sz w:val="18"/>
                <w:szCs w:val="18"/>
              </w:rPr>
              <w:t>700,000</w:t>
            </w:r>
          </w:p>
        </w:tc>
        <w:tc>
          <w:tcPr>
            <w:tcW w:w="1220" w:type="dxa"/>
          </w:tcPr>
          <w:p>
            <w:pPr>
              <w:pStyle w:val="Normal"/>
              <w:spacing w:before="40" w:after="40"/>
            </w:pPr>
            <w:r>
              <w:rPr>
                <w:sz w:val="18"/>
                <w:szCs w:val="18"/>
              </w:rPr>
              <w:t>950,000</w:t>
            </w:r>
          </w:p>
        </w:tc>
        <w:tc>
          <w:tcPr>
            <w:tcW w:w="1220" w:type="dxa"/>
          </w:tcPr>
          <w:p>
            <w:pPr>
              <w:pStyle w:val="Normal"/>
              <w:spacing w:before="40" w:after="40"/>
            </w:pPr>
            <w:r>
              <w:rPr>
                <w:sz w:val="18"/>
                <w:szCs w:val="18"/>
              </w:rPr>
              <w:t>2,200,000</w:t>
            </w:r>
          </w:p>
        </w:tc>
        <w:tc>
          <w:tcPr>
            <w:tcW w:w="1220" w:type="dxa"/>
          </w:tcPr>
          <w:p>
            <w:pPr>
              <w:pStyle w:val="Normal"/>
              <w:spacing w:before="40" w:after="40"/>
            </w:pPr>
            <w:r>
              <w:rPr>
                <w:sz w:val="18"/>
                <w:szCs w:val="18"/>
              </w:rPr>
              <w:t>5.1%</w:t>
            </w:r>
          </w:p>
        </w:tc>
      </w:tr>
      <w:tr>
        <w:tc>
          <w:tcPr>
            <w:tcW w:w="3260" w:type="dxa"/>
          </w:tcPr>
          <w:p>
            <w:pPr>
              <w:pStyle w:val="Normal"/>
              <w:spacing w:before="40" w:after="40"/>
            </w:pPr>
            <w:r>
              <w:rPr>
                <w:sz w:val="18"/>
                <w:szCs w:val="18"/>
              </w:rPr>
              <w:t>Other Direct Costs (ODC)</w:t>
            </w:r>
          </w:p>
        </w:tc>
        <w:tc>
          <w:tcPr>
            <w:tcW w:w="1220" w:type="dxa"/>
          </w:tcPr>
          <w:p>
            <w:pPr>
              <w:pStyle w:val="Normal"/>
              <w:spacing w:before="40" w:after="40"/>
            </w:pPr>
            <w:r>
              <w:rPr>
                <w:sz w:val="18"/>
                <w:szCs w:val="18"/>
              </w:rPr>
              <w:t>1,725,000</w:t>
            </w:r>
          </w:p>
        </w:tc>
        <w:tc>
          <w:tcPr>
            <w:tcW w:w="1220" w:type="dxa"/>
          </w:tcPr>
          <w:p>
            <w:pPr>
              <w:pStyle w:val="Normal"/>
              <w:spacing w:before="40" w:after="40"/>
            </w:pPr>
            <w:r>
              <w:rPr>
                <w:sz w:val="18"/>
                <w:szCs w:val="18"/>
              </w:rPr>
              <w:t>2,075,000</w:t>
            </w:r>
          </w:p>
        </w:tc>
        <w:tc>
          <w:tcPr>
            <w:tcW w:w="1220" w:type="dxa"/>
          </w:tcPr>
          <w:p>
            <w:pPr>
              <w:pStyle w:val="Normal"/>
              <w:spacing w:before="40" w:after="40"/>
            </w:pPr>
            <w:r>
              <w:rPr>
                <w:sz w:val="18"/>
                <w:szCs w:val="18"/>
              </w:rPr>
              <w:t>3,100,000</w:t>
            </w:r>
          </w:p>
        </w:tc>
        <w:tc>
          <w:tcPr>
            <w:tcW w:w="1220" w:type="dxa"/>
          </w:tcPr>
          <w:p>
            <w:pPr>
              <w:pStyle w:val="Normal"/>
              <w:spacing w:before="40" w:after="40"/>
            </w:pPr>
            <w:r>
              <w:rPr>
                <w:sz w:val="18"/>
                <w:szCs w:val="18"/>
              </w:rPr>
              <w:t>6,900,000</w:t>
            </w:r>
          </w:p>
        </w:tc>
        <w:tc>
          <w:tcPr>
            <w:tcW w:w="1220" w:type="dxa"/>
          </w:tcPr>
          <w:p>
            <w:pPr>
              <w:pStyle w:val="Normal"/>
              <w:spacing w:before="40" w:after="40"/>
            </w:pPr>
            <w:r>
              <w:rPr>
                <w:sz w:val="18"/>
                <w:szCs w:val="18"/>
              </w:rPr>
              <w:t>16.1%</w:t>
            </w:r>
          </w:p>
        </w:tc>
      </w:tr>
      <w:tr>
        <w:tc>
          <w:tcPr>
            <w:tcW w:w="3260" w:type="dxa"/>
          </w:tcPr>
          <w:p>
            <w:pPr>
              <w:pStyle w:val="Normal"/>
              <w:spacing w:before="40" w:after="40"/>
            </w:pPr>
            <w:r>
              <w:rPr>
                <w:sz w:val="18"/>
                <w:szCs w:val="18"/>
              </w:rPr>
              <w:t>Indirect (F&amp;A / Overhead)</w:t>
            </w:r>
          </w:p>
        </w:tc>
        <w:tc>
          <w:tcPr>
            <w:tcW w:w="1220" w:type="dxa"/>
          </w:tcPr>
          <w:p>
            <w:pPr>
              <w:pStyle w:val="Normal"/>
              <w:spacing w:before="40" w:after="40"/>
            </w:pPr>
            <w:r>
              <w:rPr>
                <w:sz w:val="18"/>
                <w:szCs w:val="18"/>
              </w:rPr>
              <w:t>1,850,000</w:t>
            </w:r>
          </w:p>
        </w:tc>
        <w:tc>
          <w:tcPr>
            <w:tcW w:w="1220" w:type="dxa"/>
          </w:tcPr>
          <w:p>
            <w:pPr>
              <w:pStyle w:val="Normal"/>
              <w:spacing w:before="40" w:after="40"/>
            </w:pPr>
            <w:r>
              <w:rPr>
                <w:sz w:val="18"/>
                <w:szCs w:val="18"/>
              </w:rPr>
              <w:t>2,075,000</w:t>
            </w:r>
          </w:p>
        </w:tc>
        <w:tc>
          <w:tcPr>
            <w:tcW w:w="1220" w:type="dxa"/>
          </w:tcPr>
          <w:p>
            <w:pPr>
              <w:pStyle w:val="Normal"/>
              <w:spacing w:before="40" w:after="40"/>
            </w:pPr>
            <w:r>
              <w:rPr>
                <w:sz w:val="18"/>
                <w:szCs w:val="18"/>
              </w:rPr>
              <w:t>3,475,000</w:t>
            </w:r>
          </w:p>
        </w:tc>
        <w:tc>
          <w:tcPr>
            <w:tcW w:w="1220" w:type="dxa"/>
          </w:tcPr>
          <w:p>
            <w:pPr>
              <w:pStyle w:val="Normal"/>
              <w:spacing w:before="40" w:after="40"/>
            </w:pPr>
            <w:r>
              <w:rPr>
                <w:sz w:val="18"/>
                <w:szCs w:val="18"/>
              </w:rPr>
              <w:t>7,400,000</w:t>
            </w:r>
          </w:p>
        </w:tc>
        <w:tc>
          <w:tcPr>
            <w:tcW w:w="1220" w:type="dxa"/>
          </w:tcPr>
          <w:p>
            <w:pPr>
              <w:pStyle w:val="Normal"/>
              <w:spacing w:before="40" w:after="40"/>
            </w:pPr>
            <w:r>
              <w:rPr>
                <w:sz w:val="18"/>
                <w:szCs w:val="18"/>
              </w:rPr>
              <w:t>17.2%</w:t>
            </w:r>
          </w:p>
        </w:tc>
      </w:tr>
      <w:tr>
        <w:tc>
          <w:tcPr>
            <w:tcW w:w="3260" w:type="dxa"/>
          </w:tcPr>
          <w:p>
            <w:pPr>
              <w:pStyle w:val="Normal"/>
              <w:spacing w:before="40" w:after="40"/>
            </w:pPr>
            <w:r>
              <w:rPr>
                <w:sz w:val="18"/>
                <w:szCs w:val="18"/>
              </w:rPr>
              <w:t>Profit / Fee</w:t>
            </w:r>
          </w:p>
        </w:tc>
        <w:tc>
          <w:tcPr>
            <w:tcW w:w="1220" w:type="dxa"/>
          </w:tcPr>
          <w:p>
            <w:pPr>
              <w:pStyle w:val="Normal"/>
              <w:spacing w:before="40" w:after="40"/>
            </w:pPr>
            <w:r>
              <w:rPr>
                <w:sz w:val="18"/>
                <w:szCs w:val="18"/>
              </w:rPr>
              <w:t>300,000</w:t>
            </w:r>
          </w:p>
        </w:tc>
        <w:tc>
          <w:tcPr>
            <w:tcW w:w="1220" w:type="dxa"/>
          </w:tcPr>
          <w:p>
            <w:pPr>
              <w:pStyle w:val="Normal"/>
              <w:spacing w:before="40" w:after="40"/>
            </w:pPr>
            <w:r>
              <w:rPr>
                <w:sz w:val="18"/>
                <w:szCs w:val="18"/>
              </w:rPr>
              <w:t>410,000</w:t>
            </w:r>
          </w:p>
        </w:tc>
        <w:tc>
          <w:tcPr>
            <w:tcW w:w="1220" w:type="dxa"/>
          </w:tcPr>
          <w:p>
            <w:pPr>
              <w:pStyle w:val="Normal"/>
              <w:spacing w:before="40" w:after="40"/>
            </w:pPr>
            <w:r>
              <w:rPr>
                <w:sz w:val="18"/>
                <w:szCs w:val="18"/>
              </w:rPr>
              <w:t>490,000</w:t>
            </w:r>
          </w:p>
        </w:tc>
        <w:tc>
          <w:tcPr>
            <w:tcW w:w="1220" w:type="dxa"/>
          </w:tcPr>
          <w:p>
            <w:pPr>
              <w:pStyle w:val="Normal"/>
              <w:spacing w:before="40" w:after="40"/>
            </w:pPr>
            <w:r>
              <w:rPr>
                <w:sz w:val="18"/>
                <w:szCs w:val="18"/>
              </w:rPr>
              <w:t>1,200,000</w:t>
            </w:r>
          </w:p>
        </w:tc>
        <w:tc>
          <w:tcPr>
            <w:tcW w:w="1220" w:type="dxa"/>
          </w:tcPr>
          <w:p>
            <w:pPr>
              <w:pStyle w:val="Normal"/>
              <w:spacing w:before="40" w:after="40"/>
            </w:pPr>
            <w:r>
              <w:rPr>
                <w:sz w:val="18"/>
                <w:szCs w:val="18"/>
              </w:rPr>
              <w:t>2.8%</w:t>
            </w:r>
          </w:p>
        </w:tc>
      </w:tr>
      <w:tr>
        <w:tc>
          <w:tcPr>
            <w:tcW w:w="3260" w:type="dxa"/>
          </w:tcPr>
          <w:p>
            <w:pPr>
              <w:pStyle w:val="Normal"/>
              <w:spacing w:before="40" w:after="40"/>
            </w:pPr>
            <w:r>
              <w:rPr>
                <w:sz w:val="18"/>
                <w:szCs w:val="18"/>
              </w:rPr>
              <w:t>Cross-team integration &amp; reserve</w:t>
            </w:r>
          </w:p>
        </w:tc>
        <w:tc>
          <w:tcPr>
            <w:tcW w:w="1220" w:type="dxa"/>
          </w:tcPr>
          <w:p>
            <w:pPr>
              <w:pStyle w:val="Normal"/>
              <w:spacing w:before="40" w:after="40"/>
            </w:pPr>
            <w:r>
              <w:rPr>
                <w:sz w:val="18"/>
                <w:szCs w:val="18"/>
              </w:rPr>
              <w:t>130,000</w:t>
            </w:r>
          </w:p>
        </w:tc>
        <w:tc>
          <w:tcPr>
            <w:tcW w:w="1220" w:type="dxa"/>
          </w:tcPr>
          <w:p>
            <w:pPr>
              <w:pStyle w:val="Normal"/>
              <w:spacing w:before="40" w:after="40"/>
            </w:pPr>
            <w:r>
              <w:rPr>
                <w:sz w:val="18"/>
                <w:szCs w:val="18"/>
              </w:rPr>
              <w:t>100,000</w:t>
            </w:r>
          </w:p>
        </w:tc>
        <w:tc>
          <w:tcPr>
            <w:tcW w:w="1220" w:type="dxa"/>
          </w:tcPr>
          <w:p>
            <w:pPr>
              <w:pStyle w:val="Normal"/>
              <w:spacing w:before="40" w:after="40"/>
            </w:pPr>
            <w:r>
              <w:rPr>
                <w:sz w:val="18"/>
                <w:szCs w:val="18"/>
              </w:rPr>
              <w:t>1,470,000</w:t>
            </w:r>
          </w:p>
        </w:tc>
        <w:tc>
          <w:tcPr>
            <w:tcW w:w="1220" w:type="dxa"/>
          </w:tcPr>
          <w:p>
            <w:pPr>
              <w:pStyle w:val="Normal"/>
              <w:spacing w:before="40" w:after="40"/>
            </w:pPr>
            <w:r>
              <w:rPr>
                <w:sz w:val="18"/>
                <w:szCs w:val="18"/>
              </w:rPr>
              <w:t>1,700,000</w:t>
            </w:r>
          </w:p>
        </w:tc>
        <w:tc>
          <w:tcPr>
            <w:tcW w:w="1220" w:type="dxa"/>
          </w:tcPr>
          <w:p>
            <w:pPr>
              <w:pStyle w:val="Normal"/>
              <w:spacing w:before="40" w:after="40"/>
            </w:pPr>
            <w:r>
              <w:rPr>
                <w:sz w:val="18"/>
                <w:szCs w:val="18"/>
              </w:rPr>
              <w:t>4.0%</w:t>
            </w:r>
          </w:p>
        </w:tc>
      </w:tr>
      <w:tr>
        <w:tc>
          <w:tcPr>
            <w:tcW w:w="3260" w:type="dxa"/>
          </w:tcPr>
          <w:p>
            <w:pPr>
              <w:pStyle w:val="Normal"/>
              <w:spacing w:before="40" w:after="40"/>
            </w:pPr>
            <w:r>
              <w:rPr>
                <w:b/>
                <w:sz w:val="18"/>
                <w:szCs w:val="18"/>
              </w:rPr>
              <w:t>TOTAL</w:t>
            </w:r>
          </w:p>
        </w:tc>
        <w:tc>
          <w:tcPr>
            <w:tcW w:w="1220" w:type="dxa"/>
          </w:tcPr>
          <w:p>
            <w:pPr>
              <w:pStyle w:val="Normal"/>
              <w:spacing w:before="40" w:after="40"/>
            </w:pPr>
            <w:r>
              <w:rPr>
                <w:sz w:val="18"/>
                <w:szCs w:val="18"/>
              </w:rPr>
              <w:t>~$11,480,000</w:t>
            </w:r>
          </w:p>
        </w:tc>
        <w:tc>
          <w:tcPr>
            <w:tcW w:w="1220" w:type="dxa"/>
          </w:tcPr>
          <w:p>
            <w:pPr>
              <w:pStyle w:val="Normal"/>
              <w:spacing w:before="40" w:after="40"/>
            </w:pPr>
            <w:r>
              <w:rPr>
                <w:sz w:val="18"/>
                <w:szCs w:val="18"/>
              </w:rPr>
              <w:t>~$13,060,000</w:t>
            </w:r>
          </w:p>
        </w:tc>
        <w:tc>
          <w:tcPr>
            <w:tcW w:w="1220" w:type="dxa"/>
          </w:tcPr>
          <w:p>
            <w:pPr>
              <w:pStyle w:val="Normal"/>
              <w:spacing w:before="40" w:after="40"/>
            </w:pPr>
            <w:r>
              <w:rPr>
                <w:sz w:val="18"/>
                <w:szCs w:val="18"/>
              </w:rPr>
              <w:t>~$18,360,000</w:t>
            </w:r>
          </w:p>
        </w:tc>
        <w:tc>
          <w:tcPr>
            <w:tcW w:w="1220" w:type="dxa"/>
          </w:tcPr>
          <w:p>
            <w:pPr>
              <w:pStyle w:val="Normal"/>
              <w:spacing w:before="40" w:after="40"/>
            </w:pPr>
            <w:r>
              <w:rPr>
                <w:sz w:val="18"/>
                <w:szCs w:val="18"/>
              </w:rPr>
              <w:t>$42,900,000</w:t>
            </w:r>
          </w:p>
        </w:tc>
        <w:tc>
          <w:tcPr>
            <w:tcW w:w="1220" w:type="dxa"/>
          </w:tcPr>
          <w:p>
            <w:pPr>
              <w:pStyle w:val="Normal"/>
              <w:spacing w:before="40" w:after="40"/>
            </w:pPr>
            <w:r>
              <w:rPr>
                <w:sz w:val="18"/>
                <w:szCs w:val="18"/>
              </w:rPr>
              <w:t>100%</w:t>
            </w:r>
          </w:p>
        </w:tc>
      </w:tr>
    </w:tbl>
    <w:p>
      <w:pPr>
        <w:pStyle w:val="Normal"/>
        <w:spacing w:before="0" w:after="120"/>
      </w:pPr>
      <w:r>
        <w:rPr>
          <w:b/>
        </w:rPr>
        <w:t>Reconciliation (three-way tie):</w:t>
      </w:r>
    </w:p>
    <w:p>
      <w:pPr>
        <w:pStyle w:val="Normal"/>
        <w:spacing w:before="0" w:after="120"/>
      </w:pPr>
      <w:r>
        <w:t>By-category sum: 18.8 + 2.4 + 1.4 + 0.9 + 2.2 + 6.9 + 7.4 + 1.2 + 1.7 = $42.9M</w:t>
      </w:r>
    </w:p>
    <w:p>
      <w:pPr>
        <w:pStyle w:val="Normal"/>
        <w:spacing w:before="0" w:after="120"/>
      </w:pPr>
      <w:r>
        <w:t>By-performer sum: 6.5 + 6.0 + 9.5 + 7.0 + 6.0 + 2.5 + 2.0 + 0.7 + 0.2 + 2.5 = $42.9M</w:t>
      </w:r>
    </w:p>
    <w:p>
      <w:pPr>
        <w:pStyle w:val="Normal"/>
        <w:spacing w:before="0" w:after="120"/>
      </w:pPr>
      <w:r>
        <w:t>By-phase sum: 11.48 + 13.06 + 18.36 = ~$42.9M</w:t>
      </w:r>
    </w:p>
    <w:p>
      <w:pPr>
        <w:pStyle w:val="Normal"/>
        <w:spacing w:before="0" w:after="120"/>
      </w:pPr>
      <w:r>
        <w:rPr>
          <w:i/>
        </w:rPr>
        <w:t>These figures are mirrored in the Appendix C.4 workbook and finalized to the cent at OT negotiation.</w:t>
      </w:r>
    </w:p>
    <w:p>
      <w:pPr>
        <w:pStyle w:val="Normal"/>
      </w:pPr>
    </w:p>
    <w:p>
      <w:pPr>
        <w:pStyle w:val="Heading1"/>
      </w:pPr>
      <w:r>
        <w:t>Level of Effort and Labor</w:t>
      </w:r>
    </w:p>
    <w:p>
      <w:pPr>
        <w:pStyle w:val="BodyText"/>
        <w:spacing w:before="160" w:after="80"/>
      </w:pPr>
      <w:r>
        <w:rPr>
          <w:b/>
          <w:sz w:val="22"/>
        </w:rPr>
        <w:t>Overview</w:t>
      </w:r>
    </w:p>
    <w:p>
      <w:pPr>
        <w:pStyle w:val="Normal"/>
        <w:spacing w:before="0" w:after="120"/>
      </w:pPr>
      <w:r>
        <w:t>PsychIGoR fields approximately 23 funded full-time equivalents (FTEs) per year across eight performing organizations. Total direct labor over 60 months is approximately $18.8M, representing 43.8% of the ARPA-H request, with approximately 130,000 funded labor hours at a blended fully-loaded rate of approximately $145/hour.</w:t>
      </w:r>
    </w:p>
    <w:p>
      <w:pPr>
        <w:pStyle w:val="Normal"/>
        <w:spacing w:before="0" w:after="120"/>
      </w:pPr>
      <w:r>
        <w:t>Answering ARPA-H's stated concern about junior staffing: Appendix C.3 of the solicitation states that proposers are discouraged from staffing efforts with junior personnel to appear more cost-effective. PsychIGoR answers this directly. Every performing organization contributes substantive senior expertise: four PhD faculty (Grama, Carpenter, Tegtmeyer, Ruzicka) each contribute 2-3 person-months per year for scientific strategy, laboratory oversight, and translational framing. The computational and engineering execution is carried by senior postdoctoral researchers, research scientists, and software engineers (all at 1.0 FTE) individually named where confirmed and drawn from the top of the labor-market range for computational biology and ML engineering. SIFT contributes 24,204 labor hours of senior standards-engineering depth (70% Bryce / 30% Goldman and engineers). Cytognosis contributes approximately 5 ML/comp-bio FTE plus PM and Architect, including a Software and Systems Architect (a planned Cytognosis hire; Elham Jebalbarezi Sarbijan (IPAI) interim) at 1.0 FTE and a named PM (Patricia Purcell) at approximately 400 hours per year. PhD students at Purdue (two funded at 1.0 FTE each) are appropriate for their role: executing bench protocols under faculty supervision, not substituting for senior scientific decision-making.</w:t>
      </w:r>
    </w:p>
    <w:p>
      <w:pPr>
        <w:pStyle w:val="Normal"/>
      </w:pPr>
    </w:p>
    <w:p>
      <w:pPr>
        <w:pStyle w:val="BodyText"/>
        <w:spacing w:before="160" w:after="80"/>
      </w:pPr>
      <w:r>
        <w:rPr>
          <w:b/>
          <w:sz w:val="22"/>
        </w:rPr>
        <w:t>Labor Categories, Rates, and Person-Months by Organization</w:t>
      </w:r>
    </w:p>
    <w:p>
      <w:pPr>
        <w:pStyle w:val="BodyText"/>
        <w:spacing w:before="100" w:after="60"/>
      </w:pPr>
      <w:r>
        <w:rPr>
          <w:b/>
          <w:i/>
        </w:rPr>
        <w:t>Purdue/IPAI — computational (Prime): ~5.75 FTE/year</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3500"/>
        <w:gridCol w:w="1400"/>
        <w:gridCol w:w="800"/>
        <w:gridCol w:w="800"/>
        <w:gridCol w:w="2860"/>
      </w:tblGrid>
      <w:tr>
        <w:trPr>
          <w:tblHeader/>
        </w:trPr>
        <w:tc>
          <w:tcPr>
            <w:tcW w:w="3500" w:type="dxa"/>
            <w:shd w:val="clear" w:color="auto" w:fill="D6E4F0"/>
          </w:tcPr>
          <w:p>
            <w:pPr>
              <w:pStyle w:val="Normal"/>
              <w:spacing w:before="40" w:after="40"/>
            </w:pPr>
            <w:r>
              <w:rPr>
                <w:b/>
                <w:sz w:val="18"/>
                <w:szCs w:val="18"/>
              </w:rPr>
              <w:t>Person / Role</w:t>
            </w:r>
          </w:p>
        </w:tc>
        <w:tc>
          <w:tcPr>
            <w:tcW w:w="1400" w:type="dxa"/>
            <w:shd w:val="clear" w:color="auto" w:fill="D6E4F0"/>
          </w:tcPr>
          <w:p>
            <w:pPr>
              <w:pStyle w:val="Normal"/>
              <w:spacing w:before="40" w:after="40"/>
            </w:pPr>
            <w:r>
              <w:rPr>
                <w:b/>
                <w:sz w:val="18"/>
                <w:szCs w:val="18"/>
              </w:rPr>
              <w:t>Appointment</w:t>
            </w:r>
          </w:p>
        </w:tc>
        <w:tc>
          <w:tcPr>
            <w:tcW w:w="800" w:type="dxa"/>
            <w:shd w:val="clear" w:color="auto" w:fill="D6E4F0"/>
          </w:tcPr>
          <w:p>
            <w:pPr>
              <w:pStyle w:val="Normal"/>
              <w:spacing w:before="40" w:after="40"/>
            </w:pPr>
            <w:r>
              <w:rPr>
                <w:b/>
                <w:sz w:val="18"/>
                <w:szCs w:val="18"/>
              </w:rPr>
              <w:t>PM/yr</w:t>
            </w:r>
          </w:p>
        </w:tc>
        <w:tc>
          <w:tcPr>
            <w:tcW w:w="800" w:type="dxa"/>
            <w:shd w:val="clear" w:color="auto" w:fill="D6E4F0"/>
          </w:tcPr>
          <w:p>
            <w:pPr>
              <w:pStyle w:val="Normal"/>
              <w:spacing w:before="40" w:after="40"/>
            </w:pPr>
            <w:r>
              <w:rPr>
                <w:b/>
                <w:sz w:val="18"/>
                <w:szCs w:val="18"/>
              </w:rPr>
              <w:t>FTE</w:t>
            </w:r>
          </w:p>
        </w:tc>
        <w:tc>
          <w:tcPr>
            <w:tcW w:w="2860" w:type="dxa"/>
            <w:shd w:val="clear" w:color="auto" w:fill="D6E4F0"/>
          </w:tcPr>
          <w:p>
            <w:pPr>
              <w:pStyle w:val="Normal"/>
              <w:spacing w:before="40" w:after="40"/>
            </w:pPr>
            <w:r>
              <w:rPr>
                <w:b/>
                <w:sz w:val="18"/>
                <w:szCs w:val="18"/>
              </w:rPr>
              <w:t>Loaded $/yr</w:t>
            </w:r>
          </w:p>
        </w:tc>
      </w:tr>
      <w:tr>
        <w:tc>
          <w:tcPr>
            <w:tcW w:w="3500" w:type="dxa"/>
          </w:tcPr>
          <w:p>
            <w:pPr>
              <w:pStyle w:val="Normal"/>
              <w:spacing w:before="40" w:after="40"/>
            </w:pPr>
            <w:r>
              <w:rPr>
                <w:sz w:val="18"/>
                <w:szCs w:val="18"/>
              </w:rPr>
              <w:t>Ananth Grama, PhD (PI, IPAI Director)</w:t>
            </w:r>
          </w:p>
        </w:tc>
        <w:tc>
          <w:tcPr>
            <w:tcW w:w="1400" w:type="dxa"/>
          </w:tcPr>
          <w:p>
            <w:pPr>
              <w:pStyle w:val="Normal"/>
              <w:spacing w:before="40" w:after="40"/>
            </w:pPr>
            <w:r>
              <w:rPr>
                <w:sz w:val="18"/>
                <w:szCs w:val="18"/>
              </w:rPr>
              <w:t>12-mo academic</w:t>
            </w:r>
          </w:p>
        </w:tc>
        <w:tc>
          <w:tcPr>
            <w:tcW w:w="800" w:type="dxa"/>
          </w:tcPr>
          <w:p>
            <w:pPr>
              <w:pStyle w:val="Normal"/>
              <w:spacing w:before="40" w:after="40"/>
            </w:pPr>
            <w:r>
              <w:rPr>
                <w:sz w:val="18"/>
                <w:szCs w:val="18"/>
              </w:rPr>
              <w:t>3</w:t>
            </w:r>
          </w:p>
        </w:tc>
        <w:tc>
          <w:tcPr>
            <w:tcW w:w="800" w:type="dxa"/>
          </w:tcPr>
          <w:p>
            <w:pPr>
              <w:pStyle w:val="Normal"/>
              <w:spacing w:before="40" w:after="40"/>
            </w:pPr>
            <w:r>
              <w:rPr>
                <w:sz w:val="18"/>
                <w:szCs w:val="18"/>
              </w:rPr>
              <w:t>0.25</w:t>
            </w:r>
          </w:p>
        </w:tc>
        <w:tc>
          <w:tcPr>
            <w:tcW w:w="2860" w:type="dxa"/>
          </w:tcPr>
          <w:p>
            <w:pPr>
              <w:pStyle w:val="Normal"/>
              <w:spacing w:before="40" w:after="40"/>
            </w:pPr>
            <w:r>
              <w:rPr>
                <w:sz w:val="18"/>
                <w:szCs w:val="18"/>
              </w:rPr>
              <w:t>~$57,000 (ARPA-H-funded at $228K cap x 0.25)</w:t>
            </w:r>
          </w:p>
        </w:tc>
      </w:tr>
      <w:tr>
        <w:tc>
          <w:tcPr>
            <w:tcW w:w="3500" w:type="dxa"/>
          </w:tcPr>
          <w:p>
            <w:pPr>
              <w:pStyle w:val="Normal"/>
              <w:spacing w:before="40" w:after="40"/>
            </w:pPr>
            <w:r>
              <w:rPr>
                <w:sz w:val="18"/>
                <w:szCs w:val="18"/>
              </w:rPr>
              <w:t>Anne Carpenter, PhD (TA1 co-lead; computational morphology/imaging-model lead; no bench; in-house IPAI/Purdue)</w:t>
            </w:r>
          </w:p>
        </w:tc>
        <w:tc>
          <w:tcPr>
            <w:tcW w:w="1400" w:type="dxa"/>
          </w:tcPr>
          <w:p>
            <w:pPr>
              <w:pStyle w:val="Normal"/>
              <w:spacing w:before="40" w:after="40"/>
            </w:pPr>
            <w:r>
              <w:rPr>
                <w:sz w:val="18"/>
                <w:szCs w:val="18"/>
              </w:rPr>
              <w:t>12-mo (Purdue, ~Sep 2026)</w:t>
            </w:r>
          </w:p>
        </w:tc>
        <w:tc>
          <w:tcPr>
            <w:tcW w:w="800" w:type="dxa"/>
          </w:tcPr>
          <w:p>
            <w:pPr>
              <w:pStyle w:val="Normal"/>
              <w:spacing w:before="40" w:after="40"/>
            </w:pPr>
            <w:r>
              <w:rPr>
                <w:sz w:val="18"/>
                <w:szCs w:val="18"/>
              </w:rPr>
              <w:t>3</w:t>
            </w:r>
          </w:p>
        </w:tc>
        <w:tc>
          <w:tcPr>
            <w:tcW w:w="800" w:type="dxa"/>
          </w:tcPr>
          <w:p>
            <w:pPr>
              <w:pStyle w:val="Normal"/>
              <w:spacing w:before="40" w:after="40"/>
            </w:pPr>
            <w:r>
              <w:rPr>
                <w:sz w:val="18"/>
                <w:szCs w:val="18"/>
              </w:rPr>
              <w:t>0.25</w:t>
            </w:r>
          </w:p>
        </w:tc>
        <w:tc>
          <w:tcPr>
            <w:tcW w:w="2860" w:type="dxa"/>
          </w:tcPr>
          <w:p>
            <w:pPr>
              <w:pStyle w:val="Normal"/>
              <w:spacing w:before="40" w:after="40"/>
            </w:pPr>
            <w:r>
              <w:rPr>
                <w:sz w:val="18"/>
                <w:szCs w:val="18"/>
              </w:rPr>
              <w:t>~$57,000 (ARPA-H-funded at $228K cap x 0.25; Purdue covers remainder of ~$300K base)</w:t>
            </w:r>
          </w:p>
        </w:tc>
      </w:tr>
      <w:tr>
        <w:tc>
          <w:tcPr>
            <w:tcW w:w="3500" w:type="dxa"/>
          </w:tcPr>
          <w:p>
            <w:pPr>
              <w:pStyle w:val="Normal"/>
              <w:spacing w:before="40" w:after="40"/>
            </w:pPr>
            <w:r>
              <w:rPr>
                <w:sz w:val="18"/>
                <w:szCs w:val="18"/>
              </w:rPr>
              <w:t>PhD student #1 (TA1 mechanistic modeling)</w:t>
            </w:r>
          </w:p>
        </w:tc>
        <w:tc>
          <w:tcPr>
            <w:tcW w:w="1400" w:type="dxa"/>
          </w:tcPr>
          <w:p>
            <w:pPr>
              <w:pStyle w:val="Normal"/>
              <w:spacing w:before="40" w:after="40"/>
            </w:pPr>
            <w:r>
              <w:rPr>
                <w:sz w:val="18"/>
                <w:szCs w:val="18"/>
              </w:rPr>
              <w:t>12-mo student</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~$50,000 stipend + ~$35,000 tuition</w:t>
            </w:r>
          </w:p>
        </w:tc>
      </w:tr>
      <w:tr>
        <w:tc>
          <w:tcPr>
            <w:tcW w:w="3500" w:type="dxa"/>
          </w:tcPr>
          <w:p>
            <w:pPr>
              <w:pStyle w:val="Normal"/>
              <w:spacing w:before="40" w:after="40"/>
            </w:pPr>
            <w:r>
              <w:rPr>
                <w:sz w:val="18"/>
                <w:szCs w:val="18"/>
              </w:rPr>
              <w:t>PhD student #2 (TA1 / TA2 support)</w:t>
            </w:r>
          </w:p>
        </w:tc>
        <w:tc>
          <w:tcPr>
            <w:tcW w:w="1400" w:type="dxa"/>
          </w:tcPr>
          <w:p>
            <w:pPr>
              <w:pStyle w:val="Normal"/>
              <w:spacing w:before="40" w:after="40"/>
            </w:pPr>
            <w:r>
              <w:rPr>
                <w:sz w:val="18"/>
                <w:szCs w:val="18"/>
              </w:rPr>
              <w:t>12-mo student</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~$50,000 stipend + ~$35,000 tuition</w:t>
            </w:r>
          </w:p>
        </w:tc>
      </w:tr>
      <w:tr>
        <w:tc>
          <w:tcPr>
            <w:tcW w:w="3500" w:type="dxa"/>
          </w:tcPr>
          <w:p>
            <w:pPr>
              <w:pStyle w:val="Normal"/>
              <w:spacing w:before="40" w:after="40"/>
            </w:pPr>
            <w:r>
              <w:rPr>
                <w:sz w:val="18"/>
                <w:szCs w:val="18"/>
              </w:rPr>
              <w:t>Research engineer (TA1/TA2 systems, Purdue)</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~$110,000</w:t>
            </w:r>
          </w:p>
        </w:tc>
      </w:tr>
      <w:tr>
        <w:tc>
          <w:tcPr>
            <w:tcW w:w="3500" w:type="dxa"/>
          </w:tcPr>
          <w:p>
            <w:pPr>
              <w:pStyle w:val="Normal"/>
              <w:spacing w:before="40" w:after="40"/>
            </w:pPr>
            <w:r>
              <w:rPr>
                <w:sz w:val="18"/>
                <w:szCs w:val="18"/>
              </w:rPr>
              <w:t>Disease-modeling postdoc (TA1)</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~$80,000</w:t>
            </w:r>
          </w:p>
        </w:tc>
      </w:tr>
      <w:tr>
        <w:tc>
          <w:tcPr>
            <w:tcW w:w="3500" w:type="dxa"/>
          </w:tcPr>
          <w:p>
            <w:pPr>
              <w:pStyle w:val="Normal"/>
              <w:spacing w:before="40" w:after="40"/>
            </w:pPr>
            <w:r>
              <w:rPr>
                <w:sz w:val="18"/>
                <w:szCs w:val="18"/>
              </w:rPr>
              <w:t>Senior postdoc / research scientist (computational morphology)</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~$85,000</w:t>
            </w:r>
          </w:p>
        </w:tc>
      </w:tr>
      <w:tr>
        <w:tc>
          <w:tcPr>
            <w:tcW w:w="3500" w:type="dxa"/>
          </w:tcPr>
          <w:p>
            <w:pPr>
              <w:pStyle w:val="Normal"/>
              <w:spacing w:before="40" w:after="40"/>
            </w:pPr>
            <w:r>
              <w:rPr>
                <w:b/>
                <w:sz w:val="18"/>
                <w:szCs w:val="18"/>
              </w:rPr>
              <w:t>Purdue/IPAI Computational Subtotal</w:t>
            </w:r>
          </w:p>
        </w:tc>
        <w:tc>
          <w:tcPr>
            <w:tcW w:w="1400" w:type="dxa"/>
          </w:tcPr>
          <w:p>
            <w:pPr>
              <w:pStyle w:val="Normal"/>
              <w:spacing w:before="40" w:after="40"/>
            </w:pPr>
            <w:r>
              <w:rPr>
                <w:sz w:val="18"/>
                <w:szCs w:val="18"/>
              </w:rPr>
              <w:t/>
            </w:r>
          </w:p>
        </w:tc>
        <w:tc>
          <w:tcPr>
            <w:tcW w:w="800" w:type="dxa"/>
          </w:tcPr>
          <w:p>
            <w:pPr>
              <w:pStyle w:val="Normal"/>
              <w:spacing w:before="40" w:after="40"/>
            </w:pPr>
            <w:r>
              <w:rPr>
                <w:sz w:val="18"/>
                <w:szCs w:val="18"/>
              </w:rPr>
              <w:t/>
            </w:r>
          </w:p>
        </w:tc>
        <w:tc>
          <w:tcPr>
            <w:tcW w:w="800" w:type="dxa"/>
          </w:tcPr>
          <w:p>
            <w:pPr>
              <w:pStyle w:val="Normal"/>
              <w:spacing w:before="40" w:after="40"/>
            </w:pPr>
            <w:r>
              <w:rPr>
                <w:sz w:val="18"/>
                <w:szCs w:val="18"/>
              </w:rPr>
              <w:t>~5.75 FTE</w:t>
            </w:r>
          </w:p>
        </w:tc>
        <w:tc>
          <w:tcPr>
            <w:tcW w:w="2860" w:type="dxa"/>
          </w:tcPr>
          <w:p>
            <w:pPr>
              <w:pStyle w:val="Normal"/>
              <w:spacing w:before="40" w:after="40"/>
            </w:pPr>
            <w:r>
              <w:rPr>
                <w:sz w:val="18"/>
                <w:szCs w:val="18"/>
              </w:rPr>
              <w:t>~$510,000/yr</w:t>
            </w:r>
          </w:p>
        </w:tc>
      </w:tr>
    </w:tbl>
    <w:p>
      <w:pPr>
        <w:pStyle w:val="Normal"/>
      </w:pPr>
    </w:p>
    <w:p>
      <w:pPr>
        <w:pStyle w:val="BodyText"/>
        <w:spacing w:before="100" w:after="60"/>
      </w:pPr>
      <w:r>
        <w:rPr>
          <w:b/>
          <w:i/>
        </w:rPr>
        <w:t>Purdue — Tegtmeyer lab (TA4-academic): ~3.75 FTE/year</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3500"/>
        <w:gridCol w:w="1400"/>
        <w:gridCol w:w="800"/>
        <w:gridCol w:w="800"/>
        <w:gridCol w:w="2860"/>
      </w:tblGrid>
      <w:tr>
        <w:trPr>
          <w:tblHeader/>
        </w:trPr>
        <w:tc>
          <w:tcPr>
            <w:tcW w:w="3500" w:type="dxa"/>
            <w:shd w:val="clear" w:color="auto" w:fill="D6E4F0"/>
          </w:tcPr>
          <w:p>
            <w:pPr>
              <w:pStyle w:val="Normal"/>
              <w:spacing w:before="40" w:after="40"/>
            </w:pPr>
            <w:r>
              <w:rPr>
                <w:b/>
                <w:sz w:val="18"/>
                <w:szCs w:val="18"/>
              </w:rPr>
              <w:t>Person / Role</w:t>
            </w:r>
          </w:p>
        </w:tc>
        <w:tc>
          <w:tcPr>
            <w:tcW w:w="1400" w:type="dxa"/>
            <w:shd w:val="clear" w:color="auto" w:fill="D6E4F0"/>
          </w:tcPr>
          <w:p>
            <w:pPr>
              <w:pStyle w:val="Normal"/>
              <w:spacing w:before="40" w:after="40"/>
            </w:pPr>
            <w:r>
              <w:rPr>
                <w:b/>
                <w:sz w:val="18"/>
                <w:szCs w:val="18"/>
              </w:rPr>
              <w:t>Appointment</w:t>
            </w:r>
          </w:p>
        </w:tc>
        <w:tc>
          <w:tcPr>
            <w:tcW w:w="800" w:type="dxa"/>
            <w:shd w:val="clear" w:color="auto" w:fill="D6E4F0"/>
          </w:tcPr>
          <w:p>
            <w:pPr>
              <w:pStyle w:val="Normal"/>
              <w:spacing w:before="40" w:after="40"/>
            </w:pPr>
            <w:r>
              <w:rPr>
                <w:b/>
                <w:sz w:val="18"/>
                <w:szCs w:val="18"/>
              </w:rPr>
              <w:t>PM/yr</w:t>
            </w:r>
          </w:p>
        </w:tc>
        <w:tc>
          <w:tcPr>
            <w:tcW w:w="800" w:type="dxa"/>
            <w:shd w:val="clear" w:color="auto" w:fill="D6E4F0"/>
          </w:tcPr>
          <w:p>
            <w:pPr>
              <w:pStyle w:val="Normal"/>
              <w:spacing w:before="40" w:after="40"/>
            </w:pPr>
            <w:r>
              <w:rPr>
                <w:b/>
                <w:sz w:val="18"/>
                <w:szCs w:val="18"/>
              </w:rPr>
              <w:t>FTE</w:t>
            </w:r>
          </w:p>
        </w:tc>
        <w:tc>
          <w:tcPr>
            <w:tcW w:w="2860" w:type="dxa"/>
            <w:shd w:val="clear" w:color="auto" w:fill="D6E4F0"/>
          </w:tcPr>
          <w:p>
            <w:pPr>
              <w:pStyle w:val="Normal"/>
              <w:spacing w:before="40" w:after="40"/>
            </w:pPr>
            <w:r>
              <w:rPr>
                <w:b/>
                <w:sz w:val="18"/>
                <w:szCs w:val="18"/>
              </w:rPr>
              <w:t>Loaded $/yr</w:t>
            </w:r>
          </w:p>
        </w:tc>
      </w:tr>
      <w:tr>
        <w:tc>
          <w:tcPr>
            <w:tcW w:w="3500" w:type="dxa"/>
          </w:tcPr>
          <w:p>
            <w:pPr>
              <w:pStyle w:val="Normal"/>
              <w:spacing w:before="40" w:after="40"/>
            </w:pPr>
            <w:r>
              <w:rPr>
                <w:sz w:val="18"/>
                <w:szCs w:val="18"/>
              </w:rPr>
              <w:t>Matthew Tegtmeyer, PhD (TA4-academic experimental lead; also TA1 disease-modeling contributor)</w:t>
            </w:r>
          </w:p>
        </w:tc>
        <w:tc>
          <w:tcPr>
            <w:tcW w:w="1400" w:type="dxa"/>
          </w:tcPr>
          <w:p>
            <w:pPr>
              <w:pStyle w:val="Normal"/>
              <w:spacing w:before="40" w:after="40"/>
            </w:pPr>
            <w:r>
              <w:rPr>
                <w:sz w:val="18"/>
                <w:szCs w:val="18"/>
              </w:rPr>
              <w:t>9-mo + 3 summer</w:t>
            </w:r>
          </w:p>
        </w:tc>
        <w:tc>
          <w:tcPr>
            <w:tcW w:w="800" w:type="dxa"/>
          </w:tcPr>
          <w:p>
            <w:pPr>
              <w:pStyle w:val="Normal"/>
              <w:spacing w:before="40" w:after="40"/>
            </w:pPr>
            <w:r>
              <w:rPr>
                <w:sz w:val="18"/>
                <w:szCs w:val="18"/>
              </w:rPr>
              <w:t>3</w:t>
            </w:r>
          </w:p>
        </w:tc>
        <w:tc>
          <w:tcPr>
            <w:tcW w:w="800" w:type="dxa"/>
          </w:tcPr>
          <w:p>
            <w:pPr>
              <w:pStyle w:val="Normal"/>
              <w:spacing w:before="40" w:after="40"/>
            </w:pPr>
            <w:r>
              <w:rPr>
                <w:sz w:val="18"/>
                <w:szCs w:val="18"/>
              </w:rPr>
              <w:t>0.25</w:t>
            </w:r>
          </w:p>
        </w:tc>
        <w:tc>
          <w:tcPr>
            <w:tcW w:w="2860" w:type="dxa"/>
          </w:tcPr>
          <w:p>
            <w:pPr>
              <w:pStyle w:val="Normal"/>
              <w:spacing w:before="40" w:after="40"/>
            </w:pPr>
            <w:r>
              <w:rPr>
                <w:sz w:val="18"/>
                <w:szCs w:val="18"/>
              </w:rPr>
              <w:t>~$55,000 (25% of ~$220K base, below cap)</w:t>
            </w:r>
          </w:p>
        </w:tc>
      </w:tr>
      <w:tr>
        <w:tc>
          <w:tcPr>
            <w:tcW w:w="3500" w:type="dxa"/>
          </w:tcPr>
          <w:p>
            <w:pPr>
              <w:pStyle w:val="Normal"/>
              <w:spacing w:before="40" w:after="40"/>
            </w:pPr>
            <w:r>
              <w:rPr>
                <w:sz w:val="18"/>
                <w:szCs w:val="18"/>
              </w:rPr>
              <w:t>Postdoc (TA4 iPSC-neuron wet-lab)</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~$80,000</w:t>
            </w:r>
          </w:p>
        </w:tc>
      </w:tr>
      <w:tr>
        <w:tc>
          <w:tcPr>
            <w:tcW w:w="3500" w:type="dxa"/>
          </w:tcPr>
          <w:p>
            <w:pPr>
              <w:pStyle w:val="Normal"/>
              <w:spacing w:before="40" w:after="40"/>
            </w:pPr>
            <w:r>
              <w:rPr>
                <w:sz w:val="18"/>
                <w:szCs w:val="18"/>
              </w:rPr>
              <w:t>Lab technician (wet-lab support, TA4)</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~$65,000</w:t>
            </w:r>
          </w:p>
        </w:tc>
      </w:tr>
      <w:tr>
        <w:tc>
          <w:tcPr>
            <w:tcW w:w="3500" w:type="dxa"/>
          </w:tcPr>
          <w:p>
            <w:pPr>
              <w:pStyle w:val="Normal"/>
              <w:spacing w:before="40" w:after="40"/>
            </w:pPr>
            <w:r>
              <w:rPr>
                <w:sz w:val="18"/>
                <w:szCs w:val="18"/>
              </w:rPr>
              <w:t>Senior research scientist (TA4 assay methods)</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~$85,000</w:t>
            </w:r>
          </w:p>
        </w:tc>
      </w:tr>
      <w:tr>
        <w:tc>
          <w:tcPr>
            <w:tcW w:w="3500" w:type="dxa"/>
          </w:tcPr>
          <w:p>
            <w:pPr>
              <w:pStyle w:val="Normal"/>
              <w:spacing w:before="40" w:after="40"/>
            </w:pPr>
            <w:r>
              <w:rPr>
                <w:b/>
                <w:sz w:val="18"/>
                <w:szCs w:val="18"/>
              </w:rPr>
              <w:t>Purdue Tegtmeyer lab Subtotal</w:t>
            </w:r>
          </w:p>
        </w:tc>
        <w:tc>
          <w:tcPr>
            <w:tcW w:w="1400" w:type="dxa"/>
          </w:tcPr>
          <w:p>
            <w:pPr>
              <w:pStyle w:val="Normal"/>
              <w:spacing w:before="40" w:after="40"/>
            </w:pPr>
            <w:r>
              <w:rPr>
                <w:sz w:val="18"/>
                <w:szCs w:val="18"/>
              </w:rPr>
              <w:t/>
            </w:r>
          </w:p>
        </w:tc>
        <w:tc>
          <w:tcPr>
            <w:tcW w:w="800" w:type="dxa"/>
          </w:tcPr>
          <w:p>
            <w:pPr>
              <w:pStyle w:val="Normal"/>
              <w:spacing w:before="40" w:after="40"/>
            </w:pPr>
            <w:r>
              <w:rPr>
                <w:sz w:val="18"/>
                <w:szCs w:val="18"/>
              </w:rPr>
              <w:t/>
            </w:r>
          </w:p>
        </w:tc>
        <w:tc>
          <w:tcPr>
            <w:tcW w:w="800" w:type="dxa"/>
          </w:tcPr>
          <w:p>
            <w:pPr>
              <w:pStyle w:val="Normal"/>
              <w:spacing w:before="40" w:after="40"/>
            </w:pPr>
            <w:r>
              <w:rPr>
                <w:sz w:val="18"/>
                <w:szCs w:val="18"/>
              </w:rPr>
              <w:t>~3.75 FTE</w:t>
            </w:r>
          </w:p>
        </w:tc>
        <w:tc>
          <w:tcPr>
            <w:tcW w:w="2860" w:type="dxa"/>
          </w:tcPr>
          <w:p>
            <w:pPr>
              <w:pStyle w:val="Normal"/>
              <w:spacing w:before="40" w:after="40"/>
            </w:pPr>
            <w:r>
              <w:rPr>
                <w:sz w:val="18"/>
                <w:szCs w:val="18"/>
              </w:rPr>
              <w:t>~$285,000/yr</w:t>
            </w:r>
          </w:p>
        </w:tc>
      </w:tr>
    </w:tbl>
    <w:p>
      <w:pPr>
        <w:pStyle w:val="Normal"/>
      </w:pPr>
    </w:p>
    <w:p>
      <w:pPr>
        <w:pStyle w:val="BodyText"/>
        <w:spacing w:before="100" w:after="60"/>
      </w:pPr>
      <w:r>
        <w:rPr>
          <w:b/>
          <w:i/>
        </w:rPr>
        <w:t>Cytognosis Foundation (Sub): ~5.5 FTE/year</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3500"/>
        <w:gridCol w:w="1400"/>
        <w:gridCol w:w="800"/>
        <w:gridCol w:w="800"/>
        <w:gridCol w:w="2860"/>
      </w:tblGrid>
      <w:tr>
        <w:trPr>
          <w:tblHeader/>
        </w:trPr>
        <w:tc>
          <w:tcPr>
            <w:tcW w:w="3500" w:type="dxa"/>
            <w:shd w:val="clear" w:color="auto" w:fill="D6E4F0"/>
          </w:tcPr>
          <w:p>
            <w:pPr>
              <w:pStyle w:val="Normal"/>
              <w:spacing w:before="40" w:after="40"/>
            </w:pPr>
            <w:r>
              <w:rPr>
                <w:b/>
                <w:sz w:val="18"/>
                <w:szCs w:val="18"/>
              </w:rPr>
              <w:t>Person / Role</w:t>
            </w:r>
          </w:p>
        </w:tc>
        <w:tc>
          <w:tcPr>
            <w:tcW w:w="1400" w:type="dxa"/>
            <w:shd w:val="clear" w:color="auto" w:fill="D6E4F0"/>
          </w:tcPr>
          <w:p>
            <w:pPr>
              <w:pStyle w:val="Normal"/>
              <w:spacing w:before="40" w:after="40"/>
            </w:pPr>
            <w:r>
              <w:rPr>
                <w:b/>
                <w:sz w:val="18"/>
                <w:szCs w:val="18"/>
              </w:rPr>
              <w:t>Appointment</w:t>
            </w:r>
          </w:p>
        </w:tc>
        <w:tc>
          <w:tcPr>
            <w:tcW w:w="800" w:type="dxa"/>
            <w:shd w:val="clear" w:color="auto" w:fill="D6E4F0"/>
          </w:tcPr>
          <w:p>
            <w:pPr>
              <w:pStyle w:val="Normal"/>
              <w:spacing w:before="40" w:after="40"/>
            </w:pPr>
            <w:r>
              <w:rPr>
                <w:b/>
                <w:sz w:val="18"/>
                <w:szCs w:val="18"/>
              </w:rPr>
              <w:t>PM/yr</w:t>
            </w:r>
          </w:p>
        </w:tc>
        <w:tc>
          <w:tcPr>
            <w:tcW w:w="800" w:type="dxa"/>
            <w:shd w:val="clear" w:color="auto" w:fill="D6E4F0"/>
          </w:tcPr>
          <w:p>
            <w:pPr>
              <w:pStyle w:val="Normal"/>
              <w:spacing w:before="40" w:after="40"/>
            </w:pPr>
            <w:r>
              <w:rPr>
                <w:b/>
                <w:sz w:val="18"/>
                <w:szCs w:val="18"/>
              </w:rPr>
              <w:t>FTE</w:t>
            </w:r>
          </w:p>
        </w:tc>
        <w:tc>
          <w:tcPr>
            <w:tcW w:w="2860" w:type="dxa"/>
            <w:shd w:val="clear" w:color="auto" w:fill="D6E4F0"/>
          </w:tcPr>
          <w:p>
            <w:pPr>
              <w:pStyle w:val="Normal"/>
              <w:spacing w:before="40" w:after="40"/>
            </w:pPr>
            <w:r>
              <w:rPr>
                <w:b/>
                <w:sz w:val="18"/>
                <w:szCs w:val="18"/>
              </w:rPr>
              <w:t>Loaded $/yr</w:t>
            </w:r>
          </w:p>
        </w:tc>
      </w:tr>
      <w:tr>
        <w:tc>
          <w:tcPr>
            <w:tcW w:w="3500" w:type="dxa"/>
          </w:tcPr>
          <w:p>
            <w:pPr>
              <w:pStyle w:val="Normal"/>
              <w:spacing w:before="40" w:after="40"/>
            </w:pPr>
            <w:r>
              <w:rPr>
                <w:sz w:val="18"/>
                <w:szCs w:val="18"/>
              </w:rPr>
              <w:t>Shahin Mohammadi, PhD (TA1/TA2 lead; CEO)</w:t>
            </w:r>
          </w:p>
        </w:tc>
        <w:tc>
          <w:tcPr>
            <w:tcW w:w="1400" w:type="dxa"/>
          </w:tcPr>
          <w:p>
            <w:pPr>
              <w:pStyle w:val="Normal"/>
              <w:spacing w:before="40" w:after="40"/>
            </w:pPr>
            <w:r>
              <w:rPr>
                <w:sz w:val="18"/>
                <w:szCs w:val="18"/>
              </w:rPr>
              <w:t>12-mo, nonprofit</w:t>
            </w:r>
          </w:p>
        </w:tc>
        <w:tc>
          <w:tcPr>
            <w:tcW w:w="800" w:type="dxa"/>
          </w:tcPr>
          <w:p>
            <w:pPr>
              <w:pStyle w:val="Normal"/>
              <w:spacing w:before="40" w:after="40"/>
            </w:pPr>
            <w:r>
              <w:rPr>
                <w:sz w:val="18"/>
                <w:szCs w:val="18"/>
              </w:rPr>
              <w:t>6</w:t>
            </w:r>
          </w:p>
        </w:tc>
        <w:tc>
          <w:tcPr>
            <w:tcW w:w="800" w:type="dxa"/>
          </w:tcPr>
          <w:p>
            <w:pPr>
              <w:pStyle w:val="Normal"/>
              <w:spacing w:before="40" w:after="40"/>
            </w:pPr>
            <w:r>
              <w:rPr>
                <w:sz w:val="18"/>
                <w:szCs w:val="18"/>
              </w:rPr>
              <w:t>0.5</w:t>
            </w:r>
          </w:p>
        </w:tc>
        <w:tc>
          <w:tcPr>
            <w:tcW w:w="2860" w:type="dxa"/>
          </w:tcPr>
          <w:p>
            <w:pPr>
              <w:pStyle w:val="Normal"/>
              <w:spacing w:before="40" w:after="40"/>
            </w:pPr>
            <w:r>
              <w:rPr>
                <w:sz w:val="18"/>
                <w:szCs w:val="18"/>
              </w:rPr>
              <w:t>~$140,000 (Rung-1 cap base $228K x 0.5 FTE base; + fringe + 15% de minimis OH; [rate pending comp finalization])</w:t>
            </w:r>
          </w:p>
        </w:tc>
      </w:tr>
      <w:tr>
        <w:tc>
          <w:tcPr>
            <w:tcW w:w="3500" w:type="dxa"/>
          </w:tcPr>
          <w:p>
            <w:pPr>
              <w:pStyle w:val="Normal"/>
              <w:spacing w:before="40" w:after="40"/>
            </w:pPr>
            <w:r>
              <w:rPr>
                <w:sz w:val="18"/>
                <w:szCs w:val="18"/>
              </w:rPr>
              <w:t>Patricia Purcell (Project Manager, part-time/hourly)</w:t>
            </w:r>
          </w:p>
        </w:tc>
        <w:tc>
          <w:tcPr>
            <w:tcW w:w="1400" w:type="dxa"/>
          </w:tcPr>
          <w:p>
            <w:pPr>
              <w:pStyle w:val="Normal"/>
              <w:spacing w:before="40" w:after="40"/>
            </w:pPr>
            <w:r>
              <w:rPr>
                <w:sz w:val="18"/>
                <w:szCs w:val="18"/>
              </w:rPr>
              <w:t>Hourly</w:t>
            </w:r>
          </w:p>
        </w:tc>
        <w:tc>
          <w:tcPr>
            <w:tcW w:w="800" w:type="dxa"/>
          </w:tcPr>
          <w:p>
            <w:pPr>
              <w:pStyle w:val="Normal"/>
              <w:spacing w:before="40" w:after="40"/>
            </w:pPr>
            <w:r>
              <w:rPr>
                <w:sz w:val="18"/>
                <w:szCs w:val="18"/>
              </w:rPr>
              <w:t>—</w:t>
            </w:r>
          </w:p>
        </w:tc>
        <w:tc>
          <w:tcPr>
            <w:tcW w:w="800" w:type="dxa"/>
          </w:tcPr>
          <w:p>
            <w:pPr>
              <w:pStyle w:val="Normal"/>
              <w:spacing w:before="40" w:after="40"/>
            </w:pPr>
            <w:r>
              <w:rPr>
                <w:sz w:val="18"/>
                <w:szCs w:val="18"/>
              </w:rPr>
              <w:t>~0.2</w:t>
            </w:r>
          </w:p>
        </w:tc>
        <w:tc>
          <w:tcPr>
            <w:tcW w:w="2860" w:type="dxa"/>
          </w:tcPr>
          <w:p>
            <w:pPr>
              <w:pStyle w:val="Normal"/>
              <w:spacing w:before="40" w:after="40"/>
            </w:pPr>
            <w:r>
              <w:rPr>
                <w:sz w:val="18"/>
                <w:szCs w:val="18"/>
              </w:rPr>
              <w:t>~$80,000 (~400 hrs/yr at ~$200/hr loaded)</w:t>
            </w:r>
          </w:p>
        </w:tc>
      </w:tr>
      <w:tr>
        <w:tc>
          <w:tcPr>
            <w:tcW w:w="3500" w:type="dxa"/>
          </w:tcPr>
          <w:p>
            <w:pPr>
              <w:pStyle w:val="Normal"/>
              <w:spacing w:before="40" w:after="40"/>
            </w:pPr>
            <w:r>
              <w:rPr>
                <w:sz w:val="18"/>
                <w:szCs w:val="18"/>
              </w:rPr>
              <w:t>Software and Systems Architect (planned Cytognosis hire; Elham Jebalbarezi Sarbijan (IPAI) interim)</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~$250,000 loaded</w:t>
            </w:r>
          </w:p>
        </w:tc>
      </w:tr>
      <w:tr>
        <w:tc>
          <w:tcPr>
            <w:tcW w:w="3500" w:type="dxa"/>
          </w:tcPr>
          <w:p>
            <w:pPr>
              <w:pStyle w:val="Normal"/>
              <w:spacing w:before="40" w:after="40"/>
            </w:pPr>
            <w:r>
              <w:rPr>
                <w:sz w:val="18"/>
                <w:szCs w:val="18"/>
              </w:rPr>
              <w:t>Senior ML/AI Engineer (TA2)</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~$260,000 loaded</w:t>
            </w:r>
          </w:p>
        </w:tc>
      </w:tr>
      <w:tr>
        <w:tc>
          <w:tcPr>
            <w:tcW w:w="3500" w:type="dxa"/>
          </w:tcPr>
          <w:p>
            <w:pPr>
              <w:pStyle w:val="Normal"/>
              <w:spacing w:before="40" w:after="40"/>
            </w:pPr>
            <w:r>
              <w:rPr>
                <w:sz w:val="18"/>
                <w:szCs w:val="18"/>
              </w:rPr>
              <w:t>ML Research Scientist (TA1/TA2)</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~$240,000 loaded</w:t>
            </w:r>
          </w:p>
        </w:tc>
      </w:tr>
      <w:tr>
        <w:tc>
          <w:tcPr>
            <w:tcW w:w="3500" w:type="dxa"/>
          </w:tcPr>
          <w:p>
            <w:pPr>
              <w:pStyle w:val="Normal"/>
              <w:spacing w:before="40" w:after="40"/>
            </w:pPr>
            <w:r>
              <w:rPr>
                <w:sz w:val="18"/>
                <w:szCs w:val="18"/>
              </w:rPr>
              <w:t>Computational Biologist #1 (TA1)</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~$210,000 loaded</w:t>
            </w:r>
          </w:p>
        </w:tc>
      </w:tr>
      <w:tr>
        <w:tc>
          <w:tcPr>
            <w:tcW w:w="3500" w:type="dxa"/>
          </w:tcPr>
          <w:p>
            <w:pPr>
              <w:pStyle w:val="Normal"/>
              <w:spacing w:before="40" w:after="40"/>
            </w:pPr>
            <w:r>
              <w:rPr>
                <w:sz w:val="18"/>
                <w:szCs w:val="18"/>
              </w:rPr>
              <w:t>Computational Biologist #2 (TA1)</w:t>
            </w:r>
          </w:p>
        </w:tc>
        <w:tc>
          <w:tcPr>
            <w:tcW w:w="1400" w:type="dxa"/>
          </w:tcPr>
          <w:p>
            <w:pPr>
              <w:pStyle w:val="Normal"/>
              <w:spacing w:before="40" w:after="40"/>
            </w:pPr>
            <w:r>
              <w:rPr>
                <w:sz w:val="18"/>
                <w:szCs w:val="18"/>
              </w:rPr>
              <w:t>12-mo staff</w:t>
            </w:r>
          </w:p>
        </w:tc>
        <w:tc>
          <w:tcPr>
            <w:tcW w:w="800" w:type="dxa"/>
          </w:tcPr>
          <w:p>
            <w:pPr>
              <w:pStyle w:val="Normal"/>
              <w:spacing w:before="40" w:after="40"/>
            </w:pPr>
            <w:r>
              <w:rPr>
                <w:sz w:val="18"/>
                <w:szCs w:val="18"/>
              </w:rPr>
              <w:t>12</w:t>
            </w:r>
          </w:p>
        </w:tc>
        <w:tc>
          <w:tcPr>
            <w:tcW w:w="800" w:type="dxa"/>
          </w:tcPr>
          <w:p>
            <w:pPr>
              <w:pStyle w:val="Normal"/>
              <w:spacing w:before="40" w:after="40"/>
            </w:pPr>
            <w:r>
              <w:rPr>
                <w:sz w:val="18"/>
                <w:szCs w:val="18"/>
              </w:rPr>
              <w:t>1.0</w:t>
            </w:r>
          </w:p>
        </w:tc>
        <w:tc>
          <w:tcPr>
            <w:tcW w:w="2860" w:type="dxa"/>
          </w:tcPr>
          <w:p>
            <w:pPr>
              <w:pStyle w:val="Normal"/>
              <w:spacing w:before="40" w:after="40"/>
            </w:pPr>
            <w:r>
              <w:rPr>
                <w:sz w:val="18"/>
                <w:szCs w:val="18"/>
              </w:rPr>
              <w:t>~$210,000 loaded</w:t>
            </w:r>
          </w:p>
        </w:tc>
      </w:tr>
      <w:tr>
        <w:tc>
          <w:tcPr>
            <w:tcW w:w="3500" w:type="dxa"/>
          </w:tcPr>
          <w:p>
            <w:pPr>
              <w:pStyle w:val="Normal"/>
              <w:spacing w:before="40" w:after="40"/>
            </w:pPr>
            <w:r>
              <w:rPr>
                <w:b/>
                <w:sz w:val="18"/>
                <w:szCs w:val="18"/>
              </w:rPr>
              <w:t>Cytognosis Personnel Subtotal</w:t>
            </w:r>
          </w:p>
        </w:tc>
        <w:tc>
          <w:tcPr>
            <w:tcW w:w="1400" w:type="dxa"/>
          </w:tcPr>
          <w:p>
            <w:pPr>
              <w:pStyle w:val="Normal"/>
              <w:spacing w:before="40" w:after="40"/>
            </w:pPr>
            <w:r>
              <w:rPr>
                <w:sz w:val="18"/>
                <w:szCs w:val="18"/>
              </w:rPr>
              <w:t/>
            </w:r>
          </w:p>
        </w:tc>
        <w:tc>
          <w:tcPr>
            <w:tcW w:w="800" w:type="dxa"/>
          </w:tcPr>
          <w:p>
            <w:pPr>
              <w:pStyle w:val="Normal"/>
              <w:spacing w:before="40" w:after="40"/>
            </w:pPr>
            <w:r>
              <w:rPr>
                <w:sz w:val="18"/>
                <w:szCs w:val="18"/>
              </w:rPr>
              <w:t/>
            </w:r>
          </w:p>
        </w:tc>
        <w:tc>
          <w:tcPr>
            <w:tcW w:w="800" w:type="dxa"/>
          </w:tcPr>
          <w:p>
            <w:pPr>
              <w:pStyle w:val="Normal"/>
              <w:spacing w:before="40" w:after="40"/>
            </w:pPr>
            <w:r>
              <w:rPr>
                <w:sz w:val="18"/>
                <w:szCs w:val="18"/>
              </w:rPr>
              <w:t>~5.7 FTE</w:t>
            </w:r>
          </w:p>
        </w:tc>
        <w:tc>
          <w:tcPr>
            <w:tcW w:w="2860" w:type="dxa"/>
          </w:tcPr>
          <w:p>
            <w:pPr>
              <w:pStyle w:val="Normal"/>
              <w:spacing w:before="40" w:after="40"/>
            </w:pPr>
            <w:r>
              <w:rPr>
                <w:sz w:val="18"/>
                <w:szCs w:val="18"/>
              </w:rPr>
              <w:t>~$1,390,000/yr</w:t>
            </w:r>
          </w:p>
        </w:tc>
      </w:tr>
    </w:tbl>
    <w:p>
      <w:pPr>
        <w:pStyle w:val="Normal"/>
        <w:spacing w:before="0" w:after="120"/>
      </w:pPr>
      <w:r>
        <w:t>Patricia Purcell (Project Manager): ISO (Appendix A §5.5) requires a named PM. Purcell serves part-time/hourly (~400 hrs/yr at ~$200/hr loaded = ~$80K/yr). Charged through Cytognosis. Total 5-year PM cost: ~$400,000. Will be reclassified to Direct Labor at submission with confirmed hourly rate.</w:t>
      </w:r>
    </w:p>
    <w:p>
      <w:pPr>
        <w:pStyle w:val="Normal"/>
      </w:pPr>
    </w:p>
    <w:p>
      <w:pPr>
        <w:pStyle w:val="BodyText"/>
        <w:spacing w:before="100" w:after="60"/>
      </w:pPr>
      <w:r>
        <w:rPr>
          <w:b/>
          <w:i/>
        </w:rPr>
        <w:t>SIFT (Sub): 24,204 labor hours over 5 years; Dan Bryce lead (70%), Robert Goldman advisor (30%)</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4680"/>
        <w:gridCol w:w="4680"/>
      </w:tblGrid>
      <w:tr>
        <w:trPr>
          <w:tblHeader/>
        </w:trPr>
        <w:tc>
          <w:tcPr>
            <w:tcW w:w="4680" w:type="dxa"/>
            <w:shd w:val="clear" w:color="auto" w:fill="D6E4F0"/>
          </w:tcPr>
          <w:p>
            <w:pPr>
              <w:pStyle w:val="Normal"/>
              <w:spacing w:before="40" w:after="40"/>
            </w:pPr>
            <w:r>
              <w:rPr>
                <w:b/>
                <w:sz w:val="18"/>
                <w:szCs w:val="18"/>
              </w:rPr>
              <w:t>Category</w:t>
            </w:r>
          </w:p>
        </w:tc>
        <w:tc>
          <w:tcPr>
            <w:tcW w:w="4680" w:type="dxa"/>
            <w:shd w:val="clear" w:color="auto" w:fill="D6E4F0"/>
          </w:tcPr>
          <w:p>
            <w:pPr>
              <w:pStyle w:val="Normal"/>
              <w:spacing w:before="40" w:after="40"/>
            </w:pPr>
            <w:r>
              <w:rPr>
                <w:b/>
                <w:sz w:val="18"/>
                <w:szCs w:val="18"/>
              </w:rPr>
              <w:t>Dan's confirmed figure</w:t>
            </w:r>
          </w:p>
        </w:tc>
      </w:tr>
      <w:tr>
        <w:tc>
          <w:tcPr>
            <w:tcW w:w="4680" w:type="dxa"/>
          </w:tcPr>
          <w:p>
            <w:pPr>
              <w:pStyle w:val="Normal"/>
              <w:spacing w:before="40" w:after="40"/>
            </w:pPr>
            <w:r>
              <w:rPr>
                <w:sz w:val="18"/>
                <w:szCs w:val="18"/>
              </w:rPr>
              <w:t>Direct Labor (fully burdened)</w:t>
            </w:r>
          </w:p>
        </w:tc>
        <w:tc>
          <w:tcPr>
            <w:tcW w:w="4680" w:type="dxa"/>
          </w:tcPr>
          <w:p>
            <w:pPr>
              <w:pStyle w:val="Normal"/>
              <w:spacing w:before="40" w:after="40"/>
            </w:pPr>
            <w:r>
              <w:rPr>
                <w:sz w:val="18"/>
                <w:szCs w:val="18"/>
              </w:rPr>
              <w:t>$4,094,437</w:t>
            </w:r>
          </w:p>
        </w:tc>
      </w:tr>
      <w:tr>
        <w:tc>
          <w:tcPr>
            <w:tcW w:w="4680" w:type="dxa"/>
          </w:tcPr>
          <w:p>
            <w:pPr>
              <w:pStyle w:val="Normal"/>
              <w:spacing w:before="40" w:after="40"/>
            </w:pPr>
            <w:r>
              <w:rPr>
                <w:sz w:val="18"/>
                <w:szCs w:val="18"/>
              </w:rPr>
              <w:t>Indirect Costs</w:t>
            </w:r>
          </w:p>
        </w:tc>
        <w:tc>
          <w:tcPr>
            <w:tcW w:w="4680" w:type="dxa"/>
          </w:tcPr>
          <w:p>
            <w:pPr>
              <w:pStyle w:val="Normal"/>
              <w:spacing w:before="40" w:after="40"/>
            </w:pPr>
            <w:r>
              <w:rPr>
                <w:sz w:val="18"/>
                <w:szCs w:val="18"/>
              </w:rPr>
              <w:t>$2,199,941</w:t>
            </w:r>
          </w:p>
        </w:tc>
      </w:tr>
      <w:tr>
        <w:tc>
          <w:tcPr>
            <w:tcW w:w="4680" w:type="dxa"/>
          </w:tcPr>
          <w:p>
            <w:pPr>
              <w:pStyle w:val="Normal"/>
              <w:spacing w:before="40" w:after="40"/>
            </w:pPr>
            <w:r>
              <w:rPr>
                <w:sz w:val="18"/>
                <w:szCs w:val="18"/>
              </w:rPr>
              <w:t>Travel</w:t>
            </w:r>
          </w:p>
        </w:tc>
        <w:tc>
          <w:tcPr>
            <w:tcW w:w="4680" w:type="dxa"/>
          </w:tcPr>
          <w:p>
            <w:pPr>
              <w:pStyle w:val="Normal"/>
              <w:spacing w:before="40" w:after="40"/>
            </w:pPr>
            <w:r>
              <w:rPr>
                <w:sz w:val="18"/>
                <w:szCs w:val="18"/>
              </w:rPr>
              <w:t>$69,747</w:t>
            </w:r>
          </w:p>
        </w:tc>
      </w:tr>
      <w:tr>
        <w:tc>
          <w:tcPr>
            <w:tcW w:w="4680" w:type="dxa"/>
          </w:tcPr>
          <w:p>
            <w:pPr>
              <w:pStyle w:val="Normal"/>
              <w:spacing w:before="40" w:after="40"/>
            </w:pPr>
            <w:r>
              <w:rPr>
                <w:sz w:val="18"/>
                <w:szCs w:val="18"/>
              </w:rPr>
              <w:t>Profit / Fee</w:t>
            </w:r>
          </w:p>
        </w:tc>
        <w:tc>
          <w:tcPr>
            <w:tcW w:w="4680" w:type="dxa"/>
          </w:tcPr>
          <w:p>
            <w:pPr>
              <w:pStyle w:val="Normal"/>
              <w:spacing w:before="40" w:after="40"/>
            </w:pPr>
            <w:r>
              <w:rPr>
                <w:sz w:val="18"/>
                <w:szCs w:val="18"/>
              </w:rPr>
              <w:t>$636,412</w:t>
            </w:r>
          </w:p>
        </w:tc>
      </w:tr>
      <w:tr>
        <w:tc>
          <w:tcPr>
            <w:tcW w:w="4680" w:type="dxa"/>
          </w:tcPr>
          <w:p>
            <w:pPr>
              <w:pStyle w:val="Normal"/>
              <w:spacing w:before="40" w:after="40"/>
            </w:pPr>
            <w:r>
              <w:rPr>
                <w:b/>
                <w:sz w:val="18"/>
                <w:szCs w:val="18"/>
              </w:rPr>
              <w:t>Total</w:t>
            </w:r>
          </w:p>
        </w:tc>
        <w:tc>
          <w:tcPr>
            <w:tcW w:w="4680" w:type="dxa"/>
          </w:tcPr>
          <w:p>
            <w:pPr>
              <w:pStyle w:val="Normal"/>
              <w:spacing w:before="40" w:after="40"/>
            </w:pPr>
            <w:r>
              <w:rPr>
                <w:sz w:val="18"/>
                <w:szCs w:val="18"/>
              </w:rPr>
              <w:t>~$7,000,537 (~$7.0M)</w:t>
            </w:r>
          </w:p>
        </w:tc>
      </w:tr>
    </w:tbl>
    <w:p>
      <w:pPr>
        <w:pStyle w:val="Normal"/>
        <w:spacing w:before="0" w:after="120"/>
      </w:pPr>
      <w:r>
        <w:rPr>
          <w:i/>
        </w:rPr>
        <w:t>SIFT builds on its XPlan experimental planner (DARPA SD2) for TA2-TA3 and leads TA3 (LabOP backbone). Note: SIFT operates as a scoped VOI layer under Cytognosis+IPAI TA2 co-lead; SIFT does not co-lead TA2. [SIFT draft, pending Dan's revision.]</w:t>
      </w:r>
    </w:p>
    <w:p>
      <w:pPr>
        <w:pStyle w:val="Normal"/>
      </w:pPr>
    </w:p>
    <w:p>
      <w:pPr>
        <w:pStyle w:val="BodyText"/>
        <w:spacing w:before="100" w:after="60"/>
      </w:pPr>
      <w:r>
        <w:rPr>
          <w:b/>
          <w:i/>
        </w:rPr>
        <w:t>McLean / HMS (Sub): ~0.2 FTE/year, ~$70,000/year</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4360"/>
        <w:gridCol w:w="1400"/>
        <w:gridCol w:w="1200"/>
        <w:gridCol w:w="2400"/>
      </w:tblGrid>
      <w:tr>
        <w:trPr>
          <w:tblHeader/>
        </w:trPr>
        <w:tc>
          <w:tcPr>
            <w:tcW w:w="4360" w:type="dxa"/>
            <w:shd w:val="clear" w:color="auto" w:fill="D6E4F0"/>
          </w:tcPr>
          <w:p>
            <w:pPr>
              <w:pStyle w:val="Normal"/>
              <w:spacing w:before="40" w:after="40"/>
            </w:pPr>
            <w:r>
              <w:rPr>
                <w:b/>
                <w:sz w:val="18"/>
                <w:szCs w:val="18"/>
              </w:rPr>
              <w:t>Person / Role</w:t>
            </w:r>
          </w:p>
        </w:tc>
        <w:tc>
          <w:tcPr>
            <w:tcW w:w="1400" w:type="dxa"/>
            <w:shd w:val="clear" w:color="auto" w:fill="D6E4F0"/>
          </w:tcPr>
          <w:p>
            <w:pPr>
              <w:pStyle w:val="Normal"/>
              <w:spacing w:before="40" w:after="40"/>
            </w:pPr>
            <w:r>
              <w:rPr>
                <w:b/>
                <w:sz w:val="18"/>
                <w:szCs w:val="18"/>
              </w:rPr>
              <w:t>PM/yr</w:t>
            </w:r>
          </w:p>
        </w:tc>
        <w:tc>
          <w:tcPr>
            <w:tcW w:w="1200" w:type="dxa"/>
            <w:shd w:val="clear" w:color="auto" w:fill="D6E4F0"/>
          </w:tcPr>
          <w:p>
            <w:pPr>
              <w:pStyle w:val="Normal"/>
              <w:spacing w:before="40" w:after="40"/>
            </w:pPr>
            <w:r>
              <w:rPr>
                <w:b/>
                <w:sz w:val="18"/>
                <w:szCs w:val="18"/>
              </w:rPr>
              <w:t>FTE</w:t>
            </w:r>
          </w:p>
        </w:tc>
        <w:tc>
          <w:tcPr>
            <w:tcW w:w="2400" w:type="dxa"/>
            <w:shd w:val="clear" w:color="auto" w:fill="D6E4F0"/>
          </w:tcPr>
          <w:p>
            <w:pPr>
              <w:pStyle w:val="Normal"/>
              <w:spacing w:before="40" w:after="40"/>
            </w:pPr>
            <w:r>
              <w:rPr>
                <w:b/>
                <w:sz w:val="18"/>
                <w:szCs w:val="18"/>
              </w:rPr>
              <w:t>Loaded $/yr</w:t>
            </w:r>
          </w:p>
        </w:tc>
      </w:tr>
      <w:tr>
        <w:tc>
          <w:tcPr>
            <w:tcW w:w="4360" w:type="dxa"/>
          </w:tcPr>
          <w:p>
            <w:pPr>
              <w:pStyle w:val="Normal"/>
              <w:spacing w:before="40" w:after="40"/>
            </w:pPr>
            <w:r>
              <w:rPr>
                <w:sz w:val="18"/>
                <w:szCs w:val="18"/>
              </w:rPr>
              <w:t>W. Brad Ruzicka, MD/PhD (clinical co-lead)</w:t>
            </w:r>
          </w:p>
        </w:tc>
        <w:tc>
          <w:tcPr>
            <w:tcW w:w="1400" w:type="dxa"/>
          </w:tcPr>
          <w:p>
            <w:pPr>
              <w:pStyle w:val="Normal"/>
              <w:spacing w:before="40" w:after="40"/>
            </w:pPr>
            <w:r>
              <w:rPr>
                <w:sz w:val="18"/>
                <w:szCs w:val="18"/>
              </w:rPr>
              <w:t>2-3</w:t>
            </w:r>
          </w:p>
        </w:tc>
        <w:tc>
          <w:tcPr>
            <w:tcW w:w="1200" w:type="dxa"/>
          </w:tcPr>
          <w:p>
            <w:pPr>
              <w:pStyle w:val="Normal"/>
              <w:spacing w:before="40" w:after="40"/>
            </w:pPr>
            <w:r>
              <w:rPr>
                <w:sz w:val="18"/>
                <w:szCs w:val="18"/>
              </w:rPr>
              <w:t>0.17-0.25</w:t>
            </w:r>
          </w:p>
        </w:tc>
        <w:tc>
          <w:tcPr>
            <w:tcW w:w="2400" w:type="dxa"/>
          </w:tcPr>
          <w:p>
            <w:pPr>
              <w:pStyle w:val="Normal"/>
              <w:spacing w:before="40" w:after="40"/>
            </w:pPr>
            <w:r>
              <w:rPr>
                <w:sz w:val="18"/>
                <w:szCs w:val="18"/>
              </w:rPr>
              <w:t>~$70,000 (loaded with HMS F&amp;A); $228K x 0.20 FTE = ~$45,600 ARPA-H salary; HMS covers remainder of ~$250K base</w:t>
            </w:r>
          </w:p>
        </w:tc>
      </w:tr>
    </w:tbl>
    <w:p>
      <w:pPr>
        <w:pStyle w:val="Normal"/>
        <w:spacing w:before="0" w:after="120"/>
      </w:pPr>
      <w:r>
        <w:t>No new human subjects research. Uses existing cohort data under originating IRB and NIH GDS policy. 5-year total: ~$0.7M.</w:t>
      </w:r>
    </w:p>
    <w:p>
      <w:pPr>
        <w:pStyle w:val="Normal"/>
      </w:pPr>
    </w:p>
    <w:p>
      <w:pPr>
        <w:pStyle w:val="Normal"/>
        <w:spacing w:before="0" w:after="120"/>
      </w:pPr>
      <w:r>
        <w:t>Duane Valz (legal/IP consultant; not key personnel): Outside counsel for IP strategy, OT/Other-Transaction agreement review, data-use and IP-flow governance, field-of-use splits; billed through Cytognosis. Rate ~$750/hr x ~150-300 hrs total = $200,000 over 5 years. [FLAG Duane for scope/rate confirmation; FLAG Ananth for financial verification.]</w:t>
      </w:r>
    </w:p>
    <w:p>
      <w:pPr>
        <w:pStyle w:val="Normal"/>
        <w:spacing w:before="0" w:after="120"/>
      </w:pPr>
      <w:r>
        <w:t>Cellanome (Sub): Personnel + R3200 instrument time embedded in sub total. Operating model (RENT-and-we-run base; R3200 in-lab vs. send-out opex) TBD pending BD quote. 5-year total: $6.0M. [FLAG: pending Cellanome BD + Psomagen quotes.]</w:t>
      </w:r>
    </w:p>
    <w:p>
      <w:pPr>
        <w:pStyle w:val="Normal"/>
        <w:spacing w:before="0" w:after="120"/>
      </w:pPr>
      <w:r>
        <w:t>Carpenter computational continuity within the IPAI/Purdue prime (no separate Broad sub-award): Anne Carpenter's TA1 co-lead scope (code, models, analysis continuity) is fully in-house at IPAI/Purdue. There is no standalone Broad sub-award. The JUMP Cell Painting open dataset (~$0.15M in-kind) is a public Broad open-data resource (Section 5), independent of Anne's employment at Purdue.</w:t>
      </w:r>
    </w:p>
    <w:p>
      <w:pPr>
        <w:pStyle w:val="Normal"/>
      </w:pPr>
    </w:p>
    <w:p>
      <w:pPr>
        <w:pStyle w:val="BodyText"/>
        <w:spacing w:before="160" w:after="80"/>
      </w:pPr>
      <w:r>
        <w:rPr>
          <w:b/>
          <w:sz w:val="22"/>
        </w:rPr>
        <w:t>Program-Wide FTE Summary by Phase</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3360"/>
        <w:gridCol w:w="1500"/>
        <w:gridCol w:w="1500"/>
        <w:gridCol w:w="1500"/>
        <w:gridCol w:w="1500"/>
      </w:tblGrid>
      <w:tr>
        <w:trPr>
          <w:tblHeader/>
        </w:trPr>
        <w:tc>
          <w:tcPr>
            <w:tcW w:w="3360" w:type="dxa"/>
            <w:shd w:val="clear" w:color="auto" w:fill="D6E4F0"/>
          </w:tcPr>
          <w:p>
            <w:pPr>
              <w:pStyle w:val="Normal"/>
              <w:spacing w:before="40" w:after="40"/>
            </w:pPr>
            <w:r>
              <w:rPr>
                <w:b/>
                <w:sz w:val="18"/>
                <w:szCs w:val="18"/>
              </w:rPr>
              <w:t>Organization</w:t>
            </w:r>
          </w:p>
        </w:tc>
        <w:tc>
          <w:tcPr>
            <w:tcW w:w="1500" w:type="dxa"/>
            <w:shd w:val="clear" w:color="auto" w:fill="D6E4F0"/>
          </w:tcPr>
          <w:p>
            <w:pPr>
              <w:pStyle w:val="Normal"/>
              <w:spacing w:before="40" w:after="40"/>
            </w:pPr>
            <w:r>
              <w:rPr>
                <w:b/>
                <w:sz w:val="18"/>
                <w:szCs w:val="18"/>
              </w:rPr>
              <w:t>Phase I (18 mo)</w:t>
            </w:r>
          </w:p>
        </w:tc>
        <w:tc>
          <w:tcPr>
            <w:tcW w:w="1500" w:type="dxa"/>
            <w:shd w:val="clear" w:color="auto" w:fill="D6E4F0"/>
          </w:tcPr>
          <w:p>
            <w:pPr>
              <w:pStyle w:val="Normal"/>
              <w:spacing w:before="40" w:after="40"/>
            </w:pPr>
            <w:r>
              <w:rPr>
                <w:b/>
                <w:sz w:val="18"/>
                <w:szCs w:val="18"/>
              </w:rPr>
              <w:t>Phase II (18 mo)</w:t>
            </w:r>
          </w:p>
        </w:tc>
        <w:tc>
          <w:tcPr>
            <w:tcW w:w="1500" w:type="dxa"/>
            <w:shd w:val="clear" w:color="auto" w:fill="D6E4F0"/>
          </w:tcPr>
          <w:p>
            <w:pPr>
              <w:pStyle w:val="Normal"/>
              <w:spacing w:before="40" w:after="40"/>
            </w:pPr>
            <w:r>
              <w:rPr>
                <w:b/>
                <w:sz w:val="18"/>
                <w:szCs w:val="18"/>
              </w:rPr>
              <w:t>Phase III (24 mo)</w:t>
            </w:r>
          </w:p>
        </w:tc>
        <w:tc>
          <w:tcPr>
            <w:tcW w:w="1500" w:type="dxa"/>
            <w:shd w:val="clear" w:color="auto" w:fill="D6E4F0"/>
          </w:tcPr>
          <w:p>
            <w:pPr>
              <w:pStyle w:val="Normal"/>
              <w:spacing w:before="40" w:after="40"/>
            </w:pPr>
            <w:r>
              <w:rPr>
                <w:b/>
                <w:sz w:val="18"/>
                <w:szCs w:val="18"/>
              </w:rPr>
              <w:t>Avg FTE/yr</w:t>
            </w:r>
          </w:p>
        </w:tc>
      </w:tr>
      <w:tr>
        <w:tc>
          <w:tcPr>
            <w:tcW w:w="3360" w:type="dxa"/>
          </w:tcPr>
          <w:p>
            <w:pPr>
              <w:pStyle w:val="Normal"/>
              <w:spacing w:before="40" w:after="40"/>
            </w:pPr>
            <w:r>
              <w:rPr>
                <w:sz w:val="18"/>
                <w:szCs w:val="18"/>
              </w:rPr>
              <w:t>Purdue/IPAI Computational (Prime)</w:t>
            </w:r>
          </w:p>
        </w:tc>
        <w:tc>
          <w:tcPr>
            <w:tcW w:w="1500" w:type="dxa"/>
          </w:tcPr>
          <w:p>
            <w:pPr>
              <w:pStyle w:val="Normal"/>
              <w:spacing w:before="40" w:after="40"/>
            </w:pPr>
            <w:r>
              <w:rPr>
                <w:sz w:val="18"/>
                <w:szCs w:val="18"/>
              </w:rPr>
              <w:t>5.75</w:t>
            </w:r>
          </w:p>
        </w:tc>
        <w:tc>
          <w:tcPr>
            <w:tcW w:w="1500" w:type="dxa"/>
          </w:tcPr>
          <w:p>
            <w:pPr>
              <w:pStyle w:val="Normal"/>
              <w:spacing w:before="40" w:after="40"/>
            </w:pPr>
            <w:r>
              <w:rPr>
                <w:sz w:val="18"/>
                <w:szCs w:val="18"/>
              </w:rPr>
              <w:t>5.75</w:t>
            </w:r>
          </w:p>
        </w:tc>
        <w:tc>
          <w:tcPr>
            <w:tcW w:w="1500" w:type="dxa"/>
          </w:tcPr>
          <w:p>
            <w:pPr>
              <w:pStyle w:val="Normal"/>
              <w:spacing w:before="40" w:after="40"/>
            </w:pPr>
            <w:r>
              <w:rPr>
                <w:sz w:val="18"/>
                <w:szCs w:val="18"/>
              </w:rPr>
              <w:t>6.5</w:t>
            </w:r>
          </w:p>
        </w:tc>
        <w:tc>
          <w:tcPr>
            <w:tcW w:w="1500" w:type="dxa"/>
          </w:tcPr>
          <w:p>
            <w:pPr>
              <w:pStyle w:val="Normal"/>
              <w:spacing w:before="40" w:after="40"/>
            </w:pPr>
            <w:r>
              <w:rPr>
                <w:sz w:val="18"/>
                <w:szCs w:val="18"/>
              </w:rPr>
              <w:t>6.0</w:t>
            </w:r>
          </w:p>
        </w:tc>
      </w:tr>
      <w:tr>
        <w:tc>
          <w:tcPr>
            <w:tcW w:w="3360" w:type="dxa"/>
          </w:tcPr>
          <w:p>
            <w:pPr>
              <w:pStyle w:val="Normal"/>
              <w:spacing w:before="40" w:after="40"/>
            </w:pPr>
            <w:r>
              <w:rPr>
                <w:sz w:val="18"/>
                <w:szCs w:val="18"/>
              </w:rPr>
              <w:t>Purdue Tegtmeyer lab (TA4-academic)</w:t>
            </w:r>
          </w:p>
        </w:tc>
        <w:tc>
          <w:tcPr>
            <w:tcW w:w="1500" w:type="dxa"/>
          </w:tcPr>
          <w:p>
            <w:pPr>
              <w:pStyle w:val="Normal"/>
              <w:spacing w:before="40" w:after="40"/>
            </w:pPr>
            <w:r>
              <w:rPr>
                <w:sz w:val="18"/>
                <w:szCs w:val="18"/>
              </w:rPr>
              <w:t>3.75</w:t>
            </w:r>
          </w:p>
        </w:tc>
        <w:tc>
          <w:tcPr>
            <w:tcW w:w="1500" w:type="dxa"/>
          </w:tcPr>
          <w:p>
            <w:pPr>
              <w:pStyle w:val="Normal"/>
              <w:spacing w:before="40" w:after="40"/>
            </w:pPr>
            <w:r>
              <w:rPr>
                <w:sz w:val="18"/>
                <w:szCs w:val="18"/>
              </w:rPr>
              <w:t>3.75</w:t>
            </w:r>
          </w:p>
        </w:tc>
        <w:tc>
          <w:tcPr>
            <w:tcW w:w="1500" w:type="dxa"/>
          </w:tcPr>
          <w:p>
            <w:pPr>
              <w:pStyle w:val="Normal"/>
              <w:spacing w:before="40" w:after="40"/>
            </w:pPr>
            <w:r>
              <w:rPr>
                <w:sz w:val="18"/>
                <w:szCs w:val="18"/>
              </w:rPr>
              <w:t>4.0</w:t>
            </w:r>
          </w:p>
        </w:tc>
        <w:tc>
          <w:tcPr>
            <w:tcW w:w="1500" w:type="dxa"/>
          </w:tcPr>
          <w:p>
            <w:pPr>
              <w:pStyle w:val="Normal"/>
              <w:spacing w:before="40" w:after="40"/>
            </w:pPr>
            <w:r>
              <w:rPr>
                <w:sz w:val="18"/>
                <w:szCs w:val="18"/>
              </w:rPr>
              <w:t>3.8</w:t>
            </w:r>
          </w:p>
        </w:tc>
      </w:tr>
      <w:tr>
        <w:tc>
          <w:tcPr>
            <w:tcW w:w="3360" w:type="dxa"/>
          </w:tcPr>
          <w:p>
            <w:pPr>
              <w:pStyle w:val="Normal"/>
              <w:spacing w:before="40" w:after="40"/>
            </w:pPr>
            <w:r>
              <w:rPr>
                <w:sz w:val="18"/>
                <w:szCs w:val="18"/>
              </w:rPr>
              <w:t>Cytognosis (Sub)</w:t>
            </w:r>
          </w:p>
        </w:tc>
        <w:tc>
          <w:tcPr>
            <w:tcW w:w="1500" w:type="dxa"/>
          </w:tcPr>
          <w:p>
            <w:pPr>
              <w:pStyle w:val="Normal"/>
              <w:spacing w:before="40" w:after="40"/>
            </w:pPr>
            <w:r>
              <w:rPr>
                <w:sz w:val="18"/>
                <w:szCs w:val="18"/>
              </w:rPr>
              <w:t>5.7</w:t>
            </w:r>
          </w:p>
        </w:tc>
        <w:tc>
          <w:tcPr>
            <w:tcW w:w="1500" w:type="dxa"/>
          </w:tcPr>
          <w:p>
            <w:pPr>
              <w:pStyle w:val="Normal"/>
              <w:spacing w:before="40" w:after="40"/>
            </w:pPr>
            <w:r>
              <w:rPr>
                <w:sz w:val="18"/>
                <w:szCs w:val="18"/>
              </w:rPr>
              <w:t>5.7</w:t>
            </w:r>
          </w:p>
        </w:tc>
        <w:tc>
          <w:tcPr>
            <w:tcW w:w="1500" w:type="dxa"/>
          </w:tcPr>
          <w:p>
            <w:pPr>
              <w:pStyle w:val="Normal"/>
              <w:spacing w:before="40" w:after="40"/>
            </w:pPr>
            <w:r>
              <w:rPr>
                <w:sz w:val="18"/>
                <w:szCs w:val="18"/>
              </w:rPr>
              <w:t>6.5</w:t>
            </w:r>
          </w:p>
        </w:tc>
        <w:tc>
          <w:tcPr>
            <w:tcW w:w="1500" w:type="dxa"/>
          </w:tcPr>
          <w:p>
            <w:pPr>
              <w:pStyle w:val="Normal"/>
              <w:spacing w:before="40" w:after="40"/>
            </w:pPr>
            <w:r>
              <w:rPr>
                <w:sz w:val="18"/>
                <w:szCs w:val="18"/>
              </w:rPr>
              <w:t>5.9</w:t>
            </w:r>
          </w:p>
        </w:tc>
      </w:tr>
      <w:tr>
        <w:tc>
          <w:tcPr>
            <w:tcW w:w="3360" w:type="dxa"/>
          </w:tcPr>
          <w:p>
            <w:pPr>
              <w:pStyle w:val="Normal"/>
              <w:spacing w:before="40" w:after="40"/>
            </w:pPr>
            <w:r>
              <w:rPr>
                <w:sz w:val="18"/>
                <w:szCs w:val="18"/>
              </w:rPr>
              <w:t>SIFT (Sub)</w:t>
            </w:r>
          </w:p>
        </w:tc>
        <w:tc>
          <w:tcPr>
            <w:tcW w:w="1500" w:type="dxa"/>
          </w:tcPr>
          <w:p>
            <w:pPr>
              <w:pStyle w:val="Normal"/>
              <w:spacing w:before="40" w:after="40"/>
            </w:pPr>
            <w:r>
              <w:rPr>
                <w:sz w:val="18"/>
                <w:szCs w:val="18"/>
              </w:rPr>
              <w:t>2.5-3.0</w:t>
            </w:r>
          </w:p>
        </w:tc>
        <w:tc>
          <w:tcPr>
            <w:tcW w:w="1500" w:type="dxa"/>
          </w:tcPr>
          <w:p>
            <w:pPr>
              <w:pStyle w:val="Normal"/>
              <w:spacing w:before="40" w:after="40"/>
            </w:pPr>
            <w:r>
              <w:rPr>
                <w:sz w:val="18"/>
                <w:szCs w:val="18"/>
              </w:rPr>
              <w:t>2.5-3.0</w:t>
            </w:r>
          </w:p>
        </w:tc>
        <w:tc>
          <w:tcPr>
            <w:tcW w:w="1500" w:type="dxa"/>
          </w:tcPr>
          <w:p>
            <w:pPr>
              <w:pStyle w:val="Normal"/>
              <w:spacing w:before="40" w:after="40"/>
            </w:pPr>
            <w:r>
              <w:rPr>
                <w:sz w:val="18"/>
                <w:szCs w:val="18"/>
              </w:rPr>
              <w:t>2.5</w:t>
            </w:r>
          </w:p>
        </w:tc>
        <w:tc>
          <w:tcPr>
            <w:tcW w:w="1500" w:type="dxa"/>
          </w:tcPr>
          <w:p>
            <w:pPr>
              <w:pStyle w:val="Normal"/>
              <w:spacing w:before="40" w:after="40"/>
            </w:pPr>
            <w:r>
              <w:rPr>
                <w:sz w:val="18"/>
                <w:szCs w:val="18"/>
              </w:rPr>
              <w:t>2.7</w:t>
            </w:r>
          </w:p>
        </w:tc>
      </w:tr>
      <w:tr>
        <w:tc>
          <w:tcPr>
            <w:tcW w:w="3360" w:type="dxa"/>
          </w:tcPr>
          <w:p>
            <w:pPr>
              <w:pStyle w:val="Normal"/>
              <w:spacing w:before="40" w:after="40"/>
            </w:pPr>
            <w:r>
              <w:rPr>
                <w:sz w:val="18"/>
                <w:szCs w:val="18"/>
              </w:rPr>
              <w:t>McLean / HMS (Sub)</w:t>
            </w:r>
          </w:p>
        </w:tc>
        <w:tc>
          <w:tcPr>
            <w:tcW w:w="1500" w:type="dxa"/>
          </w:tcPr>
          <w:p>
            <w:pPr>
              <w:pStyle w:val="Normal"/>
              <w:spacing w:before="40" w:after="40"/>
            </w:pPr>
            <w:r>
              <w:rPr>
                <w:sz w:val="18"/>
                <w:szCs w:val="18"/>
              </w:rPr>
              <w:t>0.2</w:t>
            </w:r>
          </w:p>
        </w:tc>
        <w:tc>
          <w:tcPr>
            <w:tcW w:w="1500" w:type="dxa"/>
          </w:tcPr>
          <w:p>
            <w:pPr>
              <w:pStyle w:val="Normal"/>
              <w:spacing w:before="40" w:after="40"/>
            </w:pPr>
            <w:r>
              <w:rPr>
                <w:sz w:val="18"/>
                <w:szCs w:val="18"/>
              </w:rPr>
              <w:t>0.2</w:t>
            </w:r>
          </w:p>
        </w:tc>
        <w:tc>
          <w:tcPr>
            <w:tcW w:w="1500" w:type="dxa"/>
          </w:tcPr>
          <w:p>
            <w:pPr>
              <w:pStyle w:val="Normal"/>
              <w:spacing w:before="40" w:after="40"/>
            </w:pPr>
            <w:r>
              <w:rPr>
                <w:sz w:val="18"/>
                <w:szCs w:val="18"/>
              </w:rPr>
              <w:t>0.25</w:t>
            </w:r>
          </w:p>
        </w:tc>
        <w:tc>
          <w:tcPr>
            <w:tcW w:w="1500" w:type="dxa"/>
          </w:tcPr>
          <w:p>
            <w:pPr>
              <w:pStyle w:val="Normal"/>
              <w:spacing w:before="40" w:after="40"/>
            </w:pPr>
            <w:r>
              <w:rPr>
                <w:sz w:val="18"/>
                <w:szCs w:val="18"/>
              </w:rPr>
              <w:t>0.2</w:t>
            </w:r>
          </w:p>
        </w:tc>
      </w:tr>
      <w:tr>
        <w:tc>
          <w:tcPr>
            <w:tcW w:w="3360" w:type="dxa"/>
          </w:tcPr>
          <w:p>
            <w:pPr>
              <w:pStyle w:val="Normal"/>
              <w:spacing w:before="40" w:after="40"/>
            </w:pPr>
            <w:r>
              <w:rPr>
                <w:sz w:val="18"/>
                <w:szCs w:val="18"/>
              </w:rPr>
              <w:t>Cellanome (Sub)</w:t>
            </w:r>
          </w:p>
        </w:tc>
        <w:tc>
          <w:tcPr>
            <w:tcW w:w="1500" w:type="dxa"/>
          </w:tcPr>
          <w:p>
            <w:pPr>
              <w:pStyle w:val="Normal"/>
              <w:spacing w:before="40" w:after="40"/>
            </w:pPr>
            <w:r>
              <w:rPr>
                <w:sz w:val="18"/>
                <w:szCs w:val="18"/>
              </w:rPr>
              <w:t>2.5</w:t>
            </w:r>
          </w:p>
        </w:tc>
        <w:tc>
          <w:tcPr>
            <w:tcW w:w="1500" w:type="dxa"/>
          </w:tcPr>
          <w:p>
            <w:pPr>
              <w:pStyle w:val="Normal"/>
              <w:spacing w:before="40" w:after="40"/>
            </w:pPr>
            <w:r>
              <w:rPr>
                <w:sz w:val="18"/>
                <w:szCs w:val="18"/>
              </w:rPr>
              <w:t>3.0</w:t>
            </w:r>
          </w:p>
        </w:tc>
        <w:tc>
          <w:tcPr>
            <w:tcW w:w="1500" w:type="dxa"/>
          </w:tcPr>
          <w:p>
            <w:pPr>
              <w:pStyle w:val="Normal"/>
              <w:spacing w:before="40" w:after="40"/>
            </w:pPr>
            <w:r>
              <w:rPr>
                <w:sz w:val="18"/>
                <w:szCs w:val="18"/>
              </w:rPr>
              <w:t>3.5</w:t>
            </w:r>
          </w:p>
        </w:tc>
        <w:tc>
          <w:tcPr>
            <w:tcW w:w="1500" w:type="dxa"/>
          </w:tcPr>
          <w:p>
            <w:pPr>
              <w:pStyle w:val="Normal"/>
              <w:spacing w:before="40" w:after="40"/>
            </w:pPr>
            <w:r>
              <w:rPr>
                <w:sz w:val="18"/>
                <w:szCs w:val="18"/>
              </w:rPr>
              <w:t>3.0</w:t>
            </w:r>
          </w:p>
        </w:tc>
      </w:tr>
      <w:tr>
        <w:tc>
          <w:tcPr>
            <w:tcW w:w="3360" w:type="dxa"/>
          </w:tcPr>
          <w:p>
            <w:pPr>
              <w:pStyle w:val="Normal"/>
              <w:spacing w:before="40" w:after="40"/>
            </w:pPr>
            <w:r>
              <w:rPr>
                <w:b/>
                <w:sz w:val="18"/>
                <w:szCs w:val="18"/>
              </w:rPr>
              <w:t>Program Total</w:t>
            </w:r>
          </w:p>
        </w:tc>
        <w:tc>
          <w:tcPr>
            <w:tcW w:w="1500" w:type="dxa"/>
          </w:tcPr>
          <w:p>
            <w:pPr>
              <w:pStyle w:val="Normal"/>
              <w:spacing w:before="40" w:after="40"/>
            </w:pPr>
            <w:r>
              <w:rPr>
                <w:sz w:val="18"/>
                <w:szCs w:val="18"/>
              </w:rPr>
              <w:t>~20.4</w:t>
            </w:r>
          </w:p>
        </w:tc>
        <w:tc>
          <w:tcPr>
            <w:tcW w:w="1500" w:type="dxa"/>
          </w:tcPr>
          <w:p>
            <w:pPr>
              <w:pStyle w:val="Normal"/>
              <w:spacing w:before="40" w:after="40"/>
            </w:pPr>
            <w:r>
              <w:rPr>
                <w:sz w:val="18"/>
                <w:szCs w:val="18"/>
              </w:rPr>
              <w:t>~21.0</w:t>
            </w:r>
          </w:p>
        </w:tc>
        <w:tc>
          <w:tcPr>
            <w:tcW w:w="1500" w:type="dxa"/>
          </w:tcPr>
          <w:p>
            <w:pPr>
              <w:pStyle w:val="Normal"/>
              <w:spacing w:before="40" w:after="40"/>
            </w:pPr>
            <w:r>
              <w:rPr>
                <w:sz w:val="18"/>
                <w:szCs w:val="18"/>
              </w:rPr>
              <w:t>~23.3</w:t>
            </w:r>
          </w:p>
        </w:tc>
        <w:tc>
          <w:tcPr>
            <w:tcW w:w="1500" w:type="dxa"/>
          </w:tcPr>
          <w:p>
            <w:pPr>
              <w:pStyle w:val="Normal"/>
              <w:spacing w:before="40" w:after="40"/>
            </w:pPr>
            <w:r>
              <w:rPr>
                <w:sz w:val="18"/>
                <w:szCs w:val="18"/>
              </w:rPr>
              <w:t>~21.6 FTE/yr</w:t>
            </w:r>
          </w:p>
        </w:tc>
      </w:tr>
    </w:tbl>
    <w:p>
      <w:pPr>
        <w:pStyle w:val="Normal"/>
      </w:pPr>
    </w:p>
    <w:p>
      <w:pPr>
        <w:pStyle w:val="BodyText"/>
        <w:spacing w:before="160" w:after="80"/>
      </w:pPr>
      <w:r>
        <w:rPr>
          <w:b/>
          <w:sz w:val="22"/>
        </w:rPr>
        <w:t>Salary Cap Statement</w:t>
      </w:r>
    </w:p>
    <w:p>
      <w:pPr>
        <w:pStyle w:val="Normal"/>
        <w:spacing w:before="0" w:after="120"/>
      </w:pPr>
      <w:r>
        <w:t>Executive Level II salary cap = $228,000, effective January 11, 2026 (NIH NOT-OD-26-034). This cap applies to the ARPA-H-funded portion of direct salary on this Other Transaction award, per the ARPA-H draft Model OT Agreement.</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200"/>
        <w:gridCol w:w="1500"/>
        <w:gridCol w:w="1800"/>
        <w:gridCol w:w="1100"/>
        <w:gridCol w:w="2760"/>
      </w:tblGrid>
      <w:tr>
        <w:trPr>
          <w:tblHeader/>
        </w:trPr>
        <w:tc>
          <w:tcPr>
            <w:tcW w:w="2200" w:type="dxa"/>
            <w:shd w:val="clear" w:color="auto" w:fill="D6E4F0"/>
          </w:tcPr>
          <w:p>
            <w:pPr>
              <w:pStyle w:val="Normal"/>
              <w:spacing w:before="40" w:after="40"/>
            </w:pPr>
            <w:r>
              <w:rPr>
                <w:b/>
                <w:sz w:val="18"/>
                <w:szCs w:val="18"/>
              </w:rPr>
              <w:t>Person</w:t>
            </w:r>
          </w:p>
        </w:tc>
        <w:tc>
          <w:tcPr>
            <w:tcW w:w="1500" w:type="dxa"/>
            <w:shd w:val="clear" w:color="auto" w:fill="D6E4F0"/>
          </w:tcPr>
          <w:p>
            <w:pPr>
              <w:pStyle w:val="Normal"/>
              <w:spacing w:before="40" w:after="40"/>
            </w:pPr>
            <w:r>
              <w:rPr>
                <w:b/>
                <w:sz w:val="18"/>
                <w:szCs w:val="18"/>
              </w:rPr>
              <w:t>Org</w:t>
            </w:r>
          </w:p>
        </w:tc>
        <w:tc>
          <w:tcPr>
            <w:tcW w:w="1800" w:type="dxa"/>
            <w:shd w:val="clear" w:color="auto" w:fill="D6E4F0"/>
          </w:tcPr>
          <w:p>
            <w:pPr>
              <w:pStyle w:val="Normal"/>
              <w:spacing w:before="40" w:after="40"/>
            </w:pPr>
            <w:r>
              <w:rPr>
                <w:b/>
                <w:sz w:val="18"/>
                <w:szCs w:val="18"/>
              </w:rPr>
              <w:t>Institutional base (est.)</w:t>
            </w:r>
          </w:p>
        </w:tc>
        <w:tc>
          <w:tcPr>
            <w:tcW w:w="1100" w:type="dxa"/>
            <w:shd w:val="clear" w:color="auto" w:fill="D6E4F0"/>
          </w:tcPr>
          <w:p>
            <w:pPr>
              <w:pStyle w:val="Normal"/>
              <w:spacing w:before="40" w:after="40"/>
            </w:pPr>
            <w:r>
              <w:rPr>
                <w:b/>
                <w:sz w:val="18"/>
                <w:szCs w:val="18"/>
              </w:rPr>
              <w:t>Cap-bound?</w:t>
            </w:r>
          </w:p>
        </w:tc>
        <w:tc>
          <w:tcPr>
            <w:tcW w:w="2760" w:type="dxa"/>
            <w:shd w:val="clear" w:color="auto" w:fill="D6E4F0"/>
          </w:tcPr>
          <w:p>
            <w:pPr>
              <w:pStyle w:val="Normal"/>
              <w:spacing w:before="40" w:after="40"/>
            </w:pPr>
            <w:r>
              <w:rPr>
                <w:b/>
                <w:sz w:val="18"/>
                <w:szCs w:val="18"/>
              </w:rPr>
              <w:t>ARPA-H-funded salary</w:t>
            </w:r>
          </w:p>
        </w:tc>
      </w:tr>
      <w:tr>
        <w:tc>
          <w:tcPr>
            <w:tcW w:w="2200" w:type="dxa"/>
          </w:tcPr>
          <w:p>
            <w:pPr>
              <w:pStyle w:val="Normal"/>
              <w:spacing w:before="40" w:after="40"/>
            </w:pPr>
            <w:r>
              <w:rPr>
                <w:sz w:val="18"/>
                <w:szCs w:val="18"/>
              </w:rPr>
              <w:t>Ananth Grama, PhD (PI)</w:t>
            </w:r>
          </w:p>
        </w:tc>
        <w:tc>
          <w:tcPr>
            <w:tcW w:w="1500" w:type="dxa"/>
          </w:tcPr>
          <w:p>
            <w:pPr>
              <w:pStyle w:val="Normal"/>
              <w:spacing w:before="40" w:after="40"/>
            </w:pPr>
            <w:r>
              <w:rPr>
                <w:sz w:val="18"/>
                <w:szCs w:val="18"/>
              </w:rPr>
              <w:t>Purdue</w:t>
            </w:r>
          </w:p>
        </w:tc>
        <w:tc>
          <w:tcPr>
            <w:tcW w:w="1800" w:type="dxa"/>
          </w:tcPr>
          <w:p>
            <w:pPr>
              <w:pStyle w:val="Normal"/>
              <w:spacing w:before="40" w:after="40"/>
            </w:pPr>
            <w:r>
              <w:rPr>
                <w:sz w:val="18"/>
                <w:szCs w:val="18"/>
              </w:rPr>
              <w:t>~$320,000</w:t>
            </w:r>
          </w:p>
        </w:tc>
        <w:tc>
          <w:tcPr>
            <w:tcW w:w="1100" w:type="dxa"/>
          </w:tcPr>
          <w:p>
            <w:pPr>
              <w:pStyle w:val="Normal"/>
              <w:spacing w:before="40" w:after="40"/>
            </w:pPr>
            <w:r>
              <w:rPr>
                <w:sz w:val="18"/>
                <w:szCs w:val="18"/>
              </w:rPr>
              <w:t>Yes</w:t>
            </w:r>
          </w:p>
        </w:tc>
        <w:tc>
          <w:tcPr>
            <w:tcW w:w="2760" w:type="dxa"/>
          </w:tcPr>
          <w:p>
            <w:pPr>
              <w:pStyle w:val="Normal"/>
              <w:spacing w:before="40" w:after="40"/>
            </w:pPr>
            <w:r>
              <w:rPr>
                <w:sz w:val="18"/>
                <w:szCs w:val="18"/>
              </w:rPr>
              <w:t>$228,000 x 0.25 FTE = ~$57,000/yr; Purdue covers remainder</w:t>
            </w:r>
          </w:p>
        </w:tc>
      </w:tr>
      <w:tr>
        <w:tc>
          <w:tcPr>
            <w:tcW w:w="2200" w:type="dxa"/>
          </w:tcPr>
          <w:p>
            <w:pPr>
              <w:pStyle w:val="Normal"/>
              <w:spacing w:before="40" w:after="40"/>
            </w:pPr>
            <w:r>
              <w:rPr>
                <w:sz w:val="18"/>
                <w:szCs w:val="18"/>
              </w:rPr>
              <w:t>Anne Carpenter, PhD (TA1 co-lead; no bench; in-house IPAI/Purdue)</w:t>
            </w:r>
          </w:p>
        </w:tc>
        <w:tc>
          <w:tcPr>
            <w:tcW w:w="1500" w:type="dxa"/>
          </w:tcPr>
          <w:p>
            <w:pPr>
              <w:pStyle w:val="Normal"/>
              <w:spacing w:before="40" w:after="40"/>
            </w:pPr>
            <w:r>
              <w:rPr>
                <w:sz w:val="18"/>
                <w:szCs w:val="18"/>
              </w:rPr>
              <w:t>Purdue</w:t>
            </w:r>
          </w:p>
        </w:tc>
        <w:tc>
          <w:tcPr>
            <w:tcW w:w="1800" w:type="dxa"/>
          </w:tcPr>
          <w:p>
            <w:pPr>
              <w:pStyle w:val="Normal"/>
              <w:spacing w:before="40" w:after="40"/>
            </w:pPr>
            <w:r>
              <w:rPr>
                <w:sz w:val="18"/>
                <w:szCs w:val="18"/>
              </w:rPr>
              <w:t>~$300,000</w:t>
            </w:r>
          </w:p>
        </w:tc>
        <w:tc>
          <w:tcPr>
            <w:tcW w:w="1100" w:type="dxa"/>
          </w:tcPr>
          <w:p>
            <w:pPr>
              <w:pStyle w:val="Normal"/>
              <w:spacing w:before="40" w:after="40"/>
            </w:pPr>
            <w:r>
              <w:rPr>
                <w:sz w:val="18"/>
                <w:szCs w:val="18"/>
              </w:rPr>
              <w:t>Yes</w:t>
            </w:r>
          </w:p>
        </w:tc>
        <w:tc>
          <w:tcPr>
            <w:tcW w:w="2760" w:type="dxa"/>
          </w:tcPr>
          <w:p>
            <w:pPr>
              <w:pStyle w:val="Normal"/>
              <w:spacing w:before="40" w:after="40"/>
            </w:pPr>
            <w:r>
              <w:rPr>
                <w:sz w:val="18"/>
                <w:szCs w:val="18"/>
              </w:rPr>
              <w:t>$228,000 x 0.25 FTE = ~$57,000/yr; Purdue covers remainder</w:t>
            </w:r>
          </w:p>
        </w:tc>
      </w:tr>
      <w:tr>
        <w:tc>
          <w:tcPr>
            <w:tcW w:w="2200" w:type="dxa"/>
          </w:tcPr>
          <w:p>
            <w:pPr>
              <w:pStyle w:val="Normal"/>
              <w:spacing w:before="40" w:after="40"/>
            </w:pPr>
            <w:r>
              <w:rPr>
                <w:sz w:val="18"/>
                <w:szCs w:val="18"/>
              </w:rPr>
              <w:t>Matthew Tegtmeyer, PhD</w:t>
            </w:r>
          </w:p>
        </w:tc>
        <w:tc>
          <w:tcPr>
            <w:tcW w:w="1500" w:type="dxa"/>
          </w:tcPr>
          <w:p>
            <w:pPr>
              <w:pStyle w:val="Normal"/>
              <w:spacing w:before="40" w:after="40"/>
            </w:pPr>
            <w:r>
              <w:rPr>
                <w:sz w:val="18"/>
                <w:szCs w:val="18"/>
              </w:rPr>
              <w:t>Purdue</w:t>
            </w:r>
          </w:p>
        </w:tc>
        <w:tc>
          <w:tcPr>
            <w:tcW w:w="1800" w:type="dxa"/>
          </w:tcPr>
          <w:p>
            <w:pPr>
              <w:pStyle w:val="Normal"/>
              <w:spacing w:before="40" w:after="40"/>
            </w:pPr>
            <w:r>
              <w:rPr>
                <w:sz w:val="18"/>
                <w:szCs w:val="18"/>
              </w:rPr>
              <w:t>~$220,000</w:t>
            </w:r>
          </w:p>
        </w:tc>
        <w:tc>
          <w:tcPr>
            <w:tcW w:w="1100" w:type="dxa"/>
          </w:tcPr>
          <w:p>
            <w:pPr>
              <w:pStyle w:val="Normal"/>
              <w:spacing w:before="40" w:after="40"/>
            </w:pPr>
            <w:r>
              <w:rPr>
                <w:sz w:val="18"/>
                <w:szCs w:val="18"/>
              </w:rPr>
              <w:t>No</w:t>
            </w:r>
          </w:p>
        </w:tc>
        <w:tc>
          <w:tcPr>
            <w:tcW w:w="2760" w:type="dxa"/>
          </w:tcPr>
          <w:p>
            <w:pPr>
              <w:pStyle w:val="Normal"/>
              <w:spacing w:before="40" w:after="40"/>
            </w:pPr>
            <w:r>
              <w:rPr>
                <w:sz w:val="18"/>
                <w:szCs w:val="18"/>
              </w:rPr>
              <w:t>Full 0.25 FTE funded normally; verify if base rises above cap</w:t>
            </w:r>
          </w:p>
        </w:tc>
      </w:tr>
      <w:tr>
        <w:tc>
          <w:tcPr>
            <w:tcW w:w="2200" w:type="dxa"/>
          </w:tcPr>
          <w:p>
            <w:pPr>
              <w:pStyle w:val="Normal"/>
              <w:spacing w:before="40" w:after="40"/>
            </w:pPr>
            <w:r>
              <w:rPr>
                <w:sz w:val="18"/>
                <w:szCs w:val="18"/>
              </w:rPr>
              <w:t>W. Brad Ruzicka, MD/PhD</w:t>
            </w:r>
          </w:p>
        </w:tc>
        <w:tc>
          <w:tcPr>
            <w:tcW w:w="1500" w:type="dxa"/>
          </w:tcPr>
          <w:p>
            <w:pPr>
              <w:pStyle w:val="Normal"/>
              <w:spacing w:before="40" w:after="40"/>
            </w:pPr>
            <w:r>
              <w:rPr>
                <w:sz w:val="18"/>
                <w:szCs w:val="18"/>
              </w:rPr>
              <w:t>McLean/HMS</w:t>
            </w:r>
          </w:p>
        </w:tc>
        <w:tc>
          <w:tcPr>
            <w:tcW w:w="1800" w:type="dxa"/>
          </w:tcPr>
          <w:p>
            <w:pPr>
              <w:pStyle w:val="Normal"/>
              <w:spacing w:before="40" w:after="40"/>
            </w:pPr>
            <w:r>
              <w:rPr>
                <w:sz w:val="18"/>
                <w:szCs w:val="18"/>
              </w:rPr>
              <w:t>~$250,000</w:t>
            </w:r>
          </w:p>
        </w:tc>
        <w:tc>
          <w:tcPr>
            <w:tcW w:w="1100" w:type="dxa"/>
          </w:tcPr>
          <w:p>
            <w:pPr>
              <w:pStyle w:val="Normal"/>
              <w:spacing w:before="40" w:after="40"/>
            </w:pPr>
            <w:r>
              <w:rPr>
                <w:sz w:val="18"/>
                <w:szCs w:val="18"/>
              </w:rPr>
              <w:t>Yes</w:t>
            </w:r>
          </w:p>
        </w:tc>
        <w:tc>
          <w:tcPr>
            <w:tcW w:w="2760" w:type="dxa"/>
          </w:tcPr>
          <w:p>
            <w:pPr>
              <w:pStyle w:val="Normal"/>
              <w:spacing w:before="40" w:after="40"/>
            </w:pPr>
            <w:r>
              <w:rPr>
                <w:sz w:val="18"/>
                <w:szCs w:val="18"/>
              </w:rPr>
              <w:t>$228,000 x 0.20 FTE = ~$45,600/yr; HMS covers remainder</w:t>
            </w:r>
          </w:p>
        </w:tc>
      </w:tr>
      <w:tr>
        <w:tc>
          <w:tcPr>
            <w:tcW w:w="2200" w:type="dxa"/>
          </w:tcPr>
          <w:p>
            <w:pPr>
              <w:pStyle w:val="Normal"/>
              <w:spacing w:before="40" w:after="40"/>
            </w:pPr>
            <w:r>
              <w:rPr>
                <w:sz w:val="18"/>
                <w:szCs w:val="18"/>
              </w:rPr>
              <w:t>Shahin Mohammadi, PhD</w:t>
            </w:r>
          </w:p>
        </w:tc>
        <w:tc>
          <w:tcPr>
            <w:tcW w:w="1500" w:type="dxa"/>
          </w:tcPr>
          <w:p>
            <w:pPr>
              <w:pStyle w:val="Normal"/>
              <w:spacing w:before="40" w:after="40"/>
            </w:pPr>
            <w:r>
              <w:rPr>
                <w:sz w:val="18"/>
                <w:szCs w:val="18"/>
              </w:rPr>
              <w:t>Cytognosis</w:t>
            </w:r>
          </w:p>
        </w:tc>
        <w:tc>
          <w:tcPr>
            <w:tcW w:w="1800" w:type="dxa"/>
          </w:tcPr>
          <w:p>
            <w:pPr>
              <w:pStyle w:val="Normal"/>
              <w:spacing w:before="40" w:after="40"/>
            </w:pPr>
            <w:r>
              <w:rPr>
                <w:sz w:val="18"/>
                <w:szCs w:val="18"/>
              </w:rPr>
              <w:t>$228,000 (Rung 1 = cap exactly)</w:t>
            </w:r>
          </w:p>
        </w:tc>
        <w:tc>
          <w:tcPr>
            <w:tcW w:w="1100" w:type="dxa"/>
          </w:tcPr>
          <w:p>
            <w:pPr>
              <w:pStyle w:val="Normal"/>
              <w:spacing w:before="40" w:after="40"/>
            </w:pPr>
            <w:r>
              <w:rPr>
                <w:sz w:val="18"/>
                <w:szCs w:val="18"/>
              </w:rPr>
              <w:t>At cap</w:t>
            </w:r>
          </w:p>
        </w:tc>
        <w:tc>
          <w:tcPr>
            <w:tcW w:w="2760" w:type="dxa"/>
          </w:tcPr>
          <w:p>
            <w:pPr>
              <w:pStyle w:val="Normal"/>
              <w:spacing w:before="40" w:after="40"/>
            </w:pPr>
            <w:r>
              <w:rPr>
                <w:sz w:val="18"/>
                <w:szCs w:val="18"/>
              </w:rPr>
              <w:t>Charge $228K x 0.5 FTE = ~$114K/yr base; Rungs 2/3 above cap from unrestricted funds only, never from this award</w:t>
            </w:r>
          </w:p>
        </w:tc>
      </w:tr>
      <w:tr>
        <w:tc>
          <w:tcPr>
            <w:tcW w:w="2200" w:type="dxa"/>
          </w:tcPr>
          <w:p>
            <w:pPr>
              <w:pStyle w:val="Normal"/>
              <w:spacing w:before="40" w:after="40"/>
            </w:pPr>
            <w:r>
              <w:rPr>
                <w:sz w:val="18"/>
                <w:szCs w:val="18"/>
              </w:rPr>
              <w:t>Software Architect (planned Cytognosis hire; Elham Jebalbarezi Sarbijan (IPAI) interim)</w:t>
            </w:r>
          </w:p>
        </w:tc>
        <w:tc>
          <w:tcPr>
            <w:tcW w:w="1500" w:type="dxa"/>
          </w:tcPr>
          <w:p>
            <w:pPr>
              <w:pStyle w:val="Normal"/>
              <w:spacing w:before="40" w:after="40"/>
            </w:pPr>
            <w:r>
              <w:rPr>
                <w:sz w:val="18"/>
                <w:szCs w:val="18"/>
              </w:rPr>
              <w:t>Cytognosis</w:t>
            </w:r>
          </w:p>
        </w:tc>
        <w:tc>
          <w:tcPr>
            <w:tcW w:w="1800" w:type="dxa"/>
          </w:tcPr>
          <w:p>
            <w:pPr>
              <w:pStyle w:val="Normal"/>
              <w:spacing w:before="40" w:after="40"/>
            </w:pPr>
            <w:r>
              <w:rPr>
                <w:sz w:val="18"/>
                <w:szCs w:val="18"/>
              </w:rPr>
              <w:t>~$200,000 est.</w:t>
            </w:r>
          </w:p>
        </w:tc>
        <w:tc>
          <w:tcPr>
            <w:tcW w:w="1100" w:type="dxa"/>
          </w:tcPr>
          <w:p>
            <w:pPr>
              <w:pStyle w:val="Normal"/>
              <w:spacing w:before="40" w:after="40"/>
            </w:pPr>
            <w:r>
              <w:rPr>
                <w:sz w:val="18"/>
                <w:szCs w:val="18"/>
              </w:rPr>
              <w:t>No</w:t>
            </w:r>
          </w:p>
        </w:tc>
        <w:tc>
          <w:tcPr>
            <w:tcW w:w="2760" w:type="dxa"/>
          </w:tcPr>
          <w:p>
            <w:pPr>
              <w:pStyle w:val="Normal"/>
              <w:spacing w:before="40" w:after="40"/>
            </w:pPr>
            <w:r>
              <w:rPr>
                <w:sz w:val="18"/>
                <w:szCs w:val="18"/>
              </w:rPr>
              <w:t>Below cap; 1.0 FTE funded normally</w:t>
            </w:r>
          </w:p>
        </w:tc>
      </w:tr>
      <w:tr>
        <w:tc>
          <w:tcPr>
            <w:tcW w:w="2200" w:type="dxa"/>
          </w:tcPr>
          <w:p>
            <w:pPr>
              <w:pStyle w:val="Normal"/>
              <w:spacing w:before="40" w:after="40"/>
            </w:pPr>
            <w:r>
              <w:rPr>
                <w:sz w:val="18"/>
                <w:szCs w:val="18"/>
              </w:rPr>
              <w:t>Senior ML/AI Engineer</w:t>
            </w:r>
          </w:p>
        </w:tc>
        <w:tc>
          <w:tcPr>
            <w:tcW w:w="1500" w:type="dxa"/>
          </w:tcPr>
          <w:p>
            <w:pPr>
              <w:pStyle w:val="Normal"/>
              <w:spacing w:before="40" w:after="40"/>
            </w:pPr>
            <w:r>
              <w:rPr>
                <w:sz w:val="18"/>
                <w:szCs w:val="18"/>
              </w:rPr>
              <w:t>Cytognosis</w:t>
            </w:r>
          </w:p>
        </w:tc>
        <w:tc>
          <w:tcPr>
            <w:tcW w:w="1800" w:type="dxa"/>
          </w:tcPr>
          <w:p>
            <w:pPr>
              <w:pStyle w:val="Normal"/>
              <w:spacing w:before="40" w:after="40"/>
            </w:pPr>
            <w:r>
              <w:rPr>
                <w:sz w:val="18"/>
                <w:szCs w:val="18"/>
              </w:rPr>
              <w:t>~$190,000 est.</w:t>
            </w:r>
          </w:p>
        </w:tc>
        <w:tc>
          <w:tcPr>
            <w:tcW w:w="1100" w:type="dxa"/>
          </w:tcPr>
          <w:p>
            <w:pPr>
              <w:pStyle w:val="Normal"/>
              <w:spacing w:before="40" w:after="40"/>
            </w:pPr>
            <w:r>
              <w:rPr>
                <w:sz w:val="18"/>
                <w:szCs w:val="18"/>
              </w:rPr>
              <w:t>No</w:t>
            </w:r>
          </w:p>
        </w:tc>
        <w:tc>
          <w:tcPr>
            <w:tcW w:w="2760" w:type="dxa"/>
          </w:tcPr>
          <w:p>
            <w:pPr>
              <w:pStyle w:val="Normal"/>
              <w:spacing w:before="40" w:after="40"/>
            </w:pPr>
            <w:r>
              <w:rPr>
                <w:sz w:val="18"/>
                <w:szCs w:val="18"/>
              </w:rPr>
              <w:t>Below cap</w:t>
            </w:r>
          </w:p>
        </w:tc>
      </w:tr>
      <w:tr>
        <w:tc>
          <w:tcPr>
            <w:tcW w:w="2200" w:type="dxa"/>
          </w:tcPr>
          <w:p>
            <w:pPr>
              <w:pStyle w:val="Normal"/>
              <w:spacing w:before="40" w:after="40"/>
            </w:pPr>
            <w:r>
              <w:rPr>
                <w:sz w:val="18"/>
                <w:szCs w:val="18"/>
              </w:rPr>
              <w:t>Dan Bryce, PhD (SIFT)</w:t>
            </w:r>
          </w:p>
        </w:tc>
        <w:tc>
          <w:tcPr>
            <w:tcW w:w="1500" w:type="dxa"/>
          </w:tcPr>
          <w:p>
            <w:pPr>
              <w:pStyle w:val="Normal"/>
              <w:spacing w:before="40" w:after="40"/>
            </w:pPr>
            <w:r>
              <w:rPr>
                <w:sz w:val="18"/>
                <w:szCs w:val="18"/>
              </w:rPr>
              <w:t>SIFT</w:t>
            </w:r>
          </w:p>
        </w:tc>
        <w:tc>
          <w:tcPr>
            <w:tcW w:w="1800" w:type="dxa"/>
          </w:tcPr>
          <w:p>
            <w:pPr>
              <w:pStyle w:val="Normal"/>
              <w:spacing w:before="40" w:after="40"/>
            </w:pPr>
            <w:r>
              <w:rPr>
                <w:sz w:val="18"/>
                <w:szCs w:val="18"/>
              </w:rPr>
              <w:t>~$200,000 est.</w:t>
            </w:r>
          </w:p>
        </w:tc>
        <w:tc>
          <w:tcPr>
            <w:tcW w:w="1100" w:type="dxa"/>
          </w:tcPr>
          <w:p>
            <w:pPr>
              <w:pStyle w:val="Normal"/>
              <w:spacing w:before="40" w:after="40"/>
            </w:pPr>
            <w:r>
              <w:rPr>
                <w:sz w:val="18"/>
                <w:szCs w:val="18"/>
              </w:rPr>
              <w:t>[FLAG Duane + Purdue SPS]</w:t>
            </w:r>
          </w:p>
        </w:tc>
        <w:tc>
          <w:tcPr>
            <w:tcW w:w="2760" w:type="dxa"/>
          </w:tcPr>
          <w:p>
            <w:pPr>
              <w:pStyle w:val="Normal"/>
              <w:spacing w:before="40" w:after="40"/>
            </w:pPr>
            <w:r>
              <w:rPr>
                <w:sz w:val="18"/>
                <w:szCs w:val="18"/>
              </w:rPr>
              <w:t>Commercial-sub salary-cap treatment; do not assume</w:t>
            </w:r>
          </w:p>
        </w:tc>
      </w:tr>
      <w:tr>
        <w:tc>
          <w:tcPr>
            <w:tcW w:w="2200" w:type="dxa"/>
          </w:tcPr>
          <w:p>
            <w:pPr>
              <w:pStyle w:val="Normal"/>
              <w:spacing w:before="40" w:after="40"/>
            </w:pPr>
            <w:r>
              <w:rPr>
                <w:sz w:val="18"/>
                <w:szCs w:val="18"/>
              </w:rPr>
              <w:t>PhD students x 2 (Purdue)</w:t>
            </w:r>
          </w:p>
        </w:tc>
        <w:tc>
          <w:tcPr>
            <w:tcW w:w="1500" w:type="dxa"/>
          </w:tcPr>
          <w:p>
            <w:pPr>
              <w:pStyle w:val="Normal"/>
              <w:spacing w:before="40" w:after="40"/>
            </w:pPr>
            <w:r>
              <w:rPr>
                <w:sz w:val="18"/>
                <w:szCs w:val="18"/>
              </w:rPr>
              <w:t>Purdue</w:t>
            </w:r>
          </w:p>
        </w:tc>
        <w:tc>
          <w:tcPr>
            <w:tcW w:w="1800" w:type="dxa"/>
          </w:tcPr>
          <w:p>
            <w:pPr>
              <w:pStyle w:val="Normal"/>
              <w:spacing w:before="40" w:after="40"/>
            </w:pPr>
            <w:r>
              <w:rPr>
                <w:sz w:val="18"/>
                <w:szCs w:val="18"/>
              </w:rPr>
              <w:t>~$36,000-50,000 stipend</w:t>
            </w:r>
          </w:p>
        </w:tc>
        <w:tc>
          <w:tcPr>
            <w:tcW w:w="1100" w:type="dxa"/>
          </w:tcPr>
          <w:p>
            <w:pPr>
              <w:pStyle w:val="Normal"/>
              <w:spacing w:before="40" w:after="40"/>
            </w:pPr>
            <w:r>
              <w:rPr>
                <w:sz w:val="18"/>
                <w:szCs w:val="18"/>
              </w:rPr>
              <w:t>No</w:t>
            </w:r>
          </w:p>
        </w:tc>
        <w:tc>
          <w:tcPr>
            <w:tcW w:w="2760" w:type="dxa"/>
          </w:tcPr>
          <w:p>
            <w:pPr>
              <w:pStyle w:val="Normal"/>
              <w:spacing w:before="40" w:after="40"/>
            </w:pPr>
            <w:r>
              <w:rPr>
                <w:sz w:val="18"/>
                <w:szCs w:val="18"/>
              </w:rPr>
              <w:t>Well below cap</w:t>
            </w:r>
          </w:p>
        </w:tc>
      </w:tr>
      <w:tr>
        <w:tc>
          <w:tcPr>
            <w:tcW w:w="2200" w:type="dxa"/>
          </w:tcPr>
          <w:p>
            <w:pPr>
              <w:pStyle w:val="Normal"/>
              <w:spacing w:before="40" w:after="40"/>
            </w:pPr>
            <w:r>
              <w:rPr>
                <w:sz w:val="18"/>
                <w:szCs w:val="18"/>
              </w:rPr>
              <w:t>Cellanome / sequencing CRO staff</w:t>
            </w:r>
          </w:p>
        </w:tc>
        <w:tc>
          <w:tcPr>
            <w:tcW w:w="1500" w:type="dxa"/>
          </w:tcPr>
          <w:p>
            <w:pPr>
              <w:pStyle w:val="Normal"/>
              <w:spacing w:before="40" w:after="40"/>
            </w:pPr>
            <w:r>
              <w:rPr>
                <w:sz w:val="18"/>
                <w:szCs w:val="18"/>
              </w:rPr>
              <w:t>Commercial</w:t>
            </w:r>
          </w:p>
        </w:tc>
        <w:tc>
          <w:tcPr>
            <w:tcW w:w="1800" w:type="dxa"/>
          </w:tcPr>
          <w:p>
            <w:pPr>
              <w:pStyle w:val="Normal"/>
              <w:spacing w:before="40" w:after="40"/>
            </w:pPr>
            <w:r>
              <w:rPr>
                <w:sz w:val="18"/>
                <w:szCs w:val="18"/>
              </w:rPr>
              <w:t>~$150,000-210,000</w:t>
            </w:r>
          </w:p>
        </w:tc>
        <w:tc>
          <w:tcPr>
            <w:tcW w:w="1100" w:type="dxa"/>
          </w:tcPr>
          <w:p>
            <w:pPr>
              <w:pStyle w:val="Normal"/>
              <w:spacing w:before="40" w:after="40"/>
            </w:pPr>
            <w:r>
              <w:rPr>
                <w:sz w:val="18"/>
                <w:szCs w:val="18"/>
              </w:rPr>
              <w:t>[FLAG Duane + Purdue SPS]</w:t>
            </w:r>
          </w:p>
        </w:tc>
        <w:tc>
          <w:tcPr>
            <w:tcW w:w="2760" w:type="dxa"/>
          </w:tcPr>
          <w:p>
            <w:pPr>
              <w:pStyle w:val="Normal"/>
              <w:spacing w:before="40" w:after="40"/>
            </w:pPr>
            <w:r>
              <w:rPr>
                <w:sz w:val="18"/>
                <w:szCs w:val="18"/>
              </w:rPr>
              <w:t>Commercial-sub cap treatment; do not assume</w:t>
            </w:r>
          </w:p>
        </w:tc>
      </w:tr>
    </w:tbl>
    <w:p>
      <w:pPr>
        <w:pStyle w:val="Normal"/>
        <w:spacing w:before="0" w:after="120"/>
      </w:pPr>
      <w:r>
        <w:t>Grama, Carpenter, and Ruzicka have institutional bases modestly above the $228,000 cap, which is standard for senior faculty. This imposes no practical constraint because their ARPA-H-funded fractions are small (0.2-0.25 FTE). Shahin Mohammadi (Cytognosis CEO): compensation Rung 1 is pegged exactly to the HHS Executive Level II rate ($228,000), so the ARPA-H charge equals $228K x committed effort (0.5 FTE = ~$114K/yr base before fringe). Rungs 2 and 3 of his compensation ladder exceed the cap and are funded exclusively from unrestricted organizational funds, never from this award.</w:t>
      </w:r>
    </w:p>
    <w:p>
      <w:pPr>
        <w:pStyle w:val="Normal"/>
        <w:spacing w:before="60" w:after="60"/>
      </w:pPr>
      <w:r>
        <w:rPr>
          <w:i/>
        </w:rPr>
        <w:t xml:space="preserve">[FLAG Duane Valz + Purdue SPS: cap treatment on direct-salary component for commercial subs (SIFT, Cellanome). Do not assume they are uncapped or capped.]</w:t>
      </w:r>
    </w:p>
    <w:p>
      <w:pPr>
        <w:pStyle w:val="Normal"/>
      </w:pPr>
    </w:p>
    <w:p>
      <w:pPr>
        <w:pStyle w:val="BodyText"/>
        <w:spacing w:before="160" w:after="80"/>
      </w:pPr>
      <w:r>
        <w:rPr>
          <w:b/>
          <w:sz w:val="22"/>
        </w:rPr>
        <w:t>All Rates Are Fully Burdened</w:t>
      </w:r>
    </w:p>
    <w:p>
      <w:pPr>
        <w:pStyle w:val="Normal"/>
        <w:spacing w:before="0" w:after="120"/>
      </w:pPr>
      <w:r>
        <w:t>All rates in the tables above are fully burdened: base salary plus fringe benefits plus any directly applicable overhead where the organization applies it. Academic personnel follow 9-month and 12-month appointment conventions for person-month accounting. Rates are drawn from 2026 market data (BLS OEWS May 2024; NIH NRSA FY2026 for academic postdoc stipends).</w:t>
      </w:r>
    </w:p>
    <w:p>
      <w:pPr>
        <w:pStyle w:val="Normal"/>
      </w:pPr>
    </w:p>
    <w:p>
      <w:pPr>
        <w:pStyle w:val="Heading1"/>
      </w:pPr>
      <w:r>
        <w:t>Equipment Purchases</w:t>
      </w:r>
    </w:p>
    <w:p>
      <w:pPr>
        <w:pStyle w:val="Normal"/>
        <w:spacing w:before="0" w:after="120"/>
      </w:pPr>
      <w:r>
        <w:t>Total equipment over five years is approximately $1.4M, concentrated in Phase I at Purdue (Tegtmeyer lab stand-up for TA4 academic experimental arm). All items exceeding $10,000 will be accompanied by vendor quotes, past purchase orders, or equivalent backup documentation per Appendix C.3.</w:t>
      </w:r>
    </w:p>
    <w:p>
      <w:pPr>
        <w:pStyle w:val="Normal"/>
      </w:pPr>
    </w:p>
    <w:p>
      <w:pPr>
        <w:pStyle w:val="BodyText"/>
        <w:spacing w:before="160" w:after="80"/>
      </w:pPr>
      <w:r>
        <w:rPr>
          <w:b/>
          <w:sz w:val="22"/>
        </w:rPr>
        <w:t>Equipment Line Items</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900"/>
        <w:gridCol w:w="1400"/>
        <w:gridCol w:w="600"/>
        <w:gridCol w:w="380"/>
        <w:gridCol w:w="1100"/>
        <w:gridCol w:w="1100"/>
        <w:gridCol w:w="1880"/>
      </w:tblGrid>
      <w:tr>
        <w:trPr>
          <w:tblHeader/>
        </w:trPr>
        <w:tc>
          <w:tcPr>
            <w:tcW w:w="2900" w:type="dxa"/>
            <w:shd w:val="clear" w:color="auto" w:fill="D6E4F0"/>
          </w:tcPr>
          <w:p>
            <w:pPr>
              <w:pStyle w:val="Normal"/>
              <w:spacing w:before="40" w:after="40"/>
            </w:pPr>
            <w:r>
              <w:rPr>
                <w:b/>
                <w:sz w:val="18"/>
                <w:szCs w:val="18"/>
              </w:rPr>
              <w:t>Item</w:t>
            </w:r>
          </w:p>
        </w:tc>
        <w:tc>
          <w:tcPr>
            <w:tcW w:w="1400" w:type="dxa"/>
            <w:shd w:val="clear" w:color="auto" w:fill="D6E4F0"/>
          </w:tcPr>
          <w:p>
            <w:pPr>
              <w:pStyle w:val="Normal"/>
              <w:spacing w:before="40" w:after="40"/>
            </w:pPr>
            <w:r>
              <w:rPr>
                <w:b/>
                <w:sz w:val="18"/>
                <w:szCs w:val="18"/>
              </w:rPr>
              <w:t>Organization</w:t>
            </w:r>
          </w:p>
        </w:tc>
        <w:tc>
          <w:tcPr>
            <w:tcW w:w="600" w:type="dxa"/>
            <w:shd w:val="clear" w:color="auto" w:fill="D6E4F0"/>
          </w:tcPr>
          <w:p>
            <w:pPr>
              <w:pStyle w:val="Normal"/>
              <w:spacing w:before="40" w:after="40"/>
            </w:pPr>
            <w:r>
              <w:rPr>
                <w:b/>
                <w:sz w:val="18"/>
                <w:szCs w:val="18"/>
              </w:rPr>
              <w:t>Phase</w:t>
            </w:r>
          </w:p>
        </w:tc>
        <w:tc>
          <w:tcPr>
            <w:tcW w:w="380" w:type="dxa"/>
            <w:shd w:val="clear" w:color="auto" w:fill="D6E4F0"/>
          </w:tcPr>
          <w:p>
            <w:pPr>
              <w:pStyle w:val="Normal"/>
              <w:spacing w:before="40" w:after="40"/>
            </w:pPr>
            <w:r>
              <w:rPr>
                <w:b/>
                <w:sz w:val="18"/>
                <w:szCs w:val="18"/>
              </w:rPr>
              <w:t>Qty</w:t>
            </w:r>
          </w:p>
        </w:tc>
        <w:tc>
          <w:tcPr>
            <w:tcW w:w="1100" w:type="dxa"/>
            <w:shd w:val="clear" w:color="auto" w:fill="D6E4F0"/>
          </w:tcPr>
          <w:p>
            <w:pPr>
              <w:pStyle w:val="Normal"/>
              <w:spacing w:before="40" w:after="40"/>
            </w:pPr>
            <w:r>
              <w:rPr>
                <w:b/>
                <w:sz w:val="18"/>
                <w:szCs w:val="18"/>
              </w:rPr>
              <w:t>Unit price (est.)</w:t>
            </w:r>
          </w:p>
        </w:tc>
        <w:tc>
          <w:tcPr>
            <w:tcW w:w="1100" w:type="dxa"/>
            <w:shd w:val="clear" w:color="auto" w:fill="D6E4F0"/>
          </w:tcPr>
          <w:p>
            <w:pPr>
              <w:pStyle w:val="Normal"/>
              <w:spacing w:before="40" w:after="40"/>
            </w:pPr>
            <w:r>
              <w:rPr>
                <w:b/>
                <w:sz w:val="18"/>
                <w:szCs w:val="18"/>
              </w:rPr>
              <w:t>Total (est.)</w:t>
            </w:r>
          </w:p>
        </w:tc>
        <w:tc>
          <w:tcPr>
            <w:tcW w:w="1880" w:type="dxa"/>
            <w:shd w:val="clear" w:color="auto" w:fill="D6E4F0"/>
          </w:tcPr>
          <w:p>
            <w:pPr>
              <w:pStyle w:val="Normal"/>
              <w:spacing w:before="40" w:after="40"/>
            </w:pPr>
            <w:r>
              <w:rPr>
                <w:b/>
                <w:sz w:val="18"/>
                <w:szCs w:val="18"/>
              </w:rPr>
              <w:t>Backup docs?</w:t>
            </w:r>
          </w:p>
        </w:tc>
      </w:tr>
      <w:tr>
        <w:tc>
          <w:tcPr>
            <w:tcW w:w="2900" w:type="dxa"/>
          </w:tcPr>
          <w:p>
            <w:pPr>
              <w:pStyle w:val="Normal"/>
              <w:spacing w:before="40" w:after="40"/>
            </w:pPr>
            <w:r>
              <w:rPr>
                <w:sz w:val="18"/>
                <w:szCs w:val="18"/>
              </w:rPr>
              <w:t>High-content imaging system (Cell Painting / optical pooled screening; PerkinElmer Operetta CLS or BioTek Cytation equivalent)</w:t>
            </w:r>
          </w:p>
        </w:tc>
        <w:tc>
          <w:tcPr>
            <w:tcW w:w="1400" w:type="dxa"/>
          </w:tcPr>
          <w:p>
            <w:pPr>
              <w:pStyle w:val="Normal"/>
              <w:spacing w:before="40" w:after="40"/>
            </w:pPr>
            <w:r>
              <w:rPr>
                <w:sz w:val="18"/>
                <w:szCs w:val="18"/>
              </w:rPr>
              <w:t>Purdue (Tegtmeyer lab)</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1</w:t>
            </w:r>
          </w:p>
        </w:tc>
        <w:tc>
          <w:tcPr>
            <w:tcW w:w="1100" w:type="dxa"/>
          </w:tcPr>
          <w:p>
            <w:pPr>
              <w:pStyle w:val="Normal"/>
              <w:spacing w:before="40" w:after="40"/>
            </w:pPr>
            <w:r>
              <w:rPr>
                <w:sz w:val="18"/>
                <w:szCs w:val="18"/>
              </w:rPr>
              <w:t>~$350,000</w:t>
            </w:r>
          </w:p>
        </w:tc>
        <w:tc>
          <w:tcPr>
            <w:tcW w:w="1100" w:type="dxa"/>
          </w:tcPr>
          <w:p>
            <w:pPr>
              <w:pStyle w:val="Normal"/>
              <w:spacing w:before="40" w:after="40"/>
            </w:pPr>
            <w:r>
              <w:rPr>
                <w:sz w:val="18"/>
                <w:szCs w:val="18"/>
              </w:rPr>
              <w:t>~$350,000</w:t>
            </w:r>
          </w:p>
        </w:tc>
        <w:tc>
          <w:tcPr>
            <w:tcW w:w="1880" w:type="dxa"/>
          </w:tcPr>
          <w:p>
            <w:pPr>
              <w:pStyle w:val="Normal"/>
              <w:spacing w:before="40" w:after="40"/>
            </w:pPr>
            <w:r>
              <w:rPr>
                <w:sz w:val="18"/>
                <w:szCs w:val="18"/>
              </w:rPr>
              <w:t>Yes; vendor quote</w:t>
            </w:r>
          </w:p>
        </w:tc>
      </w:tr>
      <w:tr>
        <w:tc>
          <w:tcPr>
            <w:tcW w:w="2900" w:type="dxa"/>
          </w:tcPr>
          <w:p>
            <w:pPr>
              <w:pStyle w:val="Normal"/>
              <w:spacing w:before="40" w:after="40"/>
            </w:pPr>
            <w:r>
              <w:rPr>
                <w:sz w:val="18"/>
                <w:szCs w:val="18"/>
              </w:rPr>
              <w:t>Spinning-disk confocal + calcium-imaging rig (Nikon Ti2 + spinning disk + perfusion chamber; single-cell Ca2+ imaging in iPSC-derived neurons)</w:t>
            </w:r>
          </w:p>
        </w:tc>
        <w:tc>
          <w:tcPr>
            <w:tcW w:w="1400" w:type="dxa"/>
          </w:tcPr>
          <w:p>
            <w:pPr>
              <w:pStyle w:val="Normal"/>
              <w:spacing w:before="40" w:after="40"/>
            </w:pPr>
            <w:r>
              <w:rPr>
                <w:sz w:val="18"/>
                <w:szCs w:val="18"/>
              </w:rPr>
              <w:t>Purdue (Tegtmeyer lab)</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1</w:t>
            </w:r>
          </w:p>
        </w:tc>
        <w:tc>
          <w:tcPr>
            <w:tcW w:w="1100" w:type="dxa"/>
          </w:tcPr>
          <w:p>
            <w:pPr>
              <w:pStyle w:val="Normal"/>
              <w:spacing w:before="40" w:after="40"/>
            </w:pPr>
            <w:r>
              <w:rPr>
                <w:sz w:val="18"/>
                <w:szCs w:val="18"/>
              </w:rPr>
              <w:t>~$275,000</w:t>
            </w:r>
          </w:p>
        </w:tc>
        <w:tc>
          <w:tcPr>
            <w:tcW w:w="1100" w:type="dxa"/>
          </w:tcPr>
          <w:p>
            <w:pPr>
              <w:pStyle w:val="Normal"/>
              <w:spacing w:before="40" w:after="40"/>
            </w:pPr>
            <w:r>
              <w:rPr>
                <w:sz w:val="18"/>
                <w:szCs w:val="18"/>
              </w:rPr>
              <w:t>~$275,000</w:t>
            </w:r>
          </w:p>
        </w:tc>
        <w:tc>
          <w:tcPr>
            <w:tcW w:w="1880" w:type="dxa"/>
          </w:tcPr>
          <w:p>
            <w:pPr>
              <w:pStyle w:val="Normal"/>
              <w:spacing w:before="40" w:after="40"/>
            </w:pPr>
            <w:r>
              <w:rPr>
                <w:sz w:val="18"/>
                <w:szCs w:val="18"/>
              </w:rPr>
              <w:t>Yes; vendor quote</w:t>
            </w:r>
          </w:p>
        </w:tc>
      </w:tr>
      <w:tr>
        <w:tc>
          <w:tcPr>
            <w:tcW w:w="2900" w:type="dxa"/>
          </w:tcPr>
          <w:p>
            <w:pPr>
              <w:pStyle w:val="Normal"/>
              <w:spacing w:before="40" w:after="40"/>
            </w:pPr>
            <w:r>
              <w:rPr>
                <w:sz w:val="18"/>
                <w:szCs w:val="18"/>
              </w:rPr>
              <w:t>Opentrons OT-2 liquid handler (LabOP-compatible; SiLA 2 interface)</w:t>
            </w:r>
          </w:p>
        </w:tc>
        <w:tc>
          <w:tcPr>
            <w:tcW w:w="1400" w:type="dxa"/>
          </w:tcPr>
          <w:p>
            <w:pPr>
              <w:pStyle w:val="Normal"/>
              <w:spacing w:before="40" w:after="40"/>
            </w:pPr>
            <w:r>
              <w:rPr>
                <w:sz w:val="18"/>
                <w:szCs w:val="18"/>
              </w:rPr>
              <w:t>Purdue and/or SIFT</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2</w:t>
            </w:r>
          </w:p>
        </w:tc>
        <w:tc>
          <w:tcPr>
            <w:tcW w:w="1100" w:type="dxa"/>
          </w:tcPr>
          <w:p>
            <w:pPr>
              <w:pStyle w:val="Normal"/>
              <w:spacing w:before="40" w:after="40"/>
            </w:pPr>
            <w:r>
              <w:rPr>
                <w:sz w:val="18"/>
                <w:szCs w:val="18"/>
              </w:rPr>
              <w:t>~$30,000</w:t>
            </w:r>
          </w:p>
        </w:tc>
        <w:tc>
          <w:tcPr>
            <w:tcW w:w="1100" w:type="dxa"/>
          </w:tcPr>
          <w:p>
            <w:pPr>
              <w:pStyle w:val="Normal"/>
              <w:spacing w:before="40" w:after="40"/>
            </w:pPr>
            <w:r>
              <w:rPr>
                <w:sz w:val="18"/>
                <w:szCs w:val="18"/>
              </w:rPr>
              <w:t>~$60,000</w:t>
            </w:r>
          </w:p>
        </w:tc>
        <w:tc>
          <w:tcPr>
            <w:tcW w:w="1880" w:type="dxa"/>
          </w:tcPr>
          <w:p>
            <w:pPr>
              <w:pStyle w:val="Normal"/>
              <w:spacing w:before="40" w:after="40"/>
            </w:pPr>
            <w:r>
              <w:rPr>
                <w:sz w:val="18"/>
                <w:szCs w:val="18"/>
              </w:rPr>
              <w:t>Yes; vendor quote</w:t>
            </w:r>
          </w:p>
        </w:tc>
      </w:tr>
      <w:tr>
        <w:tc>
          <w:tcPr>
            <w:tcW w:w="2900" w:type="dxa"/>
          </w:tcPr>
          <w:p>
            <w:pPr>
              <w:pStyle w:val="Normal"/>
              <w:spacing w:before="40" w:after="40"/>
            </w:pPr>
            <w:r>
              <w:rPr>
                <w:sz w:val="18"/>
                <w:szCs w:val="18"/>
              </w:rPr>
              <w:t>Lab fit-out (CO2 incubators, biosafety cabinets, centrifuges, plate readers)</w:t>
            </w:r>
          </w:p>
        </w:tc>
        <w:tc>
          <w:tcPr>
            <w:tcW w:w="1400" w:type="dxa"/>
          </w:tcPr>
          <w:p>
            <w:pPr>
              <w:pStyle w:val="Normal"/>
              <w:spacing w:before="40" w:after="40"/>
            </w:pPr>
            <w:r>
              <w:rPr>
                <w:sz w:val="18"/>
                <w:szCs w:val="18"/>
              </w:rPr>
              <w:t>Purdue (Tegtmeyer lab)</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lot</w:t>
            </w:r>
          </w:p>
        </w:tc>
        <w:tc>
          <w:tcPr>
            <w:tcW w:w="1100" w:type="dxa"/>
          </w:tcPr>
          <w:p>
            <w:pPr>
              <w:pStyle w:val="Normal"/>
              <w:spacing w:before="40" w:after="40"/>
            </w:pPr>
            <w:r>
              <w:rPr>
                <w:sz w:val="18"/>
                <w:szCs w:val="18"/>
              </w:rPr>
              <w:t>~$150,000</w:t>
            </w:r>
          </w:p>
        </w:tc>
        <w:tc>
          <w:tcPr>
            <w:tcW w:w="1100" w:type="dxa"/>
          </w:tcPr>
          <w:p>
            <w:pPr>
              <w:pStyle w:val="Normal"/>
              <w:spacing w:before="40" w:after="40"/>
            </w:pPr>
            <w:r>
              <w:rPr>
                <w:sz w:val="18"/>
                <w:szCs w:val="18"/>
              </w:rPr>
              <w:t>~$150,000</w:t>
            </w:r>
          </w:p>
        </w:tc>
        <w:tc>
          <w:tcPr>
            <w:tcW w:w="1880" w:type="dxa"/>
          </w:tcPr>
          <w:p>
            <w:pPr>
              <w:pStyle w:val="Normal"/>
              <w:spacing w:before="40" w:after="40"/>
            </w:pPr>
            <w:r>
              <w:rPr>
                <w:sz w:val="18"/>
                <w:szCs w:val="18"/>
              </w:rPr>
              <w:t>Yes; vendor quotes or past POs</w:t>
            </w:r>
          </w:p>
        </w:tc>
      </w:tr>
      <w:tr>
        <w:tc>
          <w:tcPr>
            <w:tcW w:w="2900" w:type="dxa"/>
          </w:tcPr>
          <w:p>
            <w:pPr>
              <w:pStyle w:val="Normal"/>
              <w:spacing w:before="40" w:after="40"/>
            </w:pPr>
            <w:r>
              <w:rPr>
                <w:sz w:val="18"/>
                <w:szCs w:val="18"/>
              </w:rPr>
              <w:t>iPSC-specific equipment (spinner flask bioreactor, additional plate reader)</w:t>
            </w:r>
          </w:p>
        </w:tc>
        <w:tc>
          <w:tcPr>
            <w:tcW w:w="1400" w:type="dxa"/>
          </w:tcPr>
          <w:p>
            <w:pPr>
              <w:pStyle w:val="Normal"/>
              <w:spacing w:before="40" w:after="40"/>
            </w:pPr>
            <w:r>
              <w:rPr>
                <w:sz w:val="18"/>
                <w:szCs w:val="18"/>
              </w:rPr>
              <w:t>Purdue (Tegtmeyer lab)</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lot</w:t>
            </w:r>
          </w:p>
        </w:tc>
        <w:tc>
          <w:tcPr>
            <w:tcW w:w="1100" w:type="dxa"/>
          </w:tcPr>
          <w:p>
            <w:pPr>
              <w:pStyle w:val="Normal"/>
              <w:spacing w:before="40" w:after="40"/>
            </w:pPr>
            <w:r>
              <w:rPr>
                <w:sz w:val="18"/>
                <w:szCs w:val="18"/>
              </w:rPr>
              <w:t>~$120,000</w:t>
            </w:r>
          </w:p>
        </w:tc>
        <w:tc>
          <w:tcPr>
            <w:tcW w:w="1100" w:type="dxa"/>
          </w:tcPr>
          <w:p>
            <w:pPr>
              <w:pStyle w:val="Normal"/>
              <w:spacing w:before="40" w:after="40"/>
            </w:pPr>
            <w:r>
              <w:rPr>
                <w:sz w:val="18"/>
                <w:szCs w:val="18"/>
              </w:rPr>
              <w:t>~$120,000</w:t>
            </w:r>
          </w:p>
        </w:tc>
        <w:tc>
          <w:tcPr>
            <w:tcW w:w="1880" w:type="dxa"/>
          </w:tcPr>
          <w:p>
            <w:pPr>
              <w:pStyle w:val="Normal"/>
              <w:spacing w:before="40" w:after="40"/>
            </w:pPr>
            <w:r>
              <w:rPr>
                <w:sz w:val="18"/>
                <w:szCs w:val="18"/>
              </w:rPr>
              <w:t>Yes; vendor quotes</w:t>
            </w:r>
          </w:p>
        </w:tc>
      </w:tr>
      <w:tr>
        <w:tc>
          <w:tcPr>
            <w:tcW w:w="2900" w:type="dxa"/>
          </w:tcPr>
          <w:p>
            <w:pPr>
              <w:pStyle w:val="Normal"/>
              <w:spacing w:before="40" w:after="40"/>
            </w:pPr>
            <w:r>
              <w:rPr>
                <w:sz w:val="18"/>
                <w:szCs w:val="18"/>
              </w:rPr>
              <w:t>Lab computing workstations + NAS</w:t>
            </w:r>
          </w:p>
        </w:tc>
        <w:tc>
          <w:tcPr>
            <w:tcW w:w="1400" w:type="dxa"/>
          </w:tcPr>
          <w:p>
            <w:pPr>
              <w:pStyle w:val="Normal"/>
              <w:spacing w:before="40" w:after="40"/>
            </w:pPr>
            <w:r>
              <w:rPr>
                <w:sz w:val="18"/>
                <w:szCs w:val="18"/>
              </w:rPr>
              <w:t>Purdue</w:t>
            </w:r>
          </w:p>
        </w:tc>
        <w:tc>
          <w:tcPr>
            <w:tcW w:w="600" w:type="dxa"/>
          </w:tcPr>
          <w:p>
            <w:pPr>
              <w:pStyle w:val="Normal"/>
              <w:spacing w:before="40" w:after="40"/>
            </w:pPr>
            <w:r>
              <w:rPr>
                <w:sz w:val="18"/>
                <w:szCs w:val="18"/>
              </w:rPr>
              <w:t>Phase I</w:t>
            </w:r>
          </w:p>
        </w:tc>
        <w:tc>
          <w:tcPr>
            <w:tcW w:w="380" w:type="dxa"/>
          </w:tcPr>
          <w:p>
            <w:pPr>
              <w:pStyle w:val="Normal"/>
              <w:spacing w:before="40" w:after="40"/>
            </w:pPr>
            <w:r>
              <w:rPr>
                <w:sz w:val="18"/>
                <w:szCs w:val="18"/>
              </w:rPr>
              <w:t>lot</w:t>
            </w:r>
          </w:p>
        </w:tc>
        <w:tc>
          <w:tcPr>
            <w:tcW w:w="1100" w:type="dxa"/>
          </w:tcPr>
          <w:p>
            <w:pPr>
              <w:pStyle w:val="Normal"/>
              <w:spacing w:before="40" w:after="40"/>
            </w:pPr>
            <w:r>
              <w:rPr>
                <w:sz w:val="18"/>
                <w:szCs w:val="18"/>
              </w:rPr>
              <w:t>~$80,000</w:t>
            </w:r>
          </w:p>
        </w:tc>
        <w:tc>
          <w:tcPr>
            <w:tcW w:w="1100" w:type="dxa"/>
          </w:tcPr>
          <w:p>
            <w:pPr>
              <w:pStyle w:val="Normal"/>
              <w:spacing w:before="40" w:after="40"/>
            </w:pPr>
            <w:r>
              <w:rPr>
                <w:sz w:val="18"/>
                <w:szCs w:val="18"/>
              </w:rPr>
              <w:t>~$80,000</w:t>
            </w:r>
          </w:p>
        </w:tc>
        <w:tc>
          <w:tcPr>
            <w:tcW w:w="1880" w:type="dxa"/>
          </w:tcPr>
          <w:p>
            <w:pPr>
              <w:pStyle w:val="Normal"/>
              <w:spacing w:before="40" w:after="40"/>
            </w:pPr>
            <w:r>
              <w:rPr>
                <w:sz w:val="18"/>
                <w:szCs w:val="18"/>
              </w:rPr>
              <w:t>Yes; vendor quotes</w:t>
            </w:r>
          </w:p>
        </w:tc>
      </w:tr>
      <w:tr>
        <w:tc>
          <w:tcPr>
            <w:tcW w:w="2900" w:type="dxa"/>
          </w:tcPr>
          <w:p>
            <w:pPr>
              <w:pStyle w:val="Normal"/>
              <w:spacing w:before="40" w:after="40"/>
            </w:pPr>
            <w:r>
              <w:rPr>
                <w:sz w:val="18"/>
                <w:szCs w:val="18"/>
              </w:rPr>
              <w:t>Software licenses (individual items generally &lt;$10K)</w:t>
            </w:r>
          </w:p>
        </w:tc>
        <w:tc>
          <w:tcPr>
            <w:tcW w:w="1400" w:type="dxa"/>
          </w:tcPr>
          <w:p>
            <w:pPr>
              <w:pStyle w:val="Normal"/>
              <w:spacing w:before="40" w:after="40"/>
            </w:pPr>
            <w:r>
              <w:rPr>
                <w:sz w:val="18"/>
                <w:szCs w:val="18"/>
              </w:rPr>
              <w:t>Multiple</w:t>
            </w:r>
          </w:p>
        </w:tc>
        <w:tc>
          <w:tcPr>
            <w:tcW w:w="600" w:type="dxa"/>
          </w:tcPr>
          <w:p>
            <w:pPr>
              <w:pStyle w:val="Normal"/>
              <w:spacing w:before="40" w:after="40"/>
            </w:pPr>
            <w:r>
              <w:rPr>
                <w:sz w:val="18"/>
                <w:szCs w:val="18"/>
              </w:rPr>
              <w:t>All</w:t>
            </w:r>
          </w:p>
        </w:tc>
        <w:tc>
          <w:tcPr>
            <w:tcW w:w="380" w:type="dxa"/>
          </w:tcPr>
          <w:p>
            <w:pPr>
              <w:pStyle w:val="Normal"/>
              <w:spacing w:before="40" w:after="40"/>
            </w:pPr>
            <w:r>
              <w:rPr>
                <w:sz w:val="18"/>
                <w:szCs w:val="18"/>
              </w:rPr>
              <w:t>lot</w:t>
            </w:r>
          </w:p>
        </w:tc>
        <w:tc>
          <w:tcPr>
            <w:tcW w:w="1100" w:type="dxa"/>
          </w:tcPr>
          <w:p>
            <w:pPr>
              <w:pStyle w:val="Normal"/>
              <w:spacing w:before="40" w:after="40"/>
            </w:pPr>
            <w:r>
              <w:rPr>
                <w:sz w:val="18"/>
                <w:szCs w:val="18"/>
              </w:rPr>
              <w:t>—</w:t>
            </w:r>
          </w:p>
        </w:tc>
        <w:tc>
          <w:tcPr>
            <w:tcW w:w="1100" w:type="dxa"/>
          </w:tcPr>
          <w:p>
            <w:pPr>
              <w:pStyle w:val="Normal"/>
              <w:spacing w:before="40" w:after="40"/>
            </w:pPr>
            <w:r>
              <w:rPr>
                <w:sz w:val="18"/>
                <w:szCs w:val="18"/>
              </w:rPr>
              <w:t>~$50,000</w:t>
            </w:r>
          </w:p>
        </w:tc>
        <w:tc>
          <w:tcPr>
            <w:tcW w:w="1880" w:type="dxa"/>
          </w:tcPr>
          <w:p>
            <w:pPr>
              <w:pStyle w:val="Normal"/>
              <w:spacing w:before="40" w:after="40"/>
            </w:pPr>
            <w:r>
              <w:rPr>
                <w:sz w:val="18"/>
                <w:szCs w:val="18"/>
              </w:rPr>
              <w:t>No (items &lt;$10K each)</w:t>
            </w:r>
          </w:p>
        </w:tc>
      </w:tr>
      <w:tr>
        <w:tc>
          <w:tcPr>
            <w:tcW w:w="2900" w:type="dxa"/>
          </w:tcPr>
          <w:p>
            <w:pPr>
              <w:pStyle w:val="Normal"/>
              <w:spacing w:before="40" w:after="40"/>
            </w:pPr>
            <w:r>
              <w:rPr>
                <w:sz w:val="18"/>
                <w:szCs w:val="18"/>
              </w:rPr>
              <w:t>Equipment reserve</w:t>
            </w:r>
          </w:p>
        </w:tc>
        <w:tc>
          <w:tcPr>
            <w:tcW w:w="1400" w:type="dxa"/>
          </w:tcPr>
          <w:p>
            <w:pPr>
              <w:pStyle w:val="Normal"/>
              <w:spacing w:before="40" w:after="40"/>
            </w:pPr>
            <w:r>
              <w:rPr>
                <w:sz w:val="18"/>
                <w:szCs w:val="18"/>
              </w:rPr>
              <w:t>Multiple</w:t>
            </w:r>
          </w:p>
        </w:tc>
        <w:tc>
          <w:tcPr>
            <w:tcW w:w="600" w:type="dxa"/>
          </w:tcPr>
          <w:p>
            <w:pPr>
              <w:pStyle w:val="Normal"/>
              <w:spacing w:before="40" w:after="40"/>
            </w:pPr>
            <w:r>
              <w:rPr>
                <w:sz w:val="18"/>
                <w:szCs w:val="18"/>
              </w:rPr>
              <w:t>All</w:t>
            </w:r>
          </w:p>
        </w:tc>
        <w:tc>
          <w:tcPr>
            <w:tcW w:w="380" w:type="dxa"/>
          </w:tcPr>
          <w:p>
            <w:pPr>
              <w:pStyle w:val="Normal"/>
              <w:spacing w:before="40" w:after="40"/>
            </w:pPr>
            <w:r>
              <w:rPr>
                <w:sz w:val="18"/>
                <w:szCs w:val="18"/>
              </w:rPr>
              <w:t>—</w:t>
            </w:r>
          </w:p>
        </w:tc>
        <w:tc>
          <w:tcPr>
            <w:tcW w:w="1100" w:type="dxa"/>
          </w:tcPr>
          <w:p>
            <w:pPr>
              <w:pStyle w:val="Normal"/>
              <w:spacing w:before="40" w:after="40"/>
            </w:pPr>
            <w:r>
              <w:rPr>
                <w:sz w:val="18"/>
                <w:szCs w:val="18"/>
              </w:rPr>
              <w:t>—</w:t>
            </w:r>
          </w:p>
        </w:tc>
        <w:tc>
          <w:tcPr>
            <w:tcW w:w="1100" w:type="dxa"/>
          </w:tcPr>
          <w:p>
            <w:pPr>
              <w:pStyle w:val="Normal"/>
              <w:spacing w:before="40" w:after="40"/>
            </w:pPr>
            <w:r>
              <w:rPr>
                <w:sz w:val="18"/>
                <w:szCs w:val="18"/>
              </w:rPr>
              <w:t>~$115,000</w:t>
            </w:r>
          </w:p>
        </w:tc>
        <w:tc>
          <w:tcPr>
            <w:tcW w:w="1880" w:type="dxa"/>
          </w:tcPr>
          <w:p>
            <w:pPr>
              <w:pStyle w:val="Normal"/>
              <w:spacing w:before="40" w:after="40"/>
            </w:pPr>
            <w:r>
              <w:rPr>
                <w:sz w:val="18"/>
                <w:szCs w:val="18"/>
              </w:rPr>
              <w:t>—</w:t>
            </w:r>
          </w:p>
        </w:tc>
      </w:tr>
      <w:tr>
        <w:tc>
          <w:tcPr>
            <w:tcW w:w="2900" w:type="dxa"/>
          </w:tcPr>
          <w:p>
            <w:pPr>
              <w:pStyle w:val="Normal"/>
              <w:spacing w:before="40" w:after="40"/>
            </w:pPr>
            <w:r>
              <w:rPr>
                <w:b/>
                <w:sz w:val="18"/>
                <w:szCs w:val="18"/>
              </w:rPr>
              <w:t>Phase I equipment subtotal</w:t>
            </w:r>
          </w:p>
        </w:tc>
        <w:tc>
          <w:tcPr>
            <w:tcW w:w="1400" w:type="dxa"/>
          </w:tcPr>
          <w:p>
            <w:pPr>
              <w:pStyle w:val="Normal"/>
              <w:spacing w:before="40" w:after="40"/>
            </w:pPr>
            <w:r>
              <w:rPr>
                <w:sz w:val="18"/>
                <w:szCs w:val="18"/>
              </w:rPr>
              <w:t/>
            </w:r>
          </w:p>
        </w:tc>
        <w:tc>
          <w:tcPr>
            <w:tcW w:w="600" w:type="dxa"/>
          </w:tcPr>
          <w:p>
            <w:pPr>
              <w:pStyle w:val="Normal"/>
              <w:spacing w:before="40" w:after="40"/>
            </w:pPr>
            <w:r>
              <w:rPr>
                <w:sz w:val="18"/>
                <w:szCs w:val="18"/>
              </w:rPr>
              <w:t/>
            </w:r>
          </w:p>
        </w:tc>
        <w:tc>
          <w:tcPr>
            <w:tcW w:w="38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100" w:type="dxa"/>
          </w:tcPr>
          <w:p>
            <w:pPr>
              <w:pStyle w:val="Normal"/>
              <w:spacing w:before="40" w:after="40"/>
            </w:pPr>
            <w:r>
              <w:rPr>
                <w:sz w:val="18"/>
                <w:szCs w:val="18"/>
              </w:rPr>
              <w:t>~$1,400,000</w:t>
            </w:r>
          </w:p>
        </w:tc>
        <w:tc>
          <w:tcPr>
            <w:tcW w:w="1880" w:type="dxa"/>
          </w:tcPr>
          <w:p>
            <w:pPr>
              <w:pStyle w:val="Normal"/>
              <w:spacing w:before="40" w:after="40"/>
            </w:pPr>
            <w:r>
              <w:rPr>
                <w:sz w:val="18"/>
                <w:szCs w:val="18"/>
              </w:rPr>
              <w:t/>
            </w:r>
          </w:p>
        </w:tc>
      </w:tr>
      <w:tr>
        <w:tc>
          <w:tcPr>
            <w:tcW w:w="2900" w:type="dxa"/>
          </w:tcPr>
          <w:p>
            <w:pPr>
              <w:pStyle w:val="Normal"/>
              <w:spacing w:before="40" w:after="40"/>
            </w:pPr>
            <w:r>
              <w:rPr>
                <w:b/>
                <w:sz w:val="18"/>
                <w:szCs w:val="18"/>
              </w:rPr>
              <w:t>Phase II equipment subtotal</w:t>
            </w:r>
          </w:p>
        </w:tc>
        <w:tc>
          <w:tcPr>
            <w:tcW w:w="1400" w:type="dxa"/>
          </w:tcPr>
          <w:p>
            <w:pPr>
              <w:pStyle w:val="Normal"/>
              <w:spacing w:before="40" w:after="40"/>
            </w:pPr>
            <w:r>
              <w:rPr>
                <w:sz w:val="18"/>
                <w:szCs w:val="18"/>
              </w:rPr>
              <w:t/>
            </w:r>
          </w:p>
        </w:tc>
        <w:tc>
          <w:tcPr>
            <w:tcW w:w="600" w:type="dxa"/>
          </w:tcPr>
          <w:p>
            <w:pPr>
              <w:pStyle w:val="Normal"/>
              <w:spacing w:before="40" w:after="40"/>
            </w:pPr>
            <w:r>
              <w:rPr>
                <w:sz w:val="18"/>
                <w:szCs w:val="18"/>
              </w:rPr>
              <w:t/>
            </w:r>
          </w:p>
        </w:tc>
        <w:tc>
          <w:tcPr>
            <w:tcW w:w="38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100" w:type="dxa"/>
          </w:tcPr>
          <w:p>
            <w:pPr>
              <w:pStyle w:val="Normal"/>
              <w:spacing w:before="40" w:after="40"/>
            </w:pPr>
            <w:r>
              <w:rPr>
                <w:sz w:val="18"/>
                <w:szCs w:val="18"/>
              </w:rPr>
              <w:t>$0</w:t>
            </w:r>
          </w:p>
        </w:tc>
        <w:tc>
          <w:tcPr>
            <w:tcW w:w="1880" w:type="dxa"/>
          </w:tcPr>
          <w:p>
            <w:pPr>
              <w:pStyle w:val="Normal"/>
              <w:spacing w:before="40" w:after="40"/>
            </w:pPr>
            <w:r>
              <w:rPr>
                <w:sz w:val="18"/>
                <w:szCs w:val="18"/>
              </w:rPr>
              <w:t>Equipment concentrated in Phase I</w:t>
            </w:r>
          </w:p>
        </w:tc>
      </w:tr>
      <w:tr>
        <w:tc>
          <w:tcPr>
            <w:tcW w:w="2900" w:type="dxa"/>
          </w:tcPr>
          <w:p>
            <w:pPr>
              <w:pStyle w:val="Normal"/>
              <w:spacing w:before="40" w:after="40"/>
            </w:pPr>
            <w:r>
              <w:rPr>
                <w:b/>
                <w:sz w:val="18"/>
                <w:szCs w:val="18"/>
              </w:rPr>
              <w:t>Phase III equipment subtotal</w:t>
            </w:r>
          </w:p>
        </w:tc>
        <w:tc>
          <w:tcPr>
            <w:tcW w:w="1400" w:type="dxa"/>
          </w:tcPr>
          <w:p>
            <w:pPr>
              <w:pStyle w:val="Normal"/>
              <w:spacing w:before="40" w:after="40"/>
            </w:pPr>
            <w:r>
              <w:rPr>
                <w:sz w:val="18"/>
                <w:szCs w:val="18"/>
              </w:rPr>
              <w:t/>
            </w:r>
          </w:p>
        </w:tc>
        <w:tc>
          <w:tcPr>
            <w:tcW w:w="600" w:type="dxa"/>
          </w:tcPr>
          <w:p>
            <w:pPr>
              <w:pStyle w:val="Normal"/>
              <w:spacing w:before="40" w:after="40"/>
            </w:pPr>
            <w:r>
              <w:rPr>
                <w:sz w:val="18"/>
                <w:szCs w:val="18"/>
              </w:rPr>
              <w:t/>
            </w:r>
          </w:p>
        </w:tc>
        <w:tc>
          <w:tcPr>
            <w:tcW w:w="38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100" w:type="dxa"/>
          </w:tcPr>
          <w:p>
            <w:pPr>
              <w:pStyle w:val="Normal"/>
              <w:spacing w:before="40" w:after="40"/>
            </w:pPr>
            <w:r>
              <w:rPr>
                <w:sz w:val="18"/>
                <w:szCs w:val="18"/>
              </w:rPr>
              <w:t>$0</w:t>
            </w:r>
          </w:p>
        </w:tc>
        <w:tc>
          <w:tcPr>
            <w:tcW w:w="1880" w:type="dxa"/>
          </w:tcPr>
          <w:p>
            <w:pPr>
              <w:pStyle w:val="Normal"/>
              <w:spacing w:before="40" w:after="40"/>
            </w:pPr>
            <w:r>
              <w:rPr>
                <w:sz w:val="18"/>
                <w:szCs w:val="18"/>
              </w:rPr>
              <w:t/>
            </w:r>
          </w:p>
        </w:tc>
      </w:tr>
      <w:tr>
        <w:tc>
          <w:tcPr>
            <w:tcW w:w="2900" w:type="dxa"/>
          </w:tcPr>
          <w:p>
            <w:pPr>
              <w:pStyle w:val="Normal"/>
              <w:spacing w:before="40" w:after="40"/>
            </w:pPr>
            <w:r>
              <w:rPr>
                <w:b/>
                <w:sz w:val="18"/>
                <w:szCs w:val="18"/>
              </w:rPr>
              <w:t>5-year total</w:t>
            </w:r>
          </w:p>
        </w:tc>
        <w:tc>
          <w:tcPr>
            <w:tcW w:w="1400" w:type="dxa"/>
          </w:tcPr>
          <w:p>
            <w:pPr>
              <w:pStyle w:val="Normal"/>
              <w:spacing w:before="40" w:after="40"/>
            </w:pPr>
            <w:r>
              <w:rPr>
                <w:sz w:val="18"/>
                <w:szCs w:val="18"/>
              </w:rPr>
              <w:t/>
            </w:r>
          </w:p>
        </w:tc>
        <w:tc>
          <w:tcPr>
            <w:tcW w:w="600" w:type="dxa"/>
          </w:tcPr>
          <w:p>
            <w:pPr>
              <w:pStyle w:val="Normal"/>
              <w:spacing w:before="40" w:after="40"/>
            </w:pPr>
            <w:r>
              <w:rPr>
                <w:sz w:val="18"/>
                <w:szCs w:val="18"/>
              </w:rPr>
              <w:t/>
            </w:r>
          </w:p>
        </w:tc>
        <w:tc>
          <w:tcPr>
            <w:tcW w:w="38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100" w:type="dxa"/>
          </w:tcPr>
          <w:p>
            <w:pPr>
              <w:pStyle w:val="Normal"/>
              <w:spacing w:before="40" w:after="40"/>
            </w:pPr>
            <w:r>
              <w:rPr>
                <w:sz w:val="18"/>
                <w:szCs w:val="18"/>
              </w:rPr>
              <w:t>$1,400,000</w:t>
            </w:r>
          </w:p>
        </w:tc>
        <w:tc>
          <w:tcPr>
            <w:tcW w:w="1880" w:type="dxa"/>
          </w:tcPr>
          <w:p>
            <w:pPr>
              <w:pStyle w:val="Normal"/>
              <w:spacing w:before="40" w:after="40"/>
            </w:pPr>
            <w:r>
              <w:rPr>
                <w:sz w:val="18"/>
                <w:szCs w:val="18"/>
              </w:rPr>
              <w:t/>
            </w:r>
          </w:p>
        </w:tc>
      </w:tr>
    </w:tbl>
    <w:p>
      <w:pPr>
        <w:pStyle w:val="Normal"/>
      </w:pPr>
    </w:p>
    <w:p>
      <w:pPr>
        <w:pStyle w:val="BodyText"/>
        <w:spacing w:before="160" w:after="80"/>
      </w:pPr>
      <w:r>
        <w:rPr>
          <w:b/>
          <w:sz w:val="22"/>
        </w:rPr>
        <w:t>Rationale for Phase I Equipment Concentration</w:t>
      </w:r>
    </w:p>
    <w:p>
      <w:pPr>
        <w:pStyle w:val="Normal"/>
        <w:spacing w:before="0" w:after="120"/>
      </w:pPr>
      <w:r>
        <w:t>Tegtmeyer is establishing a new Purdue faculty wet-lab and is the academic experimental arm of TA4; the imaging and cell-biology equipment stand-up belongs to his bench. Carpenter is in-house at Purdue/IPAI in a purely computational capacity (no new wet-lab bench); no separate Broad sub-award. Deferring the imaging equipment to Phase II would delay Tegtmeyer's experimental throughput and risk the Month 18 closed-loop milestone. Option A (full Phase I stand-up for Tegtmeyer's lab) is adopted.</w:t>
      </w:r>
    </w:p>
    <w:p>
      <w:pPr>
        <w:pStyle w:val="Normal"/>
        <w:spacing w:before="0" w:after="120"/>
      </w:pPr>
      <w:r>
        <w:t>Note: any Purdue wet-lab construction or renovation is a capital cost covered by Purdue institutional funds; it is not a direct cost on this award.</w:t>
      </w:r>
    </w:p>
    <w:p>
      <w:pPr>
        <w:pStyle w:val="Normal"/>
      </w:pPr>
    </w:p>
    <w:p>
      <w:pPr>
        <w:pStyle w:val="Heading1"/>
      </w:pPr>
      <w:r>
        <w:t>Travel</w:t>
      </w:r>
    </w:p>
    <w:p>
      <w:pPr>
        <w:pStyle w:val="Normal"/>
        <w:spacing w:before="0" w:after="120"/>
      </w:pPr>
      <w:r>
        <w:t>Total travel over five years is approximately $0.9M. SIFT's confirmed travel is $69,747 (per Dan's cost breakdown). Each trip is justified against a specific TDD task or milestone.</w:t>
      </w:r>
    </w:p>
    <w:p>
      <w:pPr>
        <w:pStyle w:val="Normal"/>
      </w:pPr>
    </w:p>
    <w:p>
      <w:pPr>
        <w:pStyle w:val="BodyText"/>
        <w:spacing w:before="160" w:after="80"/>
      </w:pPr>
      <w:r>
        <w:rPr>
          <w:b/>
          <w:sz w:val="22"/>
        </w:rPr>
        <w:t>Travel Line Items</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400"/>
        <w:gridCol w:w="700"/>
        <w:gridCol w:w="700"/>
        <w:gridCol w:w="1300"/>
        <w:gridCol w:w="1000"/>
        <w:gridCol w:w="760"/>
        <w:gridCol w:w="1100"/>
        <w:gridCol w:w="1400"/>
      </w:tblGrid>
      <w:tr>
        <w:trPr>
          <w:tblHeader/>
        </w:trPr>
        <w:tc>
          <w:tcPr>
            <w:tcW w:w="2400" w:type="dxa"/>
            <w:shd w:val="clear" w:color="auto" w:fill="D6E4F0"/>
          </w:tcPr>
          <w:p>
            <w:pPr>
              <w:pStyle w:val="Normal"/>
              <w:spacing w:before="40" w:after="40"/>
            </w:pPr>
            <w:r>
              <w:rPr>
                <w:b/>
                <w:sz w:val="18"/>
                <w:szCs w:val="18"/>
              </w:rPr>
              <w:t>Purpose</w:t>
            </w:r>
          </w:p>
        </w:tc>
        <w:tc>
          <w:tcPr>
            <w:tcW w:w="700" w:type="dxa"/>
            <w:shd w:val="clear" w:color="auto" w:fill="D6E4F0"/>
          </w:tcPr>
          <w:p>
            <w:pPr>
              <w:pStyle w:val="Normal"/>
              <w:spacing w:before="40" w:after="40"/>
            </w:pPr>
            <w:r>
              <w:rPr>
                <w:b/>
                <w:sz w:val="18"/>
                <w:szCs w:val="18"/>
              </w:rPr>
              <w:t>TDD task</w:t>
            </w:r>
          </w:p>
        </w:tc>
        <w:tc>
          <w:tcPr>
            <w:tcW w:w="700" w:type="dxa"/>
            <w:shd w:val="clear" w:color="auto" w:fill="D6E4F0"/>
          </w:tcPr>
          <w:p>
            <w:pPr>
              <w:pStyle w:val="Normal"/>
              <w:spacing w:before="40" w:after="40"/>
            </w:pPr>
            <w:r>
              <w:rPr>
                <w:b/>
                <w:sz w:val="18"/>
                <w:szCs w:val="18"/>
              </w:rPr>
              <w:t>Phase</w:t>
            </w:r>
          </w:p>
        </w:tc>
        <w:tc>
          <w:tcPr>
            <w:tcW w:w="1300" w:type="dxa"/>
            <w:shd w:val="clear" w:color="auto" w:fill="D6E4F0"/>
          </w:tcPr>
          <w:p>
            <w:pPr>
              <w:pStyle w:val="Normal"/>
              <w:spacing w:before="40" w:after="40"/>
            </w:pPr>
            <w:r>
              <w:rPr>
                <w:b/>
                <w:sz w:val="18"/>
                <w:szCs w:val="18"/>
              </w:rPr>
              <w:t>Lead org</w:t>
            </w:r>
          </w:p>
        </w:tc>
        <w:tc>
          <w:tcPr>
            <w:tcW w:w="1000" w:type="dxa"/>
            <w:shd w:val="clear" w:color="auto" w:fill="D6E4F0"/>
          </w:tcPr>
          <w:p>
            <w:pPr>
              <w:pStyle w:val="Normal"/>
              <w:spacing w:before="40" w:after="40"/>
            </w:pPr>
            <w:r>
              <w:rPr>
                <w:b/>
                <w:sz w:val="18"/>
                <w:szCs w:val="18"/>
              </w:rPr>
              <w:t>Destination</w:t>
            </w:r>
          </w:p>
        </w:tc>
        <w:tc>
          <w:tcPr>
            <w:tcW w:w="760" w:type="dxa"/>
            <w:shd w:val="clear" w:color="auto" w:fill="D6E4F0"/>
          </w:tcPr>
          <w:p>
            <w:pPr>
              <w:pStyle w:val="Normal"/>
              <w:spacing w:before="40" w:after="40"/>
            </w:pPr>
            <w:r>
              <w:rPr>
                <w:b/>
                <w:sz w:val="18"/>
                <w:szCs w:val="18"/>
              </w:rPr>
              <w:t>Travelers</w:t>
            </w:r>
          </w:p>
        </w:tc>
        <w:tc>
          <w:tcPr>
            <w:tcW w:w="1100" w:type="dxa"/>
            <w:shd w:val="clear" w:color="auto" w:fill="D6E4F0"/>
          </w:tcPr>
          <w:p>
            <w:pPr>
              <w:pStyle w:val="Normal"/>
              <w:spacing w:before="40" w:after="40"/>
            </w:pPr>
            <w:r>
              <w:rPr>
                <w:b/>
                <w:sz w:val="18"/>
                <w:szCs w:val="18"/>
              </w:rPr>
              <w:t>Est. cost/traveler</w:t>
            </w:r>
          </w:p>
        </w:tc>
        <w:tc>
          <w:tcPr>
            <w:tcW w:w="1400" w:type="dxa"/>
            <w:shd w:val="clear" w:color="auto" w:fill="D6E4F0"/>
          </w:tcPr>
          <w:p>
            <w:pPr>
              <w:pStyle w:val="Normal"/>
              <w:spacing w:before="40" w:after="40"/>
            </w:pPr>
            <w:r>
              <w:rPr>
                <w:b/>
                <w:sz w:val="18"/>
                <w:szCs w:val="18"/>
              </w:rPr>
              <w:t>Total</w:t>
            </w:r>
          </w:p>
        </w:tc>
      </w:tr>
      <w:tr>
        <w:tc>
          <w:tcPr>
            <w:tcW w:w="2400" w:type="dxa"/>
          </w:tcPr>
          <w:p>
            <w:pPr>
              <w:pStyle w:val="Normal"/>
              <w:spacing w:before="40" w:after="40"/>
            </w:pPr>
            <w:r>
              <w:rPr>
                <w:sz w:val="18"/>
                <w:szCs w:val="18"/>
              </w:rPr>
              <w:t>ARPA-H Domain-Driven Design (DDD) workshop (kickoff; all-team schema and interface co-design)</w:t>
            </w:r>
          </w:p>
        </w:tc>
        <w:tc>
          <w:tcPr>
            <w:tcW w:w="700" w:type="dxa"/>
          </w:tcPr>
          <w:p>
            <w:pPr>
              <w:pStyle w:val="Normal"/>
              <w:spacing w:before="40" w:after="40"/>
            </w:pPr>
            <w:r>
              <w:rPr>
                <w:sz w:val="18"/>
                <w:szCs w:val="18"/>
              </w:rPr>
              <w:t>1.5.0; 1.2.3; 1.3.3</w:t>
            </w:r>
          </w:p>
        </w:tc>
        <w:tc>
          <w:tcPr>
            <w:tcW w:w="700" w:type="dxa"/>
          </w:tcPr>
          <w:p>
            <w:pPr>
              <w:pStyle w:val="Normal"/>
              <w:spacing w:before="40" w:after="40"/>
            </w:pPr>
            <w:r>
              <w:rPr>
                <w:sz w:val="18"/>
                <w:szCs w:val="18"/>
              </w:rPr>
              <w:t>Phase I (Month 1-2)</w:t>
            </w:r>
          </w:p>
        </w:tc>
        <w:tc>
          <w:tcPr>
            <w:tcW w:w="1300" w:type="dxa"/>
          </w:tcPr>
          <w:p>
            <w:pPr>
              <w:pStyle w:val="Normal"/>
              <w:spacing w:before="40" w:after="40"/>
            </w:pPr>
            <w:r>
              <w:rPr>
                <w:sz w:val="18"/>
                <w:szCs w:val="18"/>
              </w:rPr>
              <w:t>IPAI/Purdue (host)</w:t>
            </w:r>
          </w:p>
        </w:tc>
        <w:tc>
          <w:tcPr>
            <w:tcW w:w="1000" w:type="dxa"/>
          </w:tcPr>
          <w:p>
            <w:pPr>
              <w:pStyle w:val="Normal"/>
              <w:spacing w:before="40" w:after="40"/>
            </w:pPr>
            <w:r>
              <w:rPr>
                <w:sz w:val="18"/>
                <w:szCs w:val="18"/>
              </w:rPr>
              <w:t>Washington DC or West Lafayette, IN</w:t>
            </w:r>
          </w:p>
        </w:tc>
        <w:tc>
          <w:tcPr>
            <w:tcW w:w="760" w:type="dxa"/>
          </w:tcPr>
          <w:p>
            <w:pPr>
              <w:pStyle w:val="Normal"/>
              <w:spacing w:before="40" w:after="40"/>
            </w:pPr>
            <w:r>
              <w:rPr>
                <w:sz w:val="18"/>
                <w:szCs w:val="18"/>
              </w:rPr>
              <w:t>~14</w:t>
            </w:r>
          </w:p>
        </w:tc>
        <w:tc>
          <w:tcPr>
            <w:tcW w:w="1100" w:type="dxa"/>
          </w:tcPr>
          <w:p>
            <w:pPr>
              <w:pStyle w:val="Normal"/>
              <w:spacing w:before="40" w:after="40"/>
            </w:pPr>
            <w:r>
              <w:rPr>
                <w:sz w:val="18"/>
                <w:szCs w:val="18"/>
              </w:rPr>
              <w:t>~$2,800</w:t>
            </w:r>
          </w:p>
        </w:tc>
        <w:tc>
          <w:tcPr>
            <w:tcW w:w="1400" w:type="dxa"/>
          </w:tcPr>
          <w:p>
            <w:pPr>
              <w:pStyle w:val="Normal"/>
              <w:spacing w:before="40" w:after="40"/>
            </w:pPr>
            <w:r>
              <w:rPr>
                <w:sz w:val="18"/>
                <w:szCs w:val="18"/>
              </w:rPr>
              <w:t>~$40,000</w:t>
            </w:r>
          </w:p>
        </w:tc>
      </w:tr>
      <w:tr>
        <w:tc>
          <w:tcPr>
            <w:tcW w:w="2400" w:type="dxa"/>
          </w:tcPr>
          <w:p>
            <w:pPr>
              <w:pStyle w:val="Normal"/>
              <w:spacing w:before="40" w:after="40"/>
            </w:pPr>
            <w:r>
              <w:rPr>
                <w:sz w:val="18"/>
                <w:szCs w:val="18"/>
              </w:rPr>
              <w:t>TA3 bake-off #1 (cross-team protocol exchange; RFC-001 process)</w:t>
            </w:r>
          </w:p>
        </w:tc>
        <w:tc>
          <w:tcPr>
            <w:tcW w:w="700" w:type="dxa"/>
          </w:tcPr>
          <w:p>
            <w:pPr>
              <w:pStyle w:val="Normal"/>
              <w:spacing w:before="40" w:after="40"/>
            </w:pPr>
            <w:r>
              <w:rPr>
                <w:sz w:val="18"/>
                <w:szCs w:val="18"/>
              </w:rPr>
              <w:t>2.3.0; 2.3.1</w:t>
            </w:r>
          </w:p>
        </w:tc>
        <w:tc>
          <w:tcPr>
            <w:tcW w:w="700" w:type="dxa"/>
          </w:tcPr>
          <w:p>
            <w:pPr>
              <w:pStyle w:val="Normal"/>
              <w:spacing w:before="40" w:after="40"/>
            </w:pPr>
            <w:r>
              <w:rPr>
                <w:sz w:val="18"/>
                <w:szCs w:val="18"/>
              </w:rPr>
              <w:t>Phase II (Month 21-24)</w:t>
            </w:r>
          </w:p>
        </w:tc>
        <w:tc>
          <w:tcPr>
            <w:tcW w:w="1300" w:type="dxa"/>
          </w:tcPr>
          <w:p>
            <w:pPr>
              <w:pStyle w:val="Normal"/>
              <w:spacing w:before="40" w:after="40"/>
            </w:pPr>
            <w:r>
              <w:rPr>
                <w:sz w:val="18"/>
                <w:szCs w:val="18"/>
              </w:rPr>
              <w:t>SIFT (lead)</w:t>
            </w:r>
          </w:p>
        </w:tc>
        <w:tc>
          <w:tcPr>
            <w:tcW w:w="1000" w:type="dxa"/>
          </w:tcPr>
          <w:p>
            <w:pPr>
              <w:pStyle w:val="Normal"/>
              <w:spacing w:before="40" w:after="40"/>
            </w:pPr>
            <w:r>
              <w:rPr>
                <w:sz w:val="18"/>
                <w:szCs w:val="18"/>
              </w:rPr>
              <w:t>TBD (ARPA-H site)</w:t>
            </w:r>
          </w:p>
        </w:tc>
        <w:tc>
          <w:tcPr>
            <w:tcW w:w="760" w:type="dxa"/>
          </w:tcPr>
          <w:p>
            <w:pPr>
              <w:pStyle w:val="Normal"/>
              <w:spacing w:before="40" w:after="40"/>
            </w:pPr>
            <w:r>
              <w:rPr>
                <w:sz w:val="18"/>
                <w:szCs w:val="18"/>
              </w:rPr>
              <w:t>~8</w:t>
            </w:r>
          </w:p>
        </w:tc>
        <w:tc>
          <w:tcPr>
            <w:tcW w:w="1100" w:type="dxa"/>
          </w:tcPr>
          <w:p>
            <w:pPr>
              <w:pStyle w:val="Normal"/>
              <w:spacing w:before="40" w:after="40"/>
            </w:pPr>
            <w:r>
              <w:rPr>
                <w:sz w:val="18"/>
                <w:szCs w:val="18"/>
              </w:rPr>
              <w:t>~$2,000</w:t>
            </w:r>
          </w:p>
        </w:tc>
        <w:tc>
          <w:tcPr>
            <w:tcW w:w="1400" w:type="dxa"/>
          </w:tcPr>
          <w:p>
            <w:pPr>
              <w:pStyle w:val="Normal"/>
              <w:spacing w:before="40" w:after="40"/>
            </w:pPr>
            <w:r>
              <w:rPr>
                <w:sz w:val="18"/>
                <w:szCs w:val="18"/>
              </w:rPr>
              <w:t>~$16,000</w:t>
            </w:r>
          </w:p>
        </w:tc>
      </w:tr>
      <w:tr>
        <w:tc>
          <w:tcPr>
            <w:tcW w:w="2400" w:type="dxa"/>
          </w:tcPr>
          <w:p>
            <w:pPr>
              <w:pStyle w:val="Normal"/>
              <w:spacing w:before="40" w:after="40"/>
            </w:pPr>
            <w:r>
              <w:rPr>
                <w:sz w:val="18"/>
                <w:szCs w:val="18"/>
              </w:rPr>
              <w:t>TA3 bake-off #2 (Phase II interoperability preparation)</w:t>
            </w:r>
          </w:p>
        </w:tc>
        <w:tc>
          <w:tcPr>
            <w:tcW w:w="700" w:type="dxa"/>
          </w:tcPr>
          <w:p>
            <w:pPr>
              <w:pStyle w:val="Normal"/>
              <w:spacing w:before="40" w:after="40"/>
            </w:pPr>
            <w:r>
              <w:rPr>
                <w:sz w:val="18"/>
                <w:szCs w:val="18"/>
              </w:rPr>
              <w:t>2.3.0; 2.3.2</w:t>
            </w:r>
          </w:p>
        </w:tc>
        <w:tc>
          <w:tcPr>
            <w:tcW w:w="700" w:type="dxa"/>
          </w:tcPr>
          <w:p>
            <w:pPr>
              <w:pStyle w:val="Normal"/>
              <w:spacing w:before="40" w:after="40"/>
            </w:pPr>
            <w:r>
              <w:rPr>
                <w:sz w:val="18"/>
                <w:szCs w:val="18"/>
              </w:rPr>
              <w:t>Phase II (Month 30-33)</w:t>
            </w:r>
          </w:p>
        </w:tc>
        <w:tc>
          <w:tcPr>
            <w:tcW w:w="1300" w:type="dxa"/>
          </w:tcPr>
          <w:p>
            <w:pPr>
              <w:pStyle w:val="Normal"/>
              <w:spacing w:before="40" w:after="40"/>
            </w:pPr>
            <w:r>
              <w:rPr>
                <w:sz w:val="18"/>
                <w:szCs w:val="18"/>
              </w:rPr>
              <w:t>SIFT (lead)</w:t>
            </w:r>
          </w:p>
        </w:tc>
        <w:tc>
          <w:tcPr>
            <w:tcW w:w="1000" w:type="dxa"/>
          </w:tcPr>
          <w:p>
            <w:pPr>
              <w:pStyle w:val="Normal"/>
              <w:spacing w:before="40" w:after="40"/>
            </w:pPr>
            <w:r>
              <w:rPr>
                <w:sz w:val="18"/>
                <w:szCs w:val="18"/>
              </w:rPr>
              <w:t>TBD</w:t>
            </w:r>
          </w:p>
        </w:tc>
        <w:tc>
          <w:tcPr>
            <w:tcW w:w="760" w:type="dxa"/>
          </w:tcPr>
          <w:p>
            <w:pPr>
              <w:pStyle w:val="Normal"/>
              <w:spacing w:before="40" w:after="40"/>
            </w:pPr>
            <w:r>
              <w:rPr>
                <w:sz w:val="18"/>
                <w:szCs w:val="18"/>
              </w:rPr>
              <w:t>~8</w:t>
            </w:r>
          </w:p>
        </w:tc>
        <w:tc>
          <w:tcPr>
            <w:tcW w:w="1100" w:type="dxa"/>
          </w:tcPr>
          <w:p>
            <w:pPr>
              <w:pStyle w:val="Normal"/>
              <w:spacing w:before="40" w:after="40"/>
            </w:pPr>
            <w:r>
              <w:rPr>
                <w:sz w:val="18"/>
                <w:szCs w:val="18"/>
              </w:rPr>
              <w:t>~$2,000</w:t>
            </w:r>
          </w:p>
        </w:tc>
        <w:tc>
          <w:tcPr>
            <w:tcW w:w="1400" w:type="dxa"/>
          </w:tcPr>
          <w:p>
            <w:pPr>
              <w:pStyle w:val="Normal"/>
              <w:spacing w:before="40" w:after="40"/>
            </w:pPr>
            <w:r>
              <w:rPr>
                <w:sz w:val="18"/>
                <w:szCs w:val="18"/>
              </w:rPr>
              <w:t>~$16,000</w:t>
            </w:r>
          </w:p>
        </w:tc>
      </w:tr>
      <w:tr>
        <w:tc>
          <w:tcPr>
            <w:tcW w:w="2400" w:type="dxa"/>
          </w:tcPr>
          <w:p>
            <w:pPr>
              <w:pStyle w:val="Normal"/>
              <w:spacing w:before="40" w:after="40"/>
            </w:pPr>
            <w:r>
              <w:rPr>
                <w:sz w:val="18"/>
                <w:szCs w:val="18"/>
              </w:rPr>
              <w:t>TA3 bake-off #3 / connect-a-thon preparation</w:t>
            </w:r>
          </w:p>
        </w:tc>
        <w:tc>
          <w:tcPr>
            <w:tcW w:w="700" w:type="dxa"/>
          </w:tcPr>
          <w:p>
            <w:pPr>
              <w:pStyle w:val="Normal"/>
              <w:spacing w:before="40" w:after="40"/>
            </w:pPr>
            <w:r>
              <w:rPr>
                <w:sz w:val="18"/>
                <w:szCs w:val="18"/>
              </w:rPr>
              <w:t>3.3.3</w:t>
            </w:r>
          </w:p>
        </w:tc>
        <w:tc>
          <w:tcPr>
            <w:tcW w:w="700" w:type="dxa"/>
          </w:tcPr>
          <w:p>
            <w:pPr>
              <w:pStyle w:val="Normal"/>
              <w:spacing w:before="40" w:after="40"/>
            </w:pPr>
            <w:r>
              <w:rPr>
                <w:sz w:val="18"/>
                <w:szCs w:val="18"/>
              </w:rPr>
              <w:t>Phase III (Month 45-48)</w:t>
            </w:r>
          </w:p>
        </w:tc>
        <w:tc>
          <w:tcPr>
            <w:tcW w:w="1300" w:type="dxa"/>
          </w:tcPr>
          <w:p>
            <w:pPr>
              <w:pStyle w:val="Normal"/>
              <w:spacing w:before="40" w:after="40"/>
            </w:pPr>
            <w:r>
              <w:rPr>
                <w:sz w:val="18"/>
                <w:szCs w:val="18"/>
              </w:rPr>
              <w:t>SIFT (lead)</w:t>
            </w:r>
          </w:p>
        </w:tc>
        <w:tc>
          <w:tcPr>
            <w:tcW w:w="1000" w:type="dxa"/>
          </w:tcPr>
          <w:p>
            <w:pPr>
              <w:pStyle w:val="Normal"/>
              <w:spacing w:before="40" w:after="40"/>
            </w:pPr>
            <w:r>
              <w:rPr>
                <w:sz w:val="18"/>
                <w:szCs w:val="18"/>
              </w:rPr>
              <w:t>TBD</w:t>
            </w:r>
          </w:p>
        </w:tc>
        <w:tc>
          <w:tcPr>
            <w:tcW w:w="760" w:type="dxa"/>
          </w:tcPr>
          <w:p>
            <w:pPr>
              <w:pStyle w:val="Normal"/>
              <w:spacing w:before="40" w:after="40"/>
            </w:pPr>
            <w:r>
              <w:rPr>
                <w:sz w:val="18"/>
                <w:szCs w:val="18"/>
              </w:rPr>
              <w:t>~6</w:t>
            </w:r>
          </w:p>
        </w:tc>
        <w:tc>
          <w:tcPr>
            <w:tcW w:w="1100" w:type="dxa"/>
          </w:tcPr>
          <w:p>
            <w:pPr>
              <w:pStyle w:val="Normal"/>
              <w:spacing w:before="40" w:after="40"/>
            </w:pPr>
            <w:r>
              <w:rPr>
                <w:sz w:val="18"/>
                <w:szCs w:val="18"/>
              </w:rPr>
              <w:t>~$2,000</w:t>
            </w:r>
          </w:p>
        </w:tc>
        <w:tc>
          <w:tcPr>
            <w:tcW w:w="1400" w:type="dxa"/>
          </w:tcPr>
          <w:p>
            <w:pPr>
              <w:pStyle w:val="Normal"/>
              <w:spacing w:before="40" w:after="40"/>
            </w:pPr>
            <w:r>
              <w:rPr>
                <w:sz w:val="18"/>
                <w:szCs w:val="18"/>
              </w:rPr>
              <w:t>~$12,000</w:t>
            </w:r>
          </w:p>
        </w:tc>
      </w:tr>
      <w:tr>
        <w:tc>
          <w:tcPr>
            <w:tcW w:w="2400" w:type="dxa"/>
          </w:tcPr>
          <w:p>
            <w:pPr>
              <w:pStyle w:val="Normal"/>
              <w:spacing w:before="40" w:after="40"/>
            </w:pPr>
            <w:r>
              <w:rPr>
                <w:sz w:val="18"/>
                <w:szCs w:val="18"/>
              </w:rPr>
              <w:t>SIFT travel (confirmed per Dan's breakdown; 70% Bryce / 30% Goldman)</w:t>
            </w:r>
          </w:p>
        </w:tc>
        <w:tc>
          <w:tcPr>
            <w:tcW w:w="700" w:type="dxa"/>
          </w:tcPr>
          <w:p>
            <w:pPr>
              <w:pStyle w:val="Normal"/>
              <w:spacing w:before="40" w:after="40"/>
            </w:pPr>
            <w:r>
              <w:rPr>
                <w:sz w:val="18"/>
                <w:szCs w:val="18"/>
              </w:rPr>
              <w:t>All</w:t>
            </w:r>
          </w:p>
        </w:tc>
        <w:tc>
          <w:tcPr>
            <w:tcW w:w="700" w:type="dxa"/>
          </w:tcPr>
          <w:p>
            <w:pPr>
              <w:pStyle w:val="Normal"/>
              <w:spacing w:before="40" w:after="40"/>
            </w:pPr>
            <w:r>
              <w:rPr>
                <w:sz w:val="18"/>
                <w:szCs w:val="18"/>
              </w:rPr>
              <w:t>All</w:t>
            </w:r>
          </w:p>
        </w:tc>
        <w:tc>
          <w:tcPr>
            <w:tcW w:w="1300" w:type="dxa"/>
          </w:tcPr>
          <w:p>
            <w:pPr>
              <w:pStyle w:val="Normal"/>
              <w:spacing w:before="40" w:after="40"/>
            </w:pPr>
            <w:r>
              <w:rPr>
                <w:sz w:val="18"/>
                <w:szCs w:val="18"/>
              </w:rPr>
              <w:t>SIFT</w:t>
            </w:r>
          </w:p>
        </w:tc>
        <w:tc>
          <w:tcPr>
            <w:tcW w:w="1000" w:type="dxa"/>
          </w:tcPr>
          <w:p>
            <w:pPr>
              <w:pStyle w:val="Normal"/>
              <w:spacing w:before="40" w:after="40"/>
            </w:pPr>
            <w:r>
              <w:rPr>
                <w:sz w:val="18"/>
                <w:szCs w:val="18"/>
              </w:rPr>
              <w:t>Various</w:t>
            </w:r>
          </w:p>
        </w:tc>
        <w:tc>
          <w:tcPr>
            <w:tcW w:w="760" w:type="dxa"/>
          </w:tcPr>
          <w:p>
            <w:pPr>
              <w:pStyle w:val="Normal"/>
              <w:spacing w:before="40" w:after="40"/>
            </w:pPr>
            <w:r>
              <w:rPr>
                <w:sz w:val="18"/>
                <w:szCs w:val="18"/>
              </w:rPr>
              <w:t>—</w:t>
            </w:r>
          </w:p>
        </w:tc>
        <w:tc>
          <w:tcPr>
            <w:tcW w:w="1100" w:type="dxa"/>
          </w:tcPr>
          <w:p>
            <w:pPr>
              <w:pStyle w:val="Normal"/>
              <w:spacing w:before="40" w:after="40"/>
            </w:pPr>
            <w:r>
              <w:rPr>
                <w:sz w:val="18"/>
                <w:szCs w:val="18"/>
              </w:rPr>
              <w:t>—</w:t>
            </w:r>
          </w:p>
        </w:tc>
        <w:tc>
          <w:tcPr>
            <w:tcW w:w="1400" w:type="dxa"/>
          </w:tcPr>
          <w:p>
            <w:pPr>
              <w:pStyle w:val="Normal"/>
              <w:spacing w:before="40" w:after="40"/>
            </w:pPr>
            <w:r>
              <w:rPr>
                <w:sz w:val="18"/>
                <w:szCs w:val="18"/>
              </w:rPr>
              <w:t>$69,747</w:t>
            </w:r>
          </w:p>
        </w:tc>
      </w:tr>
      <w:tr>
        <w:tc>
          <w:tcPr>
            <w:tcW w:w="2400" w:type="dxa"/>
          </w:tcPr>
          <w:p>
            <w:pPr>
              <w:pStyle w:val="Normal"/>
              <w:spacing w:before="40" w:after="40"/>
            </w:pPr>
            <w:r>
              <w:rPr>
                <w:sz w:val="18"/>
                <w:szCs w:val="18"/>
              </w:rPr>
              <w:t>IV&amp;V biannual reviews x 5</w:t>
            </w:r>
          </w:p>
        </w:tc>
        <w:tc>
          <w:tcPr>
            <w:tcW w:w="700" w:type="dxa"/>
          </w:tcPr>
          <w:p>
            <w:pPr>
              <w:pStyle w:val="Normal"/>
              <w:spacing w:before="40" w:after="40"/>
            </w:pPr>
            <w:r>
              <w:rPr>
                <w:sz w:val="18"/>
                <w:szCs w:val="18"/>
              </w:rPr>
              <w:t>1.5.0; 2.5.0; 3.5.0</w:t>
            </w:r>
          </w:p>
        </w:tc>
        <w:tc>
          <w:tcPr>
            <w:tcW w:w="700" w:type="dxa"/>
          </w:tcPr>
          <w:p>
            <w:pPr>
              <w:pStyle w:val="Normal"/>
              <w:spacing w:before="40" w:after="40"/>
            </w:pPr>
            <w:r>
              <w:rPr>
                <w:sz w:val="18"/>
                <w:szCs w:val="18"/>
              </w:rPr>
              <w:t>All</w:t>
            </w:r>
          </w:p>
        </w:tc>
        <w:tc>
          <w:tcPr>
            <w:tcW w:w="1300" w:type="dxa"/>
          </w:tcPr>
          <w:p>
            <w:pPr>
              <w:pStyle w:val="Normal"/>
              <w:spacing w:before="40" w:after="40"/>
            </w:pPr>
            <w:r>
              <w:rPr>
                <w:sz w:val="18"/>
                <w:szCs w:val="18"/>
              </w:rPr>
              <w:t>IPAI/Purdue</w:t>
            </w:r>
          </w:p>
        </w:tc>
        <w:tc>
          <w:tcPr>
            <w:tcW w:w="1000" w:type="dxa"/>
          </w:tcPr>
          <w:p>
            <w:pPr>
              <w:pStyle w:val="Normal"/>
              <w:spacing w:before="40" w:after="40"/>
            </w:pPr>
            <w:r>
              <w:rPr>
                <w:sz w:val="18"/>
                <w:szCs w:val="18"/>
              </w:rPr>
              <w:t>IV&amp;V partner site</w:t>
            </w:r>
          </w:p>
        </w:tc>
        <w:tc>
          <w:tcPr>
            <w:tcW w:w="760" w:type="dxa"/>
          </w:tcPr>
          <w:p>
            <w:pPr>
              <w:pStyle w:val="Normal"/>
              <w:spacing w:before="40" w:after="40"/>
            </w:pPr>
            <w:r>
              <w:rPr>
                <w:sz w:val="18"/>
                <w:szCs w:val="18"/>
              </w:rPr>
              <w:t>~4 each</w:t>
            </w:r>
          </w:p>
        </w:tc>
        <w:tc>
          <w:tcPr>
            <w:tcW w:w="1100" w:type="dxa"/>
          </w:tcPr>
          <w:p>
            <w:pPr>
              <w:pStyle w:val="Normal"/>
              <w:spacing w:before="40" w:after="40"/>
            </w:pPr>
            <w:r>
              <w:rPr>
                <w:sz w:val="18"/>
                <w:szCs w:val="18"/>
              </w:rPr>
              <w:t>~$2,000</w:t>
            </w:r>
          </w:p>
        </w:tc>
        <w:tc>
          <w:tcPr>
            <w:tcW w:w="1400" w:type="dxa"/>
          </w:tcPr>
          <w:p>
            <w:pPr>
              <w:pStyle w:val="Normal"/>
              <w:spacing w:before="40" w:after="40"/>
            </w:pPr>
            <w:r>
              <w:rPr>
                <w:sz w:val="18"/>
                <w:szCs w:val="18"/>
              </w:rPr>
              <w:t>~$40,000</w:t>
            </w:r>
          </w:p>
        </w:tc>
      </w:tr>
      <w:tr>
        <w:tc>
          <w:tcPr>
            <w:tcW w:w="2400" w:type="dxa"/>
          </w:tcPr>
          <w:p>
            <w:pPr>
              <w:pStyle w:val="Normal"/>
              <w:spacing w:before="40" w:after="40"/>
            </w:pPr>
            <w:r>
              <w:rPr>
                <w:sz w:val="18"/>
                <w:szCs w:val="18"/>
              </w:rPr>
              <w:t>Cross-team lab visit</w:t>
            </w:r>
          </w:p>
        </w:tc>
        <w:tc>
          <w:tcPr>
            <w:tcW w:w="700" w:type="dxa"/>
          </w:tcPr>
          <w:p>
            <w:pPr>
              <w:pStyle w:val="Normal"/>
              <w:spacing w:before="40" w:after="40"/>
            </w:pPr>
            <w:r>
              <w:rPr>
                <w:sz w:val="18"/>
                <w:szCs w:val="18"/>
              </w:rPr>
              <w:t>2.4.2</w:t>
            </w:r>
          </w:p>
        </w:tc>
        <w:tc>
          <w:tcPr>
            <w:tcW w:w="700" w:type="dxa"/>
          </w:tcPr>
          <w:p>
            <w:pPr>
              <w:pStyle w:val="Normal"/>
              <w:spacing w:before="40" w:after="40"/>
            </w:pPr>
            <w:r>
              <w:rPr>
                <w:sz w:val="18"/>
                <w:szCs w:val="18"/>
              </w:rPr>
              <w:t>Phase II</w:t>
            </w:r>
          </w:p>
        </w:tc>
        <w:tc>
          <w:tcPr>
            <w:tcW w:w="1300" w:type="dxa"/>
          </w:tcPr>
          <w:p>
            <w:pPr>
              <w:pStyle w:val="Normal"/>
              <w:spacing w:before="40" w:after="40"/>
            </w:pPr>
            <w:r>
              <w:rPr>
                <w:sz w:val="18"/>
                <w:szCs w:val="18"/>
              </w:rPr>
              <w:t>IPAI/Purdue</w:t>
            </w:r>
          </w:p>
        </w:tc>
        <w:tc>
          <w:tcPr>
            <w:tcW w:w="1000" w:type="dxa"/>
          </w:tcPr>
          <w:p>
            <w:pPr>
              <w:pStyle w:val="Normal"/>
              <w:spacing w:before="40" w:after="40"/>
            </w:pPr>
            <w:r>
              <w:rPr>
                <w:sz w:val="18"/>
                <w:szCs w:val="18"/>
              </w:rPr>
              <w:t>Partner lab</w:t>
            </w:r>
          </w:p>
        </w:tc>
        <w:tc>
          <w:tcPr>
            <w:tcW w:w="760" w:type="dxa"/>
          </w:tcPr>
          <w:p>
            <w:pPr>
              <w:pStyle w:val="Normal"/>
              <w:spacing w:before="40" w:after="40"/>
            </w:pPr>
            <w:r>
              <w:rPr>
                <w:sz w:val="18"/>
                <w:szCs w:val="18"/>
              </w:rPr>
              <w:t>~3</w:t>
            </w:r>
          </w:p>
        </w:tc>
        <w:tc>
          <w:tcPr>
            <w:tcW w:w="1100" w:type="dxa"/>
          </w:tcPr>
          <w:p>
            <w:pPr>
              <w:pStyle w:val="Normal"/>
              <w:spacing w:before="40" w:after="40"/>
            </w:pPr>
            <w:r>
              <w:rPr>
                <w:sz w:val="18"/>
                <w:szCs w:val="18"/>
              </w:rPr>
              <w:t>~$2,000</w:t>
            </w:r>
          </w:p>
        </w:tc>
        <w:tc>
          <w:tcPr>
            <w:tcW w:w="1400" w:type="dxa"/>
          </w:tcPr>
          <w:p>
            <w:pPr>
              <w:pStyle w:val="Normal"/>
              <w:spacing w:before="40" w:after="40"/>
            </w:pPr>
            <w:r>
              <w:rPr>
                <w:sz w:val="18"/>
                <w:szCs w:val="18"/>
              </w:rPr>
              <w:t>~$6,000</w:t>
            </w:r>
          </w:p>
        </w:tc>
      </w:tr>
      <w:tr>
        <w:tc>
          <w:tcPr>
            <w:tcW w:w="2400" w:type="dxa"/>
          </w:tcPr>
          <w:p>
            <w:pPr>
              <w:pStyle w:val="Normal"/>
              <w:spacing w:before="40" w:after="40"/>
            </w:pPr>
            <w:r>
              <w:rPr>
                <w:sz w:val="18"/>
                <w:szCs w:val="18"/>
              </w:rPr>
              <w:t>Phase III connect-a-thon</w:t>
            </w:r>
          </w:p>
        </w:tc>
        <w:tc>
          <w:tcPr>
            <w:tcW w:w="700" w:type="dxa"/>
          </w:tcPr>
          <w:p>
            <w:pPr>
              <w:pStyle w:val="Normal"/>
              <w:spacing w:before="40" w:after="40"/>
            </w:pPr>
            <w:r>
              <w:rPr>
                <w:sz w:val="18"/>
                <w:szCs w:val="18"/>
              </w:rPr>
              <w:t>3.3.3</w:t>
            </w:r>
          </w:p>
        </w:tc>
        <w:tc>
          <w:tcPr>
            <w:tcW w:w="700" w:type="dxa"/>
          </w:tcPr>
          <w:p>
            <w:pPr>
              <w:pStyle w:val="Normal"/>
              <w:spacing w:before="40" w:after="40"/>
            </w:pPr>
            <w:r>
              <w:rPr>
                <w:sz w:val="18"/>
                <w:szCs w:val="18"/>
              </w:rPr>
              <w:t>Phase III (Month 54-57)</w:t>
            </w:r>
          </w:p>
        </w:tc>
        <w:tc>
          <w:tcPr>
            <w:tcW w:w="1300" w:type="dxa"/>
          </w:tcPr>
          <w:p>
            <w:pPr>
              <w:pStyle w:val="Normal"/>
              <w:spacing w:before="40" w:after="40"/>
            </w:pPr>
            <w:r>
              <w:rPr>
                <w:sz w:val="18"/>
                <w:szCs w:val="18"/>
              </w:rPr>
              <w:t>IPAI/Purdue + SIFT</w:t>
            </w:r>
          </w:p>
        </w:tc>
        <w:tc>
          <w:tcPr>
            <w:tcW w:w="1000" w:type="dxa"/>
          </w:tcPr>
          <w:p>
            <w:pPr>
              <w:pStyle w:val="Normal"/>
              <w:spacing w:before="40" w:after="40"/>
            </w:pPr>
            <w:r>
              <w:rPr>
                <w:sz w:val="18"/>
                <w:szCs w:val="18"/>
              </w:rPr>
              <w:t>ARPA-H site</w:t>
            </w:r>
          </w:p>
        </w:tc>
        <w:tc>
          <w:tcPr>
            <w:tcW w:w="760" w:type="dxa"/>
          </w:tcPr>
          <w:p>
            <w:pPr>
              <w:pStyle w:val="Normal"/>
              <w:spacing w:before="40" w:after="40"/>
            </w:pPr>
            <w:r>
              <w:rPr>
                <w:sz w:val="18"/>
                <w:szCs w:val="18"/>
              </w:rPr>
              <w:t>~10</w:t>
            </w:r>
          </w:p>
        </w:tc>
        <w:tc>
          <w:tcPr>
            <w:tcW w:w="1100" w:type="dxa"/>
          </w:tcPr>
          <w:p>
            <w:pPr>
              <w:pStyle w:val="Normal"/>
              <w:spacing w:before="40" w:after="40"/>
            </w:pPr>
            <w:r>
              <w:rPr>
                <w:sz w:val="18"/>
                <w:szCs w:val="18"/>
              </w:rPr>
              <w:t>~$3,000</w:t>
            </w:r>
          </w:p>
        </w:tc>
        <w:tc>
          <w:tcPr>
            <w:tcW w:w="1400" w:type="dxa"/>
          </w:tcPr>
          <w:p>
            <w:pPr>
              <w:pStyle w:val="Normal"/>
              <w:spacing w:before="40" w:after="40"/>
            </w:pPr>
            <w:r>
              <w:rPr>
                <w:sz w:val="18"/>
                <w:szCs w:val="18"/>
              </w:rPr>
              <w:t>~$50,000</w:t>
            </w:r>
          </w:p>
        </w:tc>
      </w:tr>
      <w:tr>
        <w:tc>
          <w:tcPr>
            <w:tcW w:w="2400" w:type="dxa"/>
          </w:tcPr>
          <w:p>
            <w:pPr>
              <w:pStyle w:val="Normal"/>
              <w:spacing w:before="40" w:after="40"/>
            </w:pPr>
            <w:r>
              <w:rPr>
                <w:sz w:val="18"/>
                <w:szCs w:val="18"/>
              </w:rPr>
              <w:t>Conference dissemination</w:t>
            </w:r>
          </w:p>
        </w:tc>
        <w:tc>
          <w:tcPr>
            <w:tcW w:w="700" w:type="dxa"/>
          </w:tcPr>
          <w:p>
            <w:pPr>
              <w:pStyle w:val="Normal"/>
              <w:spacing w:before="40" w:after="40"/>
            </w:pPr>
            <w:r>
              <w:rPr>
                <w:sz w:val="18"/>
                <w:szCs w:val="18"/>
              </w:rPr>
              <w:t>3.5.0</w:t>
            </w:r>
          </w:p>
        </w:tc>
        <w:tc>
          <w:tcPr>
            <w:tcW w:w="700" w:type="dxa"/>
          </w:tcPr>
          <w:p>
            <w:pPr>
              <w:pStyle w:val="Normal"/>
              <w:spacing w:before="40" w:after="40"/>
            </w:pPr>
            <w:r>
              <w:rPr>
                <w:sz w:val="18"/>
                <w:szCs w:val="18"/>
              </w:rPr>
              <w:t>Phase II-III</w:t>
            </w:r>
          </w:p>
        </w:tc>
        <w:tc>
          <w:tcPr>
            <w:tcW w:w="1300" w:type="dxa"/>
          </w:tcPr>
          <w:p>
            <w:pPr>
              <w:pStyle w:val="Normal"/>
              <w:spacing w:before="40" w:after="40"/>
            </w:pPr>
            <w:r>
              <w:rPr>
                <w:sz w:val="18"/>
                <w:szCs w:val="18"/>
              </w:rPr>
              <w:t>Cytognosis / IPAI</w:t>
            </w:r>
          </w:p>
        </w:tc>
        <w:tc>
          <w:tcPr>
            <w:tcW w:w="1000" w:type="dxa"/>
          </w:tcPr>
          <w:p>
            <w:pPr>
              <w:pStyle w:val="Normal"/>
              <w:spacing w:before="40" w:after="40"/>
            </w:pPr>
            <w:r>
              <w:rPr>
                <w:sz w:val="18"/>
                <w:szCs w:val="18"/>
              </w:rPr>
              <w:t>TBD</w:t>
            </w:r>
          </w:p>
        </w:tc>
        <w:tc>
          <w:tcPr>
            <w:tcW w:w="760" w:type="dxa"/>
          </w:tcPr>
          <w:p>
            <w:pPr>
              <w:pStyle w:val="Normal"/>
              <w:spacing w:before="40" w:after="40"/>
            </w:pPr>
            <w:r>
              <w:rPr>
                <w:sz w:val="18"/>
                <w:szCs w:val="18"/>
              </w:rPr>
              <w:t>~3/yr x 3 yr</w:t>
            </w:r>
          </w:p>
        </w:tc>
        <w:tc>
          <w:tcPr>
            <w:tcW w:w="1100" w:type="dxa"/>
          </w:tcPr>
          <w:p>
            <w:pPr>
              <w:pStyle w:val="Normal"/>
              <w:spacing w:before="40" w:after="40"/>
            </w:pPr>
            <w:r>
              <w:rPr>
                <w:sz w:val="18"/>
                <w:szCs w:val="18"/>
              </w:rPr>
              <w:t>~$2,500</w:t>
            </w:r>
          </w:p>
        </w:tc>
        <w:tc>
          <w:tcPr>
            <w:tcW w:w="1400" w:type="dxa"/>
          </w:tcPr>
          <w:p>
            <w:pPr>
              <w:pStyle w:val="Normal"/>
              <w:spacing w:before="40" w:after="40"/>
            </w:pPr>
            <w:r>
              <w:rPr>
                <w:sz w:val="18"/>
                <w:szCs w:val="18"/>
              </w:rPr>
              <w:t>~$22,500</w:t>
            </w:r>
          </w:p>
        </w:tc>
      </w:tr>
      <w:tr>
        <w:tc>
          <w:tcPr>
            <w:tcW w:w="2400" w:type="dxa"/>
          </w:tcPr>
          <w:p>
            <w:pPr>
              <w:pStyle w:val="Normal"/>
              <w:spacing w:before="40" w:after="40"/>
            </w:pPr>
            <w:r>
              <w:rPr>
                <w:sz w:val="18"/>
                <w:szCs w:val="18"/>
              </w:rPr>
              <w:t>Travel reserve (~5%)</w:t>
            </w:r>
          </w:p>
        </w:tc>
        <w:tc>
          <w:tcPr>
            <w:tcW w:w="700" w:type="dxa"/>
          </w:tcPr>
          <w:p>
            <w:pPr>
              <w:pStyle w:val="Normal"/>
              <w:spacing w:before="40" w:after="40"/>
            </w:pPr>
            <w:r>
              <w:rPr>
                <w:sz w:val="18"/>
                <w:szCs w:val="18"/>
              </w:rPr>
              <w:t>All</w:t>
            </w:r>
          </w:p>
        </w:tc>
        <w:tc>
          <w:tcPr>
            <w:tcW w:w="700" w:type="dxa"/>
          </w:tcPr>
          <w:p>
            <w:pPr>
              <w:pStyle w:val="Normal"/>
              <w:spacing w:before="40" w:after="40"/>
            </w:pPr>
            <w:r>
              <w:rPr>
                <w:sz w:val="18"/>
                <w:szCs w:val="18"/>
              </w:rPr>
              <w:t>All</w:t>
            </w:r>
          </w:p>
        </w:tc>
        <w:tc>
          <w:tcPr>
            <w:tcW w:w="1300" w:type="dxa"/>
          </w:tcPr>
          <w:p>
            <w:pPr>
              <w:pStyle w:val="Normal"/>
              <w:spacing w:before="40" w:after="40"/>
            </w:pPr>
            <w:r>
              <w:rPr>
                <w:sz w:val="18"/>
                <w:szCs w:val="18"/>
              </w:rPr>
              <w:t>—</w:t>
            </w:r>
          </w:p>
        </w:tc>
        <w:tc>
          <w:tcPr>
            <w:tcW w:w="1000" w:type="dxa"/>
          </w:tcPr>
          <w:p>
            <w:pPr>
              <w:pStyle w:val="Normal"/>
              <w:spacing w:before="40" w:after="40"/>
            </w:pPr>
            <w:r>
              <w:rPr>
                <w:sz w:val="18"/>
                <w:szCs w:val="18"/>
              </w:rPr>
              <w:t>—</w:t>
            </w:r>
          </w:p>
        </w:tc>
        <w:tc>
          <w:tcPr>
            <w:tcW w:w="760" w:type="dxa"/>
          </w:tcPr>
          <w:p>
            <w:pPr>
              <w:pStyle w:val="Normal"/>
              <w:spacing w:before="40" w:after="40"/>
            </w:pPr>
            <w:r>
              <w:rPr>
                <w:sz w:val="18"/>
                <w:szCs w:val="18"/>
              </w:rPr>
              <w:t>—</w:t>
            </w:r>
          </w:p>
        </w:tc>
        <w:tc>
          <w:tcPr>
            <w:tcW w:w="1100" w:type="dxa"/>
          </w:tcPr>
          <w:p>
            <w:pPr>
              <w:pStyle w:val="Normal"/>
              <w:spacing w:before="40" w:after="40"/>
            </w:pPr>
            <w:r>
              <w:rPr>
                <w:sz w:val="18"/>
                <w:szCs w:val="18"/>
              </w:rPr>
              <w:t>—</w:t>
            </w:r>
          </w:p>
        </w:tc>
        <w:tc>
          <w:tcPr>
            <w:tcW w:w="1400" w:type="dxa"/>
          </w:tcPr>
          <w:p>
            <w:pPr>
              <w:pStyle w:val="Normal"/>
              <w:spacing w:before="40" w:after="40"/>
            </w:pPr>
            <w:r>
              <w:rPr>
                <w:sz w:val="18"/>
                <w:szCs w:val="18"/>
              </w:rPr>
              <w:t>~$45,000</w:t>
            </w:r>
          </w:p>
        </w:tc>
      </w:tr>
      <w:tr>
        <w:tc>
          <w:tcPr>
            <w:tcW w:w="2400" w:type="dxa"/>
          </w:tcPr>
          <w:p>
            <w:pPr>
              <w:pStyle w:val="Normal"/>
              <w:spacing w:before="40" w:after="40"/>
            </w:pPr>
            <w:r>
              <w:rPr>
                <w:b/>
                <w:sz w:val="18"/>
                <w:szCs w:val="18"/>
              </w:rPr>
              <w:t>Total</w:t>
            </w:r>
          </w:p>
        </w:tc>
        <w:tc>
          <w:tcPr>
            <w:tcW w:w="700" w:type="dxa"/>
          </w:tcPr>
          <w:p>
            <w:pPr>
              <w:pStyle w:val="Normal"/>
              <w:spacing w:before="40" w:after="40"/>
            </w:pPr>
            <w:r>
              <w:rPr>
                <w:sz w:val="18"/>
                <w:szCs w:val="18"/>
              </w:rPr>
              <w:t/>
            </w:r>
          </w:p>
        </w:tc>
        <w:tc>
          <w:tcPr>
            <w:tcW w:w="700" w:type="dxa"/>
          </w:tcPr>
          <w:p>
            <w:pPr>
              <w:pStyle w:val="Normal"/>
              <w:spacing w:before="40" w:after="40"/>
            </w:pPr>
            <w:r>
              <w:rPr>
                <w:sz w:val="18"/>
                <w:szCs w:val="18"/>
              </w:rPr>
              <w:t/>
            </w:r>
          </w:p>
        </w:tc>
        <w:tc>
          <w:tcPr>
            <w:tcW w:w="1300" w:type="dxa"/>
          </w:tcPr>
          <w:p>
            <w:pPr>
              <w:pStyle w:val="Normal"/>
              <w:spacing w:before="40" w:after="40"/>
            </w:pPr>
            <w:r>
              <w:rPr>
                <w:sz w:val="18"/>
                <w:szCs w:val="18"/>
              </w:rPr>
              <w:t/>
            </w:r>
          </w:p>
        </w:tc>
        <w:tc>
          <w:tcPr>
            <w:tcW w:w="1000" w:type="dxa"/>
          </w:tcPr>
          <w:p>
            <w:pPr>
              <w:pStyle w:val="Normal"/>
              <w:spacing w:before="40" w:after="40"/>
            </w:pPr>
            <w:r>
              <w:rPr>
                <w:sz w:val="18"/>
                <w:szCs w:val="18"/>
              </w:rPr>
              <w:t/>
            </w:r>
          </w:p>
        </w:tc>
        <w:tc>
          <w:tcPr>
            <w:tcW w:w="76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400" w:type="dxa"/>
          </w:tcPr>
          <w:p>
            <w:pPr>
              <w:pStyle w:val="Normal"/>
              <w:spacing w:before="40" w:after="40"/>
            </w:pPr>
            <w:r>
              <w:rPr>
                <w:sz w:val="18"/>
                <w:szCs w:val="18"/>
              </w:rPr>
              <w:t>~$900,000</w:t>
            </w:r>
          </w:p>
        </w:tc>
      </w:tr>
    </w:tbl>
    <w:p>
      <w:pPr>
        <w:pStyle w:val="Normal"/>
      </w:pPr>
    </w:p>
    <w:p>
      <w:pPr>
        <w:pStyle w:val="Heading1"/>
      </w:pPr>
      <w:r>
        <w:t>Other Direct Costs (ODCs)</w:t>
      </w:r>
    </w:p>
    <w:p>
      <w:pPr>
        <w:pStyle w:val="Normal"/>
        <w:spacing w:before="0" w:after="120"/>
      </w:pPr>
      <w:r>
        <w:t>Total ODCs over five years are approximately $6.9M. ODCs are dominated by the shared program compute line and sequencing-as-service costs.</w:t>
      </w:r>
    </w:p>
    <w:p>
      <w:pPr>
        <w:pStyle w:val="Normal"/>
      </w:pPr>
    </w:p>
    <w:p>
      <w:pPr>
        <w:pStyle w:val="BodyText"/>
        <w:spacing w:before="160" w:after="80"/>
      </w:pPr>
      <w:r>
        <w:rPr>
          <w:b/>
          <w:sz w:val="22"/>
        </w:rPr>
        <w:t>ODC Line Items</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400"/>
        <w:gridCol w:w="1400"/>
        <w:gridCol w:w="700"/>
        <w:gridCol w:w="1120"/>
        <w:gridCol w:w="1220"/>
        <w:gridCol w:w="2520"/>
      </w:tblGrid>
      <w:tr>
        <w:trPr>
          <w:tblHeader/>
        </w:trPr>
        <w:tc>
          <w:tcPr>
            <w:tcW w:w="2400" w:type="dxa"/>
            <w:shd w:val="clear" w:color="auto" w:fill="D6E4F0"/>
          </w:tcPr>
          <w:p>
            <w:pPr>
              <w:pStyle w:val="Normal"/>
              <w:spacing w:before="40" w:after="40"/>
            </w:pPr>
            <w:r>
              <w:rPr>
                <w:b/>
                <w:sz w:val="18"/>
                <w:szCs w:val="18"/>
              </w:rPr>
              <w:t>ODC item</w:t>
            </w:r>
          </w:p>
        </w:tc>
        <w:tc>
          <w:tcPr>
            <w:tcW w:w="1400" w:type="dxa"/>
            <w:shd w:val="clear" w:color="auto" w:fill="D6E4F0"/>
          </w:tcPr>
          <w:p>
            <w:pPr>
              <w:pStyle w:val="Normal"/>
              <w:spacing w:before="40" w:after="40"/>
            </w:pPr>
            <w:r>
              <w:rPr>
                <w:b/>
                <w:sz w:val="18"/>
                <w:szCs w:val="18"/>
              </w:rPr>
              <w:t>Organization</w:t>
            </w:r>
          </w:p>
        </w:tc>
        <w:tc>
          <w:tcPr>
            <w:tcW w:w="700" w:type="dxa"/>
            <w:shd w:val="clear" w:color="auto" w:fill="D6E4F0"/>
          </w:tcPr>
          <w:p>
            <w:pPr>
              <w:pStyle w:val="Normal"/>
              <w:spacing w:before="40" w:after="40"/>
            </w:pPr>
            <w:r>
              <w:rPr>
                <w:b/>
                <w:sz w:val="18"/>
                <w:szCs w:val="18"/>
              </w:rPr>
              <w:t>Phases</w:t>
            </w:r>
          </w:p>
        </w:tc>
        <w:tc>
          <w:tcPr>
            <w:tcW w:w="1120" w:type="dxa"/>
            <w:shd w:val="clear" w:color="auto" w:fill="D6E4F0"/>
          </w:tcPr>
          <w:p>
            <w:pPr>
              <w:pStyle w:val="Normal"/>
              <w:spacing w:before="40" w:after="40"/>
            </w:pPr>
            <w:r>
              <w:rPr>
                <w:b/>
                <w:sz w:val="18"/>
                <w:szCs w:val="18"/>
              </w:rPr>
              <w:t>Annual est.</w:t>
            </w:r>
          </w:p>
        </w:tc>
        <w:tc>
          <w:tcPr>
            <w:tcW w:w="1220" w:type="dxa"/>
            <w:shd w:val="clear" w:color="auto" w:fill="D6E4F0"/>
          </w:tcPr>
          <w:p>
            <w:pPr>
              <w:pStyle w:val="Normal"/>
              <w:spacing w:before="40" w:after="40"/>
            </w:pPr>
            <w:r>
              <w:rPr>
                <w:b/>
                <w:sz w:val="18"/>
                <w:szCs w:val="18"/>
              </w:rPr>
              <w:t>5-yr total (est.)</w:t>
            </w:r>
          </w:p>
        </w:tc>
        <w:tc>
          <w:tcPr>
            <w:tcW w:w="2520" w:type="dxa"/>
            <w:shd w:val="clear" w:color="auto" w:fill="D6E4F0"/>
          </w:tcPr>
          <w:p>
            <w:pPr>
              <w:pStyle w:val="Normal"/>
              <w:spacing w:before="40" w:after="40"/>
            </w:pPr>
            <w:r>
              <w:rPr>
                <w:b/>
                <w:sz w:val="18"/>
                <w:szCs w:val="18"/>
              </w:rPr>
              <w:t>Contribution to project</w:t>
            </w:r>
          </w:p>
        </w:tc>
      </w:tr>
      <w:tr>
        <w:tc>
          <w:tcPr>
            <w:tcW w:w="2400" w:type="dxa"/>
          </w:tcPr>
          <w:p>
            <w:pPr>
              <w:pStyle w:val="Normal"/>
              <w:spacing w:before="40" w:after="40"/>
            </w:pPr>
            <w:r>
              <w:rPr>
                <w:sz w:val="18"/>
                <w:szCs w:val="18"/>
              </w:rPr>
              <w:t>Shared program compute (GPU/cloud; TA1+TA2; program-level line)</w:t>
            </w:r>
          </w:p>
        </w:tc>
        <w:tc>
          <w:tcPr>
            <w:tcW w:w="1400" w:type="dxa"/>
          </w:tcPr>
          <w:p>
            <w:pPr>
              <w:pStyle w:val="Normal"/>
              <w:spacing w:before="40" w:after="40"/>
            </w:pPr>
            <w:r>
              <w:rPr>
                <w:sz w:val="18"/>
                <w:szCs w:val="18"/>
              </w:rPr>
              <w:t>Program / Cytognosis</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~$500,000/yr</w:t>
            </w:r>
          </w:p>
        </w:tc>
        <w:tc>
          <w:tcPr>
            <w:tcW w:w="1220" w:type="dxa"/>
          </w:tcPr>
          <w:p>
            <w:pPr>
              <w:pStyle w:val="Normal"/>
              <w:spacing w:before="40" w:after="40"/>
            </w:pPr>
            <w:r>
              <w:rPr>
                <w:sz w:val="18"/>
                <w:szCs w:val="18"/>
              </w:rPr>
              <w:t>~$2,500,000</w:t>
            </w:r>
          </w:p>
        </w:tc>
        <w:tc>
          <w:tcPr>
            <w:tcW w:w="2520" w:type="dxa"/>
          </w:tcPr>
          <w:p>
            <w:pPr>
              <w:pStyle w:val="Normal"/>
              <w:spacing w:before="40" w:after="40"/>
            </w:pPr>
            <w:r>
              <w:rPr>
                <w:sz w:val="18"/>
                <w:szCs w:val="18"/>
              </w:rPr>
              <w:t>TA1 causal generative model training; iterative model updates; TA2 hypothesis tournament and inference; partially shiftable to IPAI HPC in-kind</w:t>
            </w:r>
          </w:p>
        </w:tc>
      </w:tr>
      <w:tr>
        <w:tc>
          <w:tcPr>
            <w:tcW w:w="2400" w:type="dxa"/>
          </w:tcPr>
          <w:p>
            <w:pPr>
              <w:pStyle w:val="Normal"/>
              <w:spacing w:before="40" w:after="40"/>
            </w:pPr>
            <w:r>
              <w:rPr>
                <w:sz w:val="18"/>
                <w:szCs w:val="18"/>
              </w:rPr>
              <w:t>TA4 sequencing-as-service (scRNA-seq + Perturb-seq; CRO subaward)</w:t>
            </w:r>
          </w:p>
        </w:tc>
        <w:tc>
          <w:tcPr>
            <w:tcW w:w="1400" w:type="dxa"/>
          </w:tcPr>
          <w:p>
            <w:pPr>
              <w:pStyle w:val="Normal"/>
              <w:spacing w:before="40" w:after="40"/>
            </w:pPr>
            <w:r>
              <w:rPr>
                <w:sz w:val="18"/>
                <w:szCs w:val="18"/>
              </w:rPr>
              <w:t>Sequencing CRO</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~$400,000/yr</w:t>
            </w:r>
          </w:p>
        </w:tc>
        <w:tc>
          <w:tcPr>
            <w:tcW w:w="1220" w:type="dxa"/>
          </w:tcPr>
          <w:p>
            <w:pPr>
              <w:pStyle w:val="Normal"/>
              <w:spacing w:before="40" w:after="40"/>
            </w:pPr>
            <w:r>
              <w:rPr>
                <w:sz w:val="18"/>
                <w:szCs w:val="18"/>
              </w:rPr>
              <w:t>~$2,000,000</w:t>
            </w:r>
          </w:p>
        </w:tc>
        <w:tc>
          <w:tcPr>
            <w:tcW w:w="2520" w:type="dxa"/>
          </w:tcPr>
          <w:p>
            <w:pPr>
              <w:pStyle w:val="Normal"/>
              <w:spacing w:before="40" w:after="40"/>
            </w:pPr>
            <w:r>
              <w:rPr>
                <w:sz w:val="18"/>
                <w:szCs w:val="18"/>
              </w:rPr>
              <w:t>Phase I-III single-cell RNA-seq library sequencing for TA4 experimental data returns</w:t>
            </w:r>
          </w:p>
        </w:tc>
      </w:tr>
      <w:tr>
        <w:tc>
          <w:tcPr>
            <w:tcW w:w="2400" w:type="dxa"/>
          </w:tcPr>
          <w:p>
            <w:pPr>
              <w:pStyle w:val="Normal"/>
              <w:spacing w:before="40" w:after="40"/>
            </w:pPr>
            <w:r>
              <w:rPr>
                <w:sz w:val="18"/>
                <w:szCs w:val="18"/>
              </w:rPr>
              <w:t>Cloud data storage (multi-TB genomic datasets: BCA, PsychENCODE, IGoR-generated data)</w:t>
            </w:r>
          </w:p>
        </w:tc>
        <w:tc>
          <w:tcPr>
            <w:tcW w:w="1400" w:type="dxa"/>
          </w:tcPr>
          <w:p>
            <w:pPr>
              <w:pStyle w:val="Normal"/>
              <w:spacing w:before="40" w:after="40"/>
            </w:pPr>
            <w:r>
              <w:rPr>
                <w:sz w:val="18"/>
                <w:szCs w:val="18"/>
              </w:rPr>
              <w:t>Cytognosis</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~$100,000/yr</w:t>
            </w:r>
          </w:p>
        </w:tc>
        <w:tc>
          <w:tcPr>
            <w:tcW w:w="1220" w:type="dxa"/>
          </w:tcPr>
          <w:p>
            <w:pPr>
              <w:pStyle w:val="Normal"/>
              <w:spacing w:before="40" w:after="40"/>
            </w:pPr>
            <w:r>
              <w:rPr>
                <w:sz w:val="18"/>
                <w:szCs w:val="18"/>
              </w:rPr>
              <w:t>~$500,000</w:t>
            </w:r>
          </w:p>
        </w:tc>
        <w:tc>
          <w:tcPr>
            <w:tcW w:w="2520" w:type="dxa"/>
          </w:tcPr>
          <w:p>
            <w:pPr>
              <w:pStyle w:val="Normal"/>
              <w:spacing w:before="40" w:after="40"/>
            </w:pPr>
            <w:r>
              <w:rPr>
                <w:sz w:val="18"/>
                <w:szCs w:val="18"/>
              </w:rPr>
              <w:t>Long-term storage of TA1 training data, TA4 data returns, model artifacts</w:t>
            </w:r>
          </w:p>
        </w:tc>
      </w:tr>
      <w:tr>
        <w:tc>
          <w:tcPr>
            <w:tcW w:w="2400" w:type="dxa"/>
          </w:tcPr>
          <w:p>
            <w:pPr>
              <w:pStyle w:val="Normal"/>
              <w:spacing w:before="40" w:after="40"/>
            </w:pPr>
            <w:r>
              <w:rPr>
                <w:sz w:val="18"/>
                <w:szCs w:val="18"/>
              </w:rPr>
              <w:t>Software and API licenses</w:t>
            </w:r>
          </w:p>
        </w:tc>
        <w:tc>
          <w:tcPr>
            <w:tcW w:w="1400" w:type="dxa"/>
          </w:tcPr>
          <w:p>
            <w:pPr>
              <w:pStyle w:val="Normal"/>
              <w:spacing w:before="40" w:after="40"/>
            </w:pPr>
            <w:r>
              <w:rPr>
                <w:sz w:val="18"/>
                <w:szCs w:val="18"/>
              </w:rPr>
              <w:t>Multiple</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~$80,000/yr</w:t>
            </w:r>
          </w:p>
        </w:tc>
        <w:tc>
          <w:tcPr>
            <w:tcW w:w="1220" w:type="dxa"/>
          </w:tcPr>
          <w:p>
            <w:pPr>
              <w:pStyle w:val="Normal"/>
              <w:spacing w:before="40" w:after="40"/>
            </w:pPr>
            <w:r>
              <w:rPr>
                <w:sz w:val="18"/>
                <w:szCs w:val="18"/>
              </w:rPr>
              <w:t>~$400,000</w:t>
            </w:r>
          </w:p>
        </w:tc>
        <w:tc>
          <w:tcPr>
            <w:tcW w:w="2520" w:type="dxa"/>
          </w:tcPr>
          <w:p>
            <w:pPr>
              <w:pStyle w:val="Normal"/>
              <w:spacing w:before="40" w:after="40"/>
            </w:pPr>
            <w:r>
              <w:rPr>
                <w:sz w:val="18"/>
                <w:szCs w:val="18"/>
              </w:rPr>
              <w:t>ELN, Biorender, GitHub Enterprise, data analysis tools</w:t>
            </w:r>
          </w:p>
        </w:tc>
      </w:tr>
      <w:tr>
        <w:tc>
          <w:tcPr>
            <w:tcW w:w="2400" w:type="dxa"/>
          </w:tcPr>
          <w:p>
            <w:pPr>
              <w:pStyle w:val="Normal"/>
              <w:spacing w:before="40" w:after="40"/>
            </w:pPr>
            <w:r>
              <w:rPr>
                <w:sz w:val="18"/>
                <w:szCs w:val="18"/>
              </w:rPr>
              <w:t>PhD student tuition (Purdue; ~$35,000/yr per student, 2 students)</w:t>
            </w:r>
          </w:p>
        </w:tc>
        <w:tc>
          <w:tcPr>
            <w:tcW w:w="1400" w:type="dxa"/>
          </w:tcPr>
          <w:p>
            <w:pPr>
              <w:pStyle w:val="Normal"/>
              <w:spacing w:before="40" w:after="40"/>
            </w:pPr>
            <w:r>
              <w:rPr>
                <w:sz w:val="18"/>
                <w:szCs w:val="18"/>
              </w:rPr>
              <w:t>IPAI/Purdue</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~$70,000/yr</w:t>
            </w:r>
          </w:p>
        </w:tc>
        <w:tc>
          <w:tcPr>
            <w:tcW w:w="1220" w:type="dxa"/>
          </w:tcPr>
          <w:p>
            <w:pPr>
              <w:pStyle w:val="Normal"/>
              <w:spacing w:before="40" w:after="40"/>
            </w:pPr>
            <w:r>
              <w:rPr>
                <w:sz w:val="18"/>
                <w:szCs w:val="18"/>
              </w:rPr>
              <w:t>~$350,000</w:t>
            </w:r>
          </w:p>
        </w:tc>
        <w:tc>
          <w:tcPr>
            <w:tcW w:w="2520" w:type="dxa"/>
          </w:tcPr>
          <w:p>
            <w:pPr>
              <w:pStyle w:val="Normal"/>
              <w:spacing w:before="40" w:after="40"/>
            </w:pPr>
            <w:r>
              <w:rPr>
                <w:sz w:val="18"/>
                <w:szCs w:val="18"/>
              </w:rPr>
              <w:t>Tuition and fees for two Purdue PhD students</w:t>
            </w:r>
          </w:p>
        </w:tc>
      </w:tr>
      <w:tr>
        <w:tc>
          <w:tcPr>
            <w:tcW w:w="2400" w:type="dxa"/>
          </w:tcPr>
          <w:p>
            <w:pPr>
              <w:pStyle w:val="Normal"/>
              <w:spacing w:before="40" w:after="40"/>
            </w:pPr>
            <w:r>
              <w:rPr>
                <w:sz w:val="18"/>
                <w:szCs w:val="18"/>
              </w:rPr>
              <w:t>PM hourly fees (Patricia Purcell; ~400 hrs/yr at ~$200/hr loaded)</w:t>
            </w:r>
          </w:p>
        </w:tc>
        <w:tc>
          <w:tcPr>
            <w:tcW w:w="1400" w:type="dxa"/>
          </w:tcPr>
          <w:p>
            <w:pPr>
              <w:pStyle w:val="Normal"/>
              <w:spacing w:before="40" w:after="40"/>
            </w:pPr>
            <w:r>
              <w:rPr>
                <w:sz w:val="18"/>
                <w:szCs w:val="18"/>
              </w:rPr>
              <w:t>Cytognosis</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~$80,000/yr</w:t>
            </w:r>
          </w:p>
        </w:tc>
        <w:tc>
          <w:tcPr>
            <w:tcW w:w="1220" w:type="dxa"/>
          </w:tcPr>
          <w:p>
            <w:pPr>
              <w:pStyle w:val="Normal"/>
              <w:spacing w:before="40" w:after="40"/>
            </w:pPr>
            <w:r>
              <w:rPr>
                <w:sz w:val="18"/>
                <w:szCs w:val="18"/>
              </w:rPr>
              <w:t>~$400,000</w:t>
            </w:r>
          </w:p>
        </w:tc>
        <w:tc>
          <w:tcPr>
            <w:tcW w:w="2520" w:type="dxa"/>
          </w:tcPr>
          <w:p>
            <w:pPr>
              <w:pStyle w:val="Normal"/>
              <w:spacing w:before="40" w:after="40"/>
            </w:pPr>
            <w:r>
              <w:rPr>
                <w:sz w:val="18"/>
                <w:szCs w:val="18"/>
              </w:rPr>
              <w:t>Cross-TA coordination, delivery tracking, ARPA-H reporting</w:t>
            </w:r>
          </w:p>
        </w:tc>
      </w:tr>
      <w:tr>
        <w:tc>
          <w:tcPr>
            <w:tcW w:w="2400" w:type="dxa"/>
          </w:tcPr>
          <w:p>
            <w:pPr>
              <w:pStyle w:val="Normal"/>
              <w:spacing w:before="40" w:after="40"/>
            </w:pPr>
            <w:r>
              <w:rPr>
                <w:sz w:val="18"/>
                <w:szCs w:val="18"/>
              </w:rPr>
              <w:t>IT and cybersecurity compliance</w:t>
            </w:r>
          </w:p>
        </w:tc>
        <w:tc>
          <w:tcPr>
            <w:tcW w:w="1400" w:type="dxa"/>
          </w:tcPr>
          <w:p>
            <w:pPr>
              <w:pStyle w:val="Normal"/>
              <w:spacing w:before="40" w:after="40"/>
            </w:pPr>
            <w:r>
              <w:rPr>
                <w:sz w:val="18"/>
                <w:szCs w:val="18"/>
              </w:rPr>
              <w:t>Cytognosis + IPAI/Purdue</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~$70,000/yr</w:t>
            </w:r>
          </w:p>
        </w:tc>
        <w:tc>
          <w:tcPr>
            <w:tcW w:w="1220" w:type="dxa"/>
          </w:tcPr>
          <w:p>
            <w:pPr>
              <w:pStyle w:val="Normal"/>
              <w:spacing w:before="40" w:after="40"/>
            </w:pPr>
            <w:r>
              <w:rPr>
                <w:sz w:val="18"/>
                <w:szCs w:val="18"/>
              </w:rPr>
              <w:t>~$350,000</w:t>
            </w:r>
          </w:p>
        </w:tc>
        <w:tc>
          <w:tcPr>
            <w:tcW w:w="2520" w:type="dxa"/>
          </w:tcPr>
          <w:p>
            <w:pPr>
              <w:pStyle w:val="Normal"/>
              <w:spacing w:before="40" w:after="40"/>
            </w:pPr>
            <w:r>
              <w:rPr>
                <w:sz w:val="18"/>
                <w:szCs w:val="18"/>
              </w:rPr>
              <w:t>OT government-work requirements; FedRAMP-aligned data handling</w:t>
            </w:r>
          </w:p>
        </w:tc>
      </w:tr>
      <w:tr>
        <w:tc>
          <w:tcPr>
            <w:tcW w:w="2400" w:type="dxa"/>
          </w:tcPr>
          <w:p>
            <w:pPr>
              <w:pStyle w:val="Normal"/>
              <w:spacing w:before="40" w:after="40"/>
            </w:pPr>
            <w:r>
              <w:rPr>
                <w:sz w:val="18"/>
                <w:szCs w:val="18"/>
              </w:rPr>
              <w:t>Publication and open-source release costs</w:t>
            </w:r>
          </w:p>
        </w:tc>
        <w:tc>
          <w:tcPr>
            <w:tcW w:w="1400" w:type="dxa"/>
          </w:tcPr>
          <w:p>
            <w:pPr>
              <w:pStyle w:val="Normal"/>
              <w:spacing w:before="40" w:after="40"/>
            </w:pPr>
            <w:r>
              <w:rPr>
                <w:sz w:val="18"/>
                <w:szCs w:val="18"/>
              </w:rPr>
              <w:t>Cytognosis</w:t>
            </w:r>
          </w:p>
        </w:tc>
        <w:tc>
          <w:tcPr>
            <w:tcW w:w="700" w:type="dxa"/>
          </w:tcPr>
          <w:p>
            <w:pPr>
              <w:pStyle w:val="Normal"/>
              <w:spacing w:before="40" w:after="40"/>
            </w:pPr>
            <w:r>
              <w:rPr>
                <w:sz w:val="18"/>
                <w:szCs w:val="18"/>
              </w:rPr>
              <w:t>Phase II-III</w:t>
            </w:r>
          </w:p>
        </w:tc>
        <w:tc>
          <w:tcPr>
            <w:tcW w:w="1120" w:type="dxa"/>
          </w:tcPr>
          <w:p>
            <w:pPr>
              <w:pStyle w:val="Normal"/>
              <w:spacing w:before="40" w:after="40"/>
            </w:pPr>
            <w:r>
              <w:rPr>
                <w:sz w:val="18"/>
                <w:szCs w:val="18"/>
              </w:rPr>
              <w:t>~$30,000/yr</w:t>
            </w:r>
          </w:p>
        </w:tc>
        <w:tc>
          <w:tcPr>
            <w:tcW w:w="1220" w:type="dxa"/>
          </w:tcPr>
          <w:p>
            <w:pPr>
              <w:pStyle w:val="Normal"/>
              <w:spacing w:before="40" w:after="40"/>
            </w:pPr>
            <w:r>
              <w:rPr>
                <w:sz w:val="18"/>
                <w:szCs w:val="18"/>
              </w:rPr>
              <w:t>~$150,000</w:t>
            </w:r>
          </w:p>
        </w:tc>
        <w:tc>
          <w:tcPr>
            <w:tcW w:w="2520" w:type="dxa"/>
          </w:tcPr>
          <w:p>
            <w:pPr>
              <w:pStyle w:val="Normal"/>
              <w:spacing w:before="40" w:after="40"/>
            </w:pPr>
            <w:r>
              <w:rPr>
                <w:sz w:val="18"/>
                <w:szCs w:val="18"/>
              </w:rPr>
              <w:t>Dissemination; FAIR data deposit; open-source repo maintenance</w:t>
            </w:r>
          </w:p>
        </w:tc>
      </w:tr>
      <w:tr>
        <w:tc>
          <w:tcPr>
            <w:tcW w:w="2400" w:type="dxa"/>
          </w:tcPr>
          <w:p>
            <w:pPr>
              <w:pStyle w:val="Normal"/>
              <w:spacing w:before="40" w:after="40"/>
            </w:pPr>
            <w:r>
              <w:rPr>
                <w:sz w:val="18"/>
                <w:szCs w:val="18"/>
              </w:rPr>
              <w:t>ODC reserve</w:t>
            </w:r>
          </w:p>
        </w:tc>
        <w:tc>
          <w:tcPr>
            <w:tcW w:w="1400" w:type="dxa"/>
          </w:tcPr>
          <w:p>
            <w:pPr>
              <w:pStyle w:val="Normal"/>
              <w:spacing w:before="40" w:after="40"/>
            </w:pPr>
            <w:r>
              <w:rPr>
                <w:sz w:val="18"/>
                <w:szCs w:val="18"/>
              </w:rPr>
              <w:t>Multiple</w:t>
            </w:r>
          </w:p>
        </w:tc>
        <w:tc>
          <w:tcPr>
            <w:tcW w:w="700" w:type="dxa"/>
          </w:tcPr>
          <w:p>
            <w:pPr>
              <w:pStyle w:val="Normal"/>
              <w:spacing w:before="40" w:after="40"/>
            </w:pPr>
            <w:r>
              <w:rPr>
                <w:sz w:val="18"/>
                <w:szCs w:val="18"/>
              </w:rPr>
              <w:t>All</w:t>
            </w:r>
          </w:p>
        </w:tc>
        <w:tc>
          <w:tcPr>
            <w:tcW w:w="1120" w:type="dxa"/>
          </w:tcPr>
          <w:p>
            <w:pPr>
              <w:pStyle w:val="Normal"/>
              <w:spacing w:before="40" w:after="40"/>
            </w:pPr>
            <w:r>
              <w:rPr>
                <w:sz w:val="18"/>
                <w:szCs w:val="18"/>
              </w:rPr>
              <w:t>~$30,000/yr</w:t>
            </w:r>
          </w:p>
        </w:tc>
        <w:tc>
          <w:tcPr>
            <w:tcW w:w="1220" w:type="dxa"/>
          </w:tcPr>
          <w:p>
            <w:pPr>
              <w:pStyle w:val="Normal"/>
              <w:spacing w:before="40" w:after="40"/>
            </w:pPr>
            <w:r>
              <w:rPr>
                <w:sz w:val="18"/>
                <w:szCs w:val="18"/>
              </w:rPr>
              <w:t>~$150,000</w:t>
            </w:r>
          </w:p>
        </w:tc>
        <w:tc>
          <w:tcPr>
            <w:tcW w:w="2520" w:type="dxa"/>
          </w:tcPr>
          <w:p>
            <w:pPr>
              <w:pStyle w:val="Normal"/>
              <w:spacing w:before="40" w:after="40"/>
            </w:pPr>
            <w:r>
              <w:rPr>
                <w:sz w:val="18"/>
                <w:szCs w:val="18"/>
              </w:rPr>
              <w:t>Unanticipated ODC requirements</w:t>
            </w:r>
          </w:p>
        </w:tc>
      </w:tr>
      <w:tr>
        <w:tc>
          <w:tcPr>
            <w:tcW w:w="2400" w:type="dxa"/>
          </w:tcPr>
          <w:p>
            <w:pPr>
              <w:pStyle w:val="Normal"/>
              <w:spacing w:before="40" w:after="40"/>
            </w:pPr>
            <w:r>
              <w:rPr>
                <w:b/>
                <w:sz w:val="18"/>
                <w:szCs w:val="18"/>
              </w:rPr>
              <w:t>Total ODC</w:t>
            </w:r>
          </w:p>
        </w:tc>
        <w:tc>
          <w:tcPr>
            <w:tcW w:w="1400" w:type="dxa"/>
          </w:tcPr>
          <w:p>
            <w:pPr>
              <w:pStyle w:val="Normal"/>
              <w:spacing w:before="40" w:after="40"/>
            </w:pPr>
            <w:r>
              <w:rPr>
                <w:sz w:val="18"/>
                <w:szCs w:val="18"/>
              </w:rPr>
              <w:t/>
            </w:r>
          </w:p>
        </w:tc>
        <w:tc>
          <w:tcPr>
            <w:tcW w:w="700" w:type="dxa"/>
          </w:tcPr>
          <w:p>
            <w:pPr>
              <w:pStyle w:val="Normal"/>
              <w:spacing w:before="40" w:after="40"/>
            </w:pPr>
            <w:r>
              <w:rPr>
                <w:sz w:val="18"/>
                <w:szCs w:val="18"/>
              </w:rPr>
              <w:t/>
            </w:r>
          </w:p>
        </w:tc>
        <w:tc>
          <w:tcPr>
            <w:tcW w:w="1120" w:type="dxa"/>
          </w:tcPr>
          <w:p>
            <w:pPr>
              <w:pStyle w:val="Normal"/>
              <w:spacing w:before="40" w:after="40"/>
            </w:pPr>
            <w:r>
              <w:rPr>
                <w:sz w:val="18"/>
                <w:szCs w:val="18"/>
              </w:rPr>
              <w:t>~$1,360,000/yr (avg)</w:t>
            </w:r>
          </w:p>
        </w:tc>
        <w:tc>
          <w:tcPr>
            <w:tcW w:w="1220" w:type="dxa"/>
          </w:tcPr>
          <w:p>
            <w:pPr>
              <w:pStyle w:val="Normal"/>
              <w:spacing w:before="40" w:after="40"/>
            </w:pPr>
            <w:r>
              <w:rPr>
                <w:sz w:val="18"/>
                <w:szCs w:val="18"/>
              </w:rPr>
              <w:t>~$6,800,000</w:t>
            </w:r>
          </w:p>
        </w:tc>
        <w:tc>
          <w:tcPr>
            <w:tcW w:w="2520" w:type="dxa"/>
          </w:tcPr>
          <w:p>
            <w:pPr>
              <w:pStyle w:val="Normal"/>
              <w:spacing w:before="40" w:after="40"/>
            </w:pPr>
            <w:r>
              <w:rPr>
                <w:sz w:val="18"/>
                <w:szCs w:val="18"/>
              </w:rPr>
              <w:t/>
            </w:r>
          </w:p>
        </w:tc>
      </w:tr>
    </w:tbl>
    <w:p>
      <w:pPr>
        <w:pStyle w:val="Normal"/>
      </w:pPr>
    </w:p>
    <w:p>
      <w:pPr>
        <w:pStyle w:val="BodyText"/>
        <w:spacing w:before="160" w:after="80"/>
      </w:pPr>
      <w:r>
        <w:rPr>
          <w:b/>
          <w:sz w:val="22"/>
        </w:rPr>
        <w:t>Materials (~$2.4M)</w:t>
      </w:r>
    </w:p>
    <w:p>
      <w:pPr>
        <w:pStyle w:val="Normal"/>
        <w:spacing w:before="0" w:after="120"/>
      </w:pPr>
      <w:r>
        <w:t>Materials are a separate BOE line and are detailed here for completeness; they appear as the Materials row in the consolidated BOE table.</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800"/>
        <w:gridCol w:w="1400"/>
        <w:gridCol w:w="700"/>
        <w:gridCol w:w="1100"/>
        <w:gridCol w:w="1300"/>
        <w:gridCol w:w="2060"/>
      </w:tblGrid>
      <w:tr>
        <w:trPr>
          <w:tblHeader/>
        </w:trPr>
        <w:tc>
          <w:tcPr>
            <w:tcW w:w="2800" w:type="dxa"/>
            <w:shd w:val="clear" w:color="auto" w:fill="D6E4F0"/>
          </w:tcPr>
          <w:p>
            <w:pPr>
              <w:pStyle w:val="Normal"/>
              <w:spacing w:before="40" w:after="40"/>
            </w:pPr>
            <w:r>
              <w:rPr>
                <w:b/>
                <w:sz w:val="18"/>
                <w:szCs w:val="18"/>
              </w:rPr>
              <w:t>Material / reagent item</w:t>
            </w:r>
          </w:p>
        </w:tc>
        <w:tc>
          <w:tcPr>
            <w:tcW w:w="1400" w:type="dxa"/>
            <w:shd w:val="clear" w:color="auto" w:fill="D6E4F0"/>
          </w:tcPr>
          <w:p>
            <w:pPr>
              <w:pStyle w:val="Normal"/>
              <w:spacing w:before="40" w:after="40"/>
            </w:pPr>
            <w:r>
              <w:rPr>
                <w:b/>
                <w:sz w:val="18"/>
                <w:szCs w:val="18"/>
              </w:rPr>
              <w:t>Organization</w:t>
            </w:r>
          </w:p>
        </w:tc>
        <w:tc>
          <w:tcPr>
            <w:tcW w:w="700" w:type="dxa"/>
            <w:shd w:val="clear" w:color="auto" w:fill="D6E4F0"/>
          </w:tcPr>
          <w:p>
            <w:pPr>
              <w:pStyle w:val="Normal"/>
              <w:spacing w:before="40" w:after="40"/>
            </w:pPr>
            <w:r>
              <w:rPr>
                <w:b/>
                <w:sz w:val="18"/>
                <w:szCs w:val="18"/>
              </w:rPr>
              <w:t>Phases</w:t>
            </w:r>
          </w:p>
        </w:tc>
        <w:tc>
          <w:tcPr>
            <w:tcW w:w="1100" w:type="dxa"/>
            <w:shd w:val="clear" w:color="auto" w:fill="D6E4F0"/>
          </w:tcPr>
          <w:p>
            <w:pPr>
              <w:pStyle w:val="Normal"/>
              <w:spacing w:before="40" w:after="40"/>
            </w:pPr>
            <w:r>
              <w:rPr>
                <w:b/>
                <w:sz w:val="18"/>
                <w:szCs w:val="18"/>
              </w:rPr>
              <w:t>Qty (approx.)</w:t>
            </w:r>
          </w:p>
        </w:tc>
        <w:tc>
          <w:tcPr>
            <w:tcW w:w="1300" w:type="dxa"/>
            <w:shd w:val="clear" w:color="auto" w:fill="D6E4F0"/>
          </w:tcPr>
          <w:p>
            <w:pPr>
              <w:pStyle w:val="Normal"/>
              <w:spacing w:before="40" w:after="40"/>
            </w:pPr>
            <w:r>
              <w:rPr>
                <w:b/>
                <w:sz w:val="18"/>
                <w:szCs w:val="18"/>
              </w:rPr>
              <w:t>Unit cost</w:t>
            </w:r>
          </w:p>
        </w:tc>
        <w:tc>
          <w:tcPr>
            <w:tcW w:w="2060" w:type="dxa"/>
            <w:shd w:val="clear" w:color="auto" w:fill="D6E4F0"/>
          </w:tcPr>
          <w:p>
            <w:pPr>
              <w:pStyle w:val="Normal"/>
              <w:spacing w:before="40" w:after="40"/>
            </w:pPr>
            <w:r>
              <w:rPr>
                <w:b/>
                <w:sz w:val="18"/>
                <w:szCs w:val="18"/>
              </w:rPr>
              <w:t>Total (est.)</w:t>
            </w:r>
          </w:p>
        </w:tc>
      </w:tr>
      <w:tr>
        <w:tc>
          <w:tcPr>
            <w:tcW w:w="2800" w:type="dxa"/>
          </w:tcPr>
          <w:p>
            <w:pPr>
              <w:pStyle w:val="Normal"/>
              <w:spacing w:before="40" w:after="40"/>
            </w:pPr>
            <w:r>
              <w:rPr>
                <w:sz w:val="18"/>
                <w:szCs w:val="18"/>
              </w:rPr>
              <w:t>iPSC line acquisition and QC (WiCell, ATCC, or academic transfer)</w:t>
            </w:r>
          </w:p>
        </w:tc>
        <w:tc>
          <w:tcPr>
            <w:tcW w:w="1400" w:type="dxa"/>
          </w:tcPr>
          <w:p>
            <w:pPr>
              <w:pStyle w:val="Normal"/>
              <w:spacing w:before="40" w:after="40"/>
            </w:pPr>
            <w:r>
              <w:rPr>
                <w:sz w:val="18"/>
                <w:szCs w:val="18"/>
              </w:rPr>
              <w:t>Purdue (Tegtmeyer)</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10-15 lines, 5 yr</w:t>
            </w:r>
          </w:p>
        </w:tc>
        <w:tc>
          <w:tcPr>
            <w:tcW w:w="1300" w:type="dxa"/>
          </w:tcPr>
          <w:p>
            <w:pPr>
              <w:pStyle w:val="Normal"/>
              <w:spacing w:before="40" w:after="40"/>
            </w:pPr>
            <w:r>
              <w:rPr>
                <w:sz w:val="18"/>
                <w:szCs w:val="18"/>
              </w:rPr>
              <w:t>~$5,000-15,000/line</w:t>
            </w:r>
          </w:p>
        </w:tc>
        <w:tc>
          <w:tcPr>
            <w:tcW w:w="2060" w:type="dxa"/>
          </w:tcPr>
          <w:p>
            <w:pPr>
              <w:pStyle w:val="Normal"/>
              <w:spacing w:before="40" w:after="40"/>
            </w:pPr>
            <w:r>
              <w:rPr>
                <w:sz w:val="18"/>
                <w:szCs w:val="18"/>
              </w:rPr>
              <w:t>~$120,000</w:t>
            </w:r>
          </w:p>
        </w:tc>
      </w:tr>
      <w:tr>
        <w:tc>
          <w:tcPr>
            <w:tcW w:w="2800" w:type="dxa"/>
          </w:tcPr>
          <w:p>
            <w:pPr>
              <w:pStyle w:val="Normal"/>
              <w:spacing w:before="40" w:after="40"/>
            </w:pPr>
            <w:r>
              <w:rPr>
                <w:sz w:val="18"/>
                <w:szCs w:val="18"/>
              </w:rPr>
              <w:t>NGN2 neuron differentiation reagents / consumables</w:t>
            </w:r>
          </w:p>
        </w:tc>
        <w:tc>
          <w:tcPr>
            <w:tcW w:w="1400" w:type="dxa"/>
          </w:tcPr>
          <w:p>
            <w:pPr>
              <w:pStyle w:val="Normal"/>
              <w:spacing w:before="40" w:after="40"/>
            </w:pPr>
            <w:r>
              <w:rPr>
                <w:sz w:val="18"/>
                <w:szCs w:val="18"/>
              </w:rPr>
              <w:t>Purdue (Tegtmeyer)</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~80 runs</w:t>
            </w:r>
          </w:p>
        </w:tc>
        <w:tc>
          <w:tcPr>
            <w:tcW w:w="1300" w:type="dxa"/>
          </w:tcPr>
          <w:p>
            <w:pPr>
              <w:pStyle w:val="Normal"/>
              <w:spacing w:before="40" w:after="40"/>
            </w:pPr>
            <w:r>
              <w:rPr>
                <w:sz w:val="18"/>
                <w:szCs w:val="18"/>
              </w:rPr>
              <w:t>~$3,000-5,000/run</w:t>
            </w:r>
          </w:p>
        </w:tc>
        <w:tc>
          <w:tcPr>
            <w:tcW w:w="2060" w:type="dxa"/>
          </w:tcPr>
          <w:p>
            <w:pPr>
              <w:pStyle w:val="Normal"/>
              <w:spacing w:before="40" w:after="40"/>
            </w:pPr>
            <w:r>
              <w:rPr>
                <w:sz w:val="18"/>
                <w:szCs w:val="18"/>
              </w:rPr>
              <w:t>~$400,000</w:t>
            </w:r>
          </w:p>
        </w:tc>
      </w:tr>
      <w:tr>
        <w:tc>
          <w:tcPr>
            <w:tcW w:w="2800" w:type="dxa"/>
          </w:tcPr>
          <w:p>
            <w:pPr>
              <w:pStyle w:val="Normal"/>
              <w:spacing w:before="40" w:after="40"/>
            </w:pPr>
            <w:r>
              <w:rPr>
                <w:sz w:val="18"/>
                <w:szCs w:val="18"/>
              </w:rPr>
              <w:t>CRISPRi/a guide RNA libraries</w:t>
            </w:r>
          </w:p>
        </w:tc>
        <w:tc>
          <w:tcPr>
            <w:tcW w:w="1400" w:type="dxa"/>
          </w:tcPr>
          <w:p>
            <w:pPr>
              <w:pStyle w:val="Normal"/>
              <w:spacing w:before="40" w:after="40"/>
            </w:pPr>
            <w:r>
              <w:rPr>
                <w:sz w:val="18"/>
                <w:szCs w:val="18"/>
              </w:rPr>
              <w:t>Cellanome</w:t>
            </w:r>
          </w:p>
        </w:tc>
        <w:tc>
          <w:tcPr>
            <w:tcW w:w="700" w:type="dxa"/>
          </w:tcPr>
          <w:p>
            <w:pPr>
              <w:pStyle w:val="Normal"/>
              <w:spacing w:before="40" w:after="40"/>
            </w:pPr>
            <w:r>
              <w:rPr>
                <w:sz w:val="18"/>
                <w:szCs w:val="18"/>
              </w:rPr>
              <w:t>Phase I-III</w:t>
            </w:r>
          </w:p>
        </w:tc>
        <w:tc>
          <w:tcPr>
            <w:tcW w:w="1100" w:type="dxa"/>
          </w:tcPr>
          <w:p>
            <w:pPr>
              <w:pStyle w:val="Normal"/>
              <w:spacing w:before="40" w:after="40"/>
            </w:pPr>
            <w:r>
              <w:rPr>
                <w:sz w:val="18"/>
                <w:szCs w:val="18"/>
              </w:rPr>
              <w:t>3-4 libraries</w:t>
            </w:r>
          </w:p>
        </w:tc>
        <w:tc>
          <w:tcPr>
            <w:tcW w:w="1300" w:type="dxa"/>
          </w:tcPr>
          <w:p>
            <w:pPr>
              <w:pStyle w:val="Normal"/>
              <w:spacing w:before="40" w:after="40"/>
            </w:pPr>
            <w:r>
              <w:rPr>
                <w:sz w:val="18"/>
                <w:szCs w:val="18"/>
              </w:rPr>
              <w:t>~$20,000-50,000/library</w:t>
            </w:r>
          </w:p>
        </w:tc>
        <w:tc>
          <w:tcPr>
            <w:tcW w:w="2060" w:type="dxa"/>
          </w:tcPr>
          <w:p>
            <w:pPr>
              <w:pStyle w:val="Normal"/>
              <w:spacing w:before="40" w:after="40"/>
            </w:pPr>
            <w:r>
              <w:rPr>
                <w:sz w:val="18"/>
                <w:szCs w:val="18"/>
              </w:rPr>
              <w:t>~$120,000</w:t>
            </w:r>
          </w:p>
        </w:tc>
      </w:tr>
      <w:tr>
        <w:tc>
          <w:tcPr>
            <w:tcW w:w="2800" w:type="dxa"/>
          </w:tcPr>
          <w:p>
            <w:pPr>
              <w:pStyle w:val="Normal"/>
              <w:spacing w:before="40" w:after="40"/>
            </w:pPr>
            <w:r>
              <w:rPr>
                <w:sz w:val="18"/>
                <w:szCs w:val="18"/>
              </w:rPr>
              <w:t>Lentivirus production and titering</w:t>
            </w:r>
          </w:p>
        </w:tc>
        <w:tc>
          <w:tcPr>
            <w:tcW w:w="1400" w:type="dxa"/>
          </w:tcPr>
          <w:p>
            <w:pPr>
              <w:pStyle w:val="Normal"/>
              <w:spacing w:before="40" w:after="40"/>
            </w:pPr>
            <w:r>
              <w:rPr>
                <w:sz w:val="18"/>
                <w:szCs w:val="18"/>
              </w:rPr>
              <w:t>Cellanome</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~30 preps, 5 yr</w:t>
            </w:r>
          </w:p>
        </w:tc>
        <w:tc>
          <w:tcPr>
            <w:tcW w:w="1300" w:type="dxa"/>
          </w:tcPr>
          <w:p>
            <w:pPr>
              <w:pStyle w:val="Normal"/>
              <w:spacing w:before="40" w:after="40"/>
            </w:pPr>
            <w:r>
              <w:rPr>
                <w:sz w:val="18"/>
                <w:szCs w:val="18"/>
              </w:rPr>
              <w:t>~$5,000-10,000/prep</w:t>
            </w:r>
          </w:p>
        </w:tc>
        <w:tc>
          <w:tcPr>
            <w:tcW w:w="2060" w:type="dxa"/>
          </w:tcPr>
          <w:p>
            <w:pPr>
              <w:pStyle w:val="Normal"/>
              <w:spacing w:before="40" w:after="40"/>
            </w:pPr>
            <w:r>
              <w:rPr>
                <w:sz w:val="18"/>
                <w:szCs w:val="18"/>
              </w:rPr>
              <w:t>~$300,000</w:t>
            </w:r>
          </w:p>
        </w:tc>
      </w:tr>
      <w:tr>
        <w:tc>
          <w:tcPr>
            <w:tcW w:w="2800" w:type="dxa"/>
          </w:tcPr>
          <w:p>
            <w:pPr>
              <w:pStyle w:val="Normal"/>
              <w:spacing w:before="40" w:after="40"/>
            </w:pPr>
            <w:r>
              <w:rPr>
                <w:sz w:val="18"/>
                <w:szCs w:val="18"/>
              </w:rPr>
              <w:t>Targeted Perturb-seq kits (10x Genomics CRISPR screen kit)</w:t>
            </w:r>
          </w:p>
        </w:tc>
        <w:tc>
          <w:tcPr>
            <w:tcW w:w="1400" w:type="dxa"/>
          </w:tcPr>
          <w:p>
            <w:pPr>
              <w:pStyle w:val="Normal"/>
              <w:spacing w:before="40" w:after="40"/>
            </w:pPr>
            <w:r>
              <w:rPr>
                <w:sz w:val="18"/>
                <w:szCs w:val="18"/>
              </w:rPr>
              <w:t>Cellanome</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~30 screens</w:t>
            </w:r>
          </w:p>
        </w:tc>
        <w:tc>
          <w:tcPr>
            <w:tcW w:w="1300" w:type="dxa"/>
          </w:tcPr>
          <w:p>
            <w:pPr>
              <w:pStyle w:val="Normal"/>
              <w:spacing w:before="40" w:after="40"/>
            </w:pPr>
            <w:r>
              <w:rPr>
                <w:sz w:val="18"/>
                <w:szCs w:val="18"/>
              </w:rPr>
              <w:t>~$5,000-20,000/screen</w:t>
            </w:r>
          </w:p>
        </w:tc>
        <w:tc>
          <w:tcPr>
            <w:tcW w:w="2060" w:type="dxa"/>
          </w:tcPr>
          <w:p>
            <w:pPr>
              <w:pStyle w:val="Normal"/>
              <w:spacing w:before="40" w:after="40"/>
            </w:pPr>
            <w:r>
              <w:rPr>
                <w:sz w:val="18"/>
                <w:szCs w:val="18"/>
              </w:rPr>
              <w:t>~$600,000</w:t>
            </w:r>
          </w:p>
        </w:tc>
      </w:tr>
      <w:tr>
        <w:tc>
          <w:tcPr>
            <w:tcW w:w="2800" w:type="dxa"/>
          </w:tcPr>
          <w:p>
            <w:pPr>
              <w:pStyle w:val="Normal"/>
              <w:spacing w:before="40" w:after="40"/>
            </w:pPr>
            <w:r>
              <w:rPr>
                <w:sz w:val="18"/>
                <w:szCs w:val="18"/>
              </w:rPr>
              <w:t>Cell Painting reagents</w:t>
            </w:r>
          </w:p>
        </w:tc>
        <w:tc>
          <w:tcPr>
            <w:tcW w:w="1400" w:type="dxa"/>
          </w:tcPr>
          <w:p>
            <w:pPr>
              <w:pStyle w:val="Normal"/>
              <w:spacing w:before="40" w:after="40"/>
            </w:pPr>
            <w:r>
              <w:rPr>
                <w:sz w:val="18"/>
                <w:szCs w:val="18"/>
              </w:rPr>
              <w:t>Purdue + Cellanome</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~50 campaigns</w:t>
            </w:r>
          </w:p>
        </w:tc>
        <w:tc>
          <w:tcPr>
            <w:tcW w:w="1300" w:type="dxa"/>
          </w:tcPr>
          <w:p>
            <w:pPr>
              <w:pStyle w:val="Normal"/>
              <w:spacing w:before="40" w:after="40"/>
            </w:pPr>
            <w:r>
              <w:rPr>
                <w:sz w:val="18"/>
                <w:szCs w:val="18"/>
              </w:rPr>
              <w:t>~$8,000-25,000/campaign</w:t>
            </w:r>
          </w:p>
        </w:tc>
        <w:tc>
          <w:tcPr>
            <w:tcW w:w="2060" w:type="dxa"/>
          </w:tcPr>
          <w:p>
            <w:pPr>
              <w:pStyle w:val="Normal"/>
              <w:spacing w:before="40" w:after="40"/>
            </w:pPr>
            <w:r>
              <w:rPr>
                <w:sz w:val="18"/>
                <w:szCs w:val="18"/>
              </w:rPr>
              <w:t>~$450,000</w:t>
            </w:r>
          </w:p>
        </w:tc>
      </w:tr>
      <w:tr>
        <w:tc>
          <w:tcPr>
            <w:tcW w:w="2800" w:type="dxa"/>
          </w:tcPr>
          <w:p>
            <w:pPr>
              <w:pStyle w:val="Normal"/>
              <w:spacing w:before="40" w:after="40"/>
            </w:pPr>
            <w:r>
              <w:rPr>
                <w:sz w:val="18"/>
                <w:szCs w:val="18"/>
              </w:rPr>
              <w:t>scRNA-seq consumables</w:t>
            </w:r>
          </w:p>
        </w:tc>
        <w:tc>
          <w:tcPr>
            <w:tcW w:w="1400" w:type="dxa"/>
          </w:tcPr>
          <w:p>
            <w:pPr>
              <w:pStyle w:val="Normal"/>
              <w:spacing w:before="40" w:after="40"/>
            </w:pPr>
            <w:r>
              <w:rPr>
                <w:sz w:val="18"/>
                <w:szCs w:val="18"/>
              </w:rPr>
              <w:t>Cellanome</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~1,000 samples</w:t>
            </w:r>
          </w:p>
        </w:tc>
        <w:tc>
          <w:tcPr>
            <w:tcW w:w="1300" w:type="dxa"/>
          </w:tcPr>
          <w:p>
            <w:pPr>
              <w:pStyle w:val="Normal"/>
              <w:spacing w:before="40" w:after="40"/>
            </w:pPr>
            <w:r>
              <w:rPr>
                <w:sz w:val="18"/>
                <w:szCs w:val="18"/>
              </w:rPr>
              <w:t>~$300-700/sample</w:t>
            </w:r>
          </w:p>
        </w:tc>
        <w:tc>
          <w:tcPr>
            <w:tcW w:w="2060" w:type="dxa"/>
          </w:tcPr>
          <w:p>
            <w:pPr>
              <w:pStyle w:val="Normal"/>
              <w:spacing w:before="40" w:after="40"/>
            </w:pPr>
            <w:r>
              <w:rPr>
                <w:sz w:val="18"/>
                <w:szCs w:val="18"/>
              </w:rPr>
              <w:t>~$200,000</w:t>
            </w:r>
          </w:p>
        </w:tc>
      </w:tr>
      <w:tr>
        <w:tc>
          <w:tcPr>
            <w:tcW w:w="2800" w:type="dxa"/>
          </w:tcPr>
          <w:p>
            <w:pPr>
              <w:pStyle w:val="Normal"/>
              <w:spacing w:before="40" w:after="40"/>
            </w:pPr>
            <w:r>
              <w:rPr>
                <w:sz w:val="18"/>
                <w:szCs w:val="18"/>
              </w:rPr>
              <w:t>CRISPR editing reagents</w:t>
            </w:r>
          </w:p>
        </w:tc>
        <w:tc>
          <w:tcPr>
            <w:tcW w:w="1400" w:type="dxa"/>
          </w:tcPr>
          <w:p>
            <w:pPr>
              <w:pStyle w:val="Normal"/>
              <w:spacing w:before="40" w:after="40"/>
            </w:pPr>
            <w:r>
              <w:rPr>
                <w:sz w:val="18"/>
                <w:szCs w:val="18"/>
              </w:rPr>
              <w:t>Purdue + Cellanome</w:t>
            </w:r>
          </w:p>
        </w:tc>
        <w:tc>
          <w:tcPr>
            <w:tcW w:w="700" w:type="dxa"/>
          </w:tcPr>
          <w:p>
            <w:pPr>
              <w:pStyle w:val="Normal"/>
              <w:spacing w:before="40" w:after="40"/>
            </w:pPr>
            <w:r>
              <w:rPr>
                <w:sz w:val="18"/>
                <w:szCs w:val="18"/>
              </w:rPr>
              <w:t>Phase I-II</w:t>
            </w:r>
          </w:p>
        </w:tc>
        <w:tc>
          <w:tcPr>
            <w:tcW w:w="1100" w:type="dxa"/>
          </w:tcPr>
          <w:p>
            <w:pPr>
              <w:pStyle w:val="Normal"/>
              <w:spacing w:before="40" w:after="40"/>
            </w:pPr>
            <w:r>
              <w:rPr>
                <w:sz w:val="18"/>
                <w:szCs w:val="18"/>
              </w:rPr>
              <w:t>lot</w:t>
            </w:r>
          </w:p>
        </w:tc>
        <w:tc>
          <w:tcPr>
            <w:tcW w:w="1300" w:type="dxa"/>
          </w:tcPr>
          <w:p>
            <w:pPr>
              <w:pStyle w:val="Normal"/>
              <w:spacing w:before="40" w:after="40"/>
            </w:pPr>
            <w:r>
              <w:rPr>
                <w:sz w:val="18"/>
                <w:szCs w:val="18"/>
              </w:rPr>
              <w:t>~$40,000/yr</w:t>
            </w:r>
          </w:p>
        </w:tc>
        <w:tc>
          <w:tcPr>
            <w:tcW w:w="2060" w:type="dxa"/>
          </w:tcPr>
          <w:p>
            <w:pPr>
              <w:pStyle w:val="Normal"/>
              <w:spacing w:before="40" w:after="40"/>
            </w:pPr>
            <w:r>
              <w:rPr>
                <w:sz w:val="18"/>
                <w:szCs w:val="18"/>
              </w:rPr>
              <w:t>~$200,000</w:t>
            </w:r>
          </w:p>
        </w:tc>
      </w:tr>
      <w:tr>
        <w:tc>
          <w:tcPr>
            <w:tcW w:w="2800" w:type="dxa"/>
          </w:tcPr>
          <w:p>
            <w:pPr>
              <w:pStyle w:val="Normal"/>
              <w:spacing w:before="40" w:after="40"/>
            </w:pPr>
            <w:r>
              <w:rPr>
                <w:sz w:val="18"/>
                <w:szCs w:val="18"/>
              </w:rPr>
              <w:t>Materials reserve</w:t>
            </w:r>
          </w:p>
        </w:tc>
        <w:tc>
          <w:tcPr>
            <w:tcW w:w="1400" w:type="dxa"/>
          </w:tcPr>
          <w:p>
            <w:pPr>
              <w:pStyle w:val="Normal"/>
              <w:spacing w:before="40" w:after="40"/>
            </w:pPr>
            <w:r>
              <w:rPr>
                <w:sz w:val="18"/>
                <w:szCs w:val="18"/>
              </w:rPr>
              <w:t>Multiple</w:t>
            </w:r>
          </w:p>
        </w:tc>
        <w:tc>
          <w:tcPr>
            <w:tcW w:w="700" w:type="dxa"/>
          </w:tcPr>
          <w:p>
            <w:pPr>
              <w:pStyle w:val="Normal"/>
              <w:spacing w:before="40" w:after="40"/>
            </w:pPr>
            <w:r>
              <w:rPr>
                <w:sz w:val="18"/>
                <w:szCs w:val="18"/>
              </w:rPr>
              <w:t>All</w:t>
            </w:r>
          </w:p>
        </w:tc>
        <w:tc>
          <w:tcPr>
            <w:tcW w:w="1100" w:type="dxa"/>
          </w:tcPr>
          <w:p>
            <w:pPr>
              <w:pStyle w:val="Normal"/>
              <w:spacing w:before="40" w:after="40"/>
            </w:pPr>
            <w:r>
              <w:rPr>
                <w:sz w:val="18"/>
                <w:szCs w:val="18"/>
              </w:rPr>
              <w:t>—</w:t>
            </w:r>
          </w:p>
        </w:tc>
        <w:tc>
          <w:tcPr>
            <w:tcW w:w="1300" w:type="dxa"/>
          </w:tcPr>
          <w:p>
            <w:pPr>
              <w:pStyle w:val="Normal"/>
              <w:spacing w:before="40" w:after="40"/>
            </w:pPr>
            <w:r>
              <w:rPr>
                <w:sz w:val="18"/>
                <w:szCs w:val="18"/>
              </w:rPr>
              <w:t>—</w:t>
            </w:r>
          </w:p>
        </w:tc>
        <w:tc>
          <w:tcPr>
            <w:tcW w:w="2060" w:type="dxa"/>
          </w:tcPr>
          <w:p>
            <w:pPr>
              <w:pStyle w:val="Normal"/>
              <w:spacing w:before="40" w:after="40"/>
            </w:pPr>
            <w:r>
              <w:rPr>
                <w:sz w:val="18"/>
                <w:szCs w:val="18"/>
              </w:rPr>
              <w:t>~$110,000</w:t>
            </w:r>
          </w:p>
        </w:tc>
      </w:tr>
      <w:tr>
        <w:tc>
          <w:tcPr>
            <w:tcW w:w="2800" w:type="dxa"/>
          </w:tcPr>
          <w:p>
            <w:pPr>
              <w:pStyle w:val="Normal"/>
              <w:spacing w:before="40" w:after="40"/>
            </w:pPr>
            <w:r>
              <w:rPr>
                <w:b/>
                <w:sz w:val="18"/>
                <w:szCs w:val="18"/>
              </w:rPr>
              <w:t>Total Materials</w:t>
            </w:r>
          </w:p>
        </w:tc>
        <w:tc>
          <w:tcPr>
            <w:tcW w:w="1400" w:type="dxa"/>
          </w:tcPr>
          <w:p>
            <w:pPr>
              <w:pStyle w:val="Normal"/>
              <w:spacing w:before="40" w:after="40"/>
            </w:pPr>
            <w:r>
              <w:rPr>
                <w:sz w:val="18"/>
                <w:szCs w:val="18"/>
              </w:rPr>
              <w:t/>
            </w:r>
          </w:p>
        </w:tc>
        <w:tc>
          <w:tcPr>
            <w:tcW w:w="700" w:type="dxa"/>
          </w:tcPr>
          <w:p>
            <w:pPr>
              <w:pStyle w:val="Normal"/>
              <w:spacing w:before="40" w:after="40"/>
            </w:pPr>
            <w:r>
              <w:rPr>
                <w:sz w:val="18"/>
                <w:szCs w:val="18"/>
              </w:rPr>
              <w:t/>
            </w:r>
          </w:p>
        </w:tc>
        <w:tc>
          <w:tcPr>
            <w:tcW w:w="1100" w:type="dxa"/>
          </w:tcPr>
          <w:p>
            <w:pPr>
              <w:pStyle w:val="Normal"/>
              <w:spacing w:before="40" w:after="40"/>
            </w:pPr>
            <w:r>
              <w:rPr>
                <w:sz w:val="18"/>
                <w:szCs w:val="18"/>
              </w:rPr>
              <w:t/>
            </w:r>
          </w:p>
        </w:tc>
        <w:tc>
          <w:tcPr>
            <w:tcW w:w="1300" w:type="dxa"/>
          </w:tcPr>
          <w:p>
            <w:pPr>
              <w:pStyle w:val="Normal"/>
              <w:spacing w:before="40" w:after="40"/>
            </w:pPr>
            <w:r>
              <w:rPr>
                <w:sz w:val="18"/>
                <w:szCs w:val="18"/>
              </w:rPr>
              <w:t/>
            </w:r>
          </w:p>
        </w:tc>
        <w:tc>
          <w:tcPr>
            <w:tcW w:w="2060" w:type="dxa"/>
          </w:tcPr>
          <w:p>
            <w:pPr>
              <w:pStyle w:val="Normal"/>
              <w:spacing w:before="40" w:after="40"/>
            </w:pPr>
            <w:r>
              <w:rPr>
                <w:sz w:val="18"/>
                <w:szCs w:val="18"/>
              </w:rPr>
              <w:t>~$2,500,000 (~$2.4-2.5M)</w:t>
            </w:r>
          </w:p>
        </w:tc>
      </w:tr>
    </w:tbl>
    <w:p>
      <w:pPr>
        <w:pStyle w:val="Normal"/>
      </w:pPr>
    </w:p>
    <w:p>
      <w:pPr>
        <w:pStyle w:val="Heading1"/>
      </w:pPr>
      <w:r>
        <w:t>Resource Sharing</w:t>
      </w:r>
    </w:p>
    <w:p>
      <w:pPr>
        <w:pStyle w:val="Normal"/>
        <w:spacing w:before="0" w:after="120"/>
      </w:pPr>
      <w:r>
        <w:t>The team proposes approximately $2.3M in Performer in-kind resource sharing. Resource sharing is not required under the IGoR OT but is evaluated under Criterion 4. The in-kind contributions are substantive and documented. In-kind items do NOT count toward the ARPA-H-funded columns; they are SEPARATE from the $42.9M request.</w:t>
      </w:r>
    </w:p>
    <w:p>
      <w:pPr>
        <w:pStyle w:val="Normal"/>
      </w:pP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2400"/>
        <w:gridCol w:w="1500"/>
        <w:gridCol w:w="1400"/>
        <w:gridCol w:w="1000"/>
        <w:gridCol w:w="700"/>
        <w:gridCol w:w="2360"/>
      </w:tblGrid>
      <w:tr>
        <w:trPr>
          <w:tblHeader/>
        </w:trPr>
        <w:tc>
          <w:tcPr>
            <w:tcW w:w="2400" w:type="dxa"/>
            <w:shd w:val="clear" w:color="auto" w:fill="D6E4F0"/>
          </w:tcPr>
          <w:p>
            <w:pPr>
              <w:pStyle w:val="Normal"/>
              <w:spacing w:before="40" w:after="40"/>
            </w:pPr>
            <w:r>
              <w:rPr>
                <w:b/>
                <w:sz w:val="18"/>
                <w:szCs w:val="18"/>
              </w:rPr>
              <w:t>Resource</w:t>
            </w:r>
          </w:p>
        </w:tc>
        <w:tc>
          <w:tcPr>
            <w:tcW w:w="1500" w:type="dxa"/>
            <w:shd w:val="clear" w:color="auto" w:fill="D6E4F0"/>
          </w:tcPr>
          <w:p>
            <w:pPr>
              <w:pStyle w:val="Normal"/>
              <w:spacing w:before="40" w:after="40"/>
            </w:pPr>
            <w:r>
              <w:rPr>
                <w:b/>
                <w:sz w:val="18"/>
                <w:szCs w:val="18"/>
              </w:rPr>
              <w:t>Contributing partner</w:t>
            </w:r>
          </w:p>
        </w:tc>
        <w:tc>
          <w:tcPr>
            <w:tcW w:w="1400" w:type="dxa"/>
            <w:shd w:val="clear" w:color="auto" w:fill="D6E4F0"/>
          </w:tcPr>
          <w:p>
            <w:pPr>
              <w:pStyle w:val="Normal"/>
              <w:spacing w:before="40" w:after="40"/>
            </w:pPr>
            <w:r>
              <w:rPr>
                <w:b/>
                <w:sz w:val="18"/>
                <w:szCs w:val="18"/>
              </w:rPr>
              <w:t>Type</w:t>
            </w:r>
          </w:p>
        </w:tc>
        <w:tc>
          <w:tcPr>
            <w:tcW w:w="1000" w:type="dxa"/>
            <w:shd w:val="clear" w:color="auto" w:fill="D6E4F0"/>
          </w:tcPr>
          <w:p>
            <w:pPr>
              <w:pStyle w:val="Normal"/>
              <w:spacing w:before="40" w:after="40"/>
            </w:pPr>
            <w:r>
              <w:rPr>
                <w:b/>
                <w:sz w:val="18"/>
                <w:szCs w:val="18"/>
              </w:rPr>
              <w:t>Est. value ($)</w:t>
            </w:r>
          </w:p>
        </w:tc>
        <w:tc>
          <w:tcPr>
            <w:tcW w:w="700" w:type="dxa"/>
            <w:shd w:val="clear" w:color="auto" w:fill="D6E4F0"/>
          </w:tcPr>
          <w:p>
            <w:pPr>
              <w:pStyle w:val="Normal"/>
              <w:spacing w:before="40" w:after="40"/>
            </w:pPr>
            <w:r>
              <w:rPr>
                <w:b/>
                <w:sz w:val="18"/>
                <w:szCs w:val="18"/>
              </w:rPr>
              <w:t>Phases</w:t>
            </w:r>
          </w:p>
        </w:tc>
        <w:tc>
          <w:tcPr>
            <w:tcW w:w="2360" w:type="dxa"/>
            <w:shd w:val="clear" w:color="auto" w:fill="D6E4F0"/>
          </w:tcPr>
          <w:p>
            <w:pPr>
              <w:pStyle w:val="Normal"/>
              <w:spacing w:before="40" w:after="40"/>
            </w:pPr>
            <w:r>
              <w:rPr>
                <w:b/>
                <w:sz w:val="18"/>
                <w:szCs w:val="18"/>
              </w:rPr>
              <w:t>Basis</w:t>
            </w:r>
          </w:p>
        </w:tc>
      </w:tr>
      <w:tr>
        <w:tc>
          <w:tcPr>
            <w:tcW w:w="2400" w:type="dxa"/>
          </w:tcPr>
          <w:p>
            <w:pPr>
              <w:pStyle w:val="Normal"/>
              <w:spacing w:before="40" w:after="40"/>
            </w:pPr>
            <w:r>
              <w:rPr>
                <w:sz w:val="18"/>
                <w:szCs w:val="18"/>
              </w:rPr>
              <w:t>IPAI/Purdue HPC compute (Anvil/Brown; NSF ACCESS allocation rates)</w:t>
            </w:r>
          </w:p>
        </w:tc>
        <w:tc>
          <w:tcPr>
            <w:tcW w:w="1500" w:type="dxa"/>
          </w:tcPr>
          <w:p>
            <w:pPr>
              <w:pStyle w:val="Normal"/>
              <w:spacing w:before="40" w:after="40"/>
            </w:pPr>
            <w:r>
              <w:rPr>
                <w:sz w:val="18"/>
                <w:szCs w:val="18"/>
              </w:rPr>
              <w:t>Purdue / IPAI</w:t>
            </w:r>
          </w:p>
        </w:tc>
        <w:tc>
          <w:tcPr>
            <w:tcW w:w="1400" w:type="dxa"/>
          </w:tcPr>
          <w:p>
            <w:pPr>
              <w:pStyle w:val="Normal"/>
              <w:spacing w:before="40" w:after="40"/>
            </w:pPr>
            <w:r>
              <w:rPr>
                <w:sz w:val="18"/>
                <w:szCs w:val="18"/>
              </w:rPr>
              <w:t>HPC compute</w:t>
            </w:r>
          </w:p>
        </w:tc>
        <w:tc>
          <w:tcPr>
            <w:tcW w:w="1000" w:type="dxa"/>
          </w:tcPr>
          <w:p>
            <w:pPr>
              <w:pStyle w:val="Normal"/>
              <w:spacing w:before="40" w:after="40"/>
            </w:pPr>
            <w:r>
              <w:rPr>
                <w:sz w:val="18"/>
                <w:szCs w:val="18"/>
              </w:rPr>
              <w:t>~$2,000,000</w:t>
            </w:r>
          </w:p>
        </w:tc>
        <w:tc>
          <w:tcPr>
            <w:tcW w:w="700" w:type="dxa"/>
          </w:tcPr>
          <w:p>
            <w:pPr>
              <w:pStyle w:val="Normal"/>
              <w:spacing w:before="40" w:after="40"/>
            </w:pPr>
            <w:r>
              <w:rPr>
                <w:sz w:val="18"/>
                <w:szCs w:val="18"/>
              </w:rPr>
              <w:t>All</w:t>
            </w:r>
          </w:p>
        </w:tc>
        <w:tc>
          <w:tcPr>
            <w:tcW w:w="2360" w:type="dxa"/>
          </w:tcPr>
          <w:p>
            <w:pPr>
              <w:pStyle w:val="Normal"/>
              <w:spacing w:before="40" w:after="40"/>
            </w:pPr>
            <w:r>
              <w:rPr>
                <w:sz w:val="18"/>
                <w:szCs w:val="18"/>
              </w:rPr>
              <w:t>NSF ACCESS allocation rates; a Purdue match letter unlocks ~10%; partially nets the shared-compute direct line</w:t>
            </w:r>
          </w:p>
        </w:tc>
      </w:tr>
      <w:tr>
        <w:tc>
          <w:tcPr>
            <w:tcW w:w="2400" w:type="dxa"/>
          </w:tcPr>
          <w:p>
            <w:pPr>
              <w:pStyle w:val="Normal"/>
              <w:spacing w:before="40" w:after="40"/>
            </w:pPr>
            <w:r>
              <w:rPr>
                <w:sz w:val="18"/>
                <w:szCs w:val="18"/>
              </w:rPr>
              <w:t>Purdue wet-lab facilities (Tegtmeyer arm)</w:t>
            </w:r>
          </w:p>
        </w:tc>
        <w:tc>
          <w:tcPr>
            <w:tcW w:w="1500" w:type="dxa"/>
          </w:tcPr>
          <w:p>
            <w:pPr>
              <w:pStyle w:val="Normal"/>
              <w:spacing w:before="40" w:after="40"/>
            </w:pPr>
            <w:r>
              <w:rPr>
                <w:sz w:val="18"/>
                <w:szCs w:val="18"/>
              </w:rPr>
              <w:t>Purdue University</w:t>
            </w:r>
          </w:p>
        </w:tc>
        <w:tc>
          <w:tcPr>
            <w:tcW w:w="1400" w:type="dxa"/>
          </w:tcPr>
          <w:p>
            <w:pPr>
              <w:pStyle w:val="Normal"/>
              <w:spacing w:before="40" w:after="40"/>
            </w:pPr>
            <w:r>
              <w:rPr>
                <w:sz w:val="18"/>
                <w:szCs w:val="18"/>
              </w:rPr>
              <w:t>Facility credit</w:t>
            </w:r>
          </w:p>
        </w:tc>
        <w:tc>
          <w:tcPr>
            <w:tcW w:w="1000" w:type="dxa"/>
          </w:tcPr>
          <w:p>
            <w:pPr>
              <w:pStyle w:val="Normal"/>
              <w:spacing w:before="40" w:after="40"/>
            </w:pPr>
            <w:r>
              <w:rPr>
                <w:sz w:val="18"/>
                <w:szCs w:val="18"/>
              </w:rPr>
              <w:t>~$150,000</w:t>
            </w:r>
          </w:p>
        </w:tc>
        <w:tc>
          <w:tcPr>
            <w:tcW w:w="700" w:type="dxa"/>
          </w:tcPr>
          <w:p>
            <w:pPr>
              <w:pStyle w:val="Normal"/>
              <w:spacing w:before="40" w:after="40"/>
            </w:pPr>
            <w:r>
              <w:rPr>
                <w:sz w:val="18"/>
                <w:szCs w:val="18"/>
              </w:rPr>
              <w:t>All</w:t>
            </w:r>
          </w:p>
        </w:tc>
        <w:tc>
          <w:tcPr>
            <w:tcW w:w="2360" w:type="dxa"/>
          </w:tcPr>
          <w:p>
            <w:pPr>
              <w:pStyle w:val="Normal"/>
              <w:spacing w:before="40" w:after="40"/>
            </w:pPr>
            <w:r>
              <w:rPr>
                <w:sz w:val="18"/>
                <w:szCs w:val="18"/>
              </w:rPr>
              <w:t>Facility usage credit; covered by Purdue institutional cost-share</w:t>
            </w:r>
          </w:p>
        </w:tc>
      </w:tr>
      <w:tr>
        <w:tc>
          <w:tcPr>
            <w:tcW w:w="2400" w:type="dxa"/>
          </w:tcPr>
          <w:p>
            <w:pPr>
              <w:pStyle w:val="Normal"/>
              <w:spacing w:before="40" w:after="40"/>
            </w:pPr>
            <w:r>
              <w:rPr>
                <w:sz w:val="18"/>
                <w:szCs w:val="18"/>
              </w:rPr>
              <w:t>Cellanome instrument/run credits</w:t>
            </w:r>
          </w:p>
        </w:tc>
        <w:tc>
          <w:tcPr>
            <w:tcW w:w="1500" w:type="dxa"/>
          </w:tcPr>
          <w:p>
            <w:pPr>
              <w:pStyle w:val="Normal"/>
              <w:spacing w:before="40" w:after="40"/>
            </w:pPr>
            <w:r>
              <w:rPr>
                <w:sz w:val="18"/>
                <w:szCs w:val="18"/>
              </w:rPr>
              <w:t>Cellanome</w:t>
            </w:r>
          </w:p>
        </w:tc>
        <w:tc>
          <w:tcPr>
            <w:tcW w:w="1400" w:type="dxa"/>
          </w:tcPr>
          <w:p>
            <w:pPr>
              <w:pStyle w:val="Normal"/>
              <w:spacing w:before="40" w:after="40"/>
            </w:pPr>
            <w:r>
              <w:rPr>
                <w:sz w:val="18"/>
                <w:szCs w:val="18"/>
              </w:rPr>
              <w:t>Instrument/run credits</w:t>
            </w:r>
          </w:p>
        </w:tc>
        <w:tc>
          <w:tcPr>
            <w:tcW w:w="1000" w:type="dxa"/>
          </w:tcPr>
          <w:p>
            <w:pPr>
              <w:pStyle w:val="Normal"/>
              <w:spacing w:before="40" w:after="40"/>
            </w:pPr>
            <w:r>
              <w:rPr>
                <w:sz w:val="18"/>
                <w:szCs w:val="18"/>
              </w:rPr>
              <w:t>~$160,000</w:t>
            </w:r>
          </w:p>
        </w:tc>
        <w:tc>
          <w:tcPr>
            <w:tcW w:w="700" w:type="dxa"/>
          </w:tcPr>
          <w:p>
            <w:pPr>
              <w:pStyle w:val="Normal"/>
              <w:spacing w:before="40" w:after="40"/>
            </w:pPr>
            <w:r>
              <w:rPr>
                <w:sz w:val="18"/>
                <w:szCs w:val="18"/>
              </w:rPr>
              <w:t>All</w:t>
            </w:r>
          </w:p>
        </w:tc>
        <w:tc>
          <w:tcPr>
            <w:tcW w:w="2360" w:type="dxa"/>
          </w:tcPr>
          <w:p>
            <w:pPr>
              <w:pStyle w:val="Normal"/>
              <w:spacing w:before="40" w:after="40"/>
            </w:pPr>
            <w:r>
              <w:rPr>
                <w:sz w:val="18"/>
                <w:szCs w:val="18"/>
              </w:rPr>
              <w:t>Needs commitment letter; clear with Duane under NDA; keep separate from Cellanome sub so no fee stacks</w:t>
            </w:r>
          </w:p>
        </w:tc>
      </w:tr>
      <w:tr>
        <w:tc>
          <w:tcPr>
            <w:tcW w:w="2400" w:type="dxa"/>
          </w:tcPr>
          <w:p>
            <w:pPr>
              <w:pStyle w:val="Normal"/>
              <w:spacing w:before="40" w:after="40"/>
            </w:pPr>
            <w:r>
              <w:rPr>
                <w:b/>
                <w:sz w:val="18"/>
                <w:szCs w:val="18"/>
              </w:rPr>
              <w:t>Total in-kind</w:t>
            </w:r>
          </w:p>
        </w:tc>
        <w:tc>
          <w:tcPr>
            <w:tcW w:w="1500" w:type="dxa"/>
          </w:tcPr>
          <w:p>
            <w:pPr>
              <w:pStyle w:val="Normal"/>
              <w:spacing w:before="40" w:after="40"/>
            </w:pPr>
            <w:r>
              <w:rPr>
                <w:sz w:val="18"/>
                <w:szCs w:val="18"/>
              </w:rPr>
              <w:t/>
            </w:r>
          </w:p>
        </w:tc>
        <w:tc>
          <w:tcPr>
            <w:tcW w:w="1400" w:type="dxa"/>
          </w:tcPr>
          <w:p>
            <w:pPr>
              <w:pStyle w:val="Normal"/>
              <w:spacing w:before="40" w:after="40"/>
            </w:pPr>
            <w:r>
              <w:rPr>
                <w:sz w:val="18"/>
                <w:szCs w:val="18"/>
              </w:rPr>
              <w:t/>
            </w:r>
          </w:p>
        </w:tc>
        <w:tc>
          <w:tcPr>
            <w:tcW w:w="1000" w:type="dxa"/>
          </w:tcPr>
          <w:p>
            <w:pPr>
              <w:pStyle w:val="Normal"/>
              <w:spacing w:before="40" w:after="40"/>
            </w:pPr>
            <w:r>
              <w:rPr>
                <w:sz w:val="18"/>
                <w:szCs w:val="18"/>
              </w:rPr>
              <w:t>~$2,310,000</w:t>
            </w:r>
          </w:p>
        </w:tc>
        <w:tc>
          <w:tcPr>
            <w:tcW w:w="700" w:type="dxa"/>
          </w:tcPr>
          <w:p>
            <w:pPr>
              <w:pStyle w:val="Normal"/>
              <w:spacing w:before="40" w:after="40"/>
            </w:pPr>
            <w:r>
              <w:rPr>
                <w:sz w:val="18"/>
                <w:szCs w:val="18"/>
              </w:rPr>
              <w:t/>
            </w:r>
          </w:p>
        </w:tc>
        <w:tc>
          <w:tcPr>
            <w:tcW w:w="2360" w:type="dxa"/>
          </w:tcPr>
          <w:p>
            <w:pPr>
              <w:pStyle w:val="Normal"/>
              <w:spacing w:before="40" w:after="40"/>
            </w:pPr>
            <w:r>
              <w:rPr>
                <w:sz w:val="18"/>
                <w:szCs w:val="18"/>
              </w:rPr>
              <w:t/>
            </w:r>
          </w:p>
        </w:tc>
      </w:tr>
    </w:tbl>
    <w:p>
      <w:pPr>
        <w:pStyle w:val="Normal"/>
        <w:spacing w:before="0" w:after="120"/>
      </w:pPr>
      <w:r>
        <w:t>Do NOT count: Anne's non-dedicated effort or Cytognosis background IP as in-kind share (ARPA-H Program Officers rate these as contestable).</w:t>
      </w:r>
    </w:p>
    <w:p>
      <w:pPr>
        <w:pStyle w:val="Normal"/>
        <w:spacing w:before="0" w:after="120"/>
      </w:pPr>
      <w:r>
        <w:rPr>
          <w:b/>
        </w:rPr>
        <w:t>Government / Performer split:</w:t>
      </w:r>
    </w:p>
    <w:p>
      <w:pPr>
        <w:pStyle w:val="Normal"/>
        <w:spacing w:before="0" w:after="120"/>
      </w:pPr>
      <w:r>
        <w:t>Government share (ARPA-H request): ~$42,900,000 (~94.9%)</w:t>
      </w:r>
    </w:p>
    <w:p>
      <w:pPr>
        <w:pStyle w:val="Normal"/>
        <w:spacing w:before="0" w:after="120"/>
      </w:pPr>
      <w:r>
        <w:t>Performer in-kind share: ~$2,300,000 (~5.1%)</w:t>
      </w:r>
    </w:p>
    <w:p>
      <w:pPr>
        <w:pStyle w:val="Normal"/>
        <w:spacing w:before="0" w:after="120"/>
      </w:pPr>
      <w:r>
        <w:rPr>
          <w:b/>
        </w:rPr>
        <w:t>Total project value: ~$45,200,000 (100%)</w:t>
      </w:r>
    </w:p>
    <w:p>
      <w:pPr>
        <w:pStyle w:val="Normal"/>
        <w:spacing w:before="0" w:after="120"/>
      </w:pPr>
      <w:r>
        <w:rPr>
          <w:i/>
        </w:rPr>
        <w:t>All in-kind contributions will be documented with letters of commitment or data-access agreements from contributing partners, attached as Appendix C.5 at submission.</w:t>
      </w:r>
    </w:p>
    <w:p>
      <w:pPr>
        <w:pStyle w:val="Normal"/>
      </w:pPr>
    </w:p>
    <w:p>
      <w:pPr>
        <w:pStyle w:val="Heading1"/>
      </w:pPr>
      <w:r>
        <w:t>Indirect / F&amp;A / Overhead</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1800"/>
        <w:gridCol w:w="1000"/>
        <w:gridCol w:w="1800"/>
        <w:gridCol w:w="1800"/>
        <w:gridCol w:w="2960"/>
      </w:tblGrid>
      <w:tr>
        <w:trPr>
          <w:tblHeader/>
        </w:trPr>
        <w:tc>
          <w:tcPr>
            <w:tcW w:w="1800" w:type="dxa"/>
            <w:shd w:val="clear" w:color="auto" w:fill="D6E4F0"/>
          </w:tcPr>
          <w:p>
            <w:pPr>
              <w:pStyle w:val="Normal"/>
              <w:spacing w:before="40" w:after="40"/>
            </w:pPr>
            <w:r>
              <w:rPr>
                <w:b/>
                <w:sz w:val="18"/>
                <w:szCs w:val="18"/>
              </w:rPr>
              <w:t>Organization</w:t>
            </w:r>
          </w:p>
        </w:tc>
        <w:tc>
          <w:tcPr>
            <w:tcW w:w="1000" w:type="dxa"/>
            <w:shd w:val="clear" w:color="auto" w:fill="D6E4F0"/>
          </w:tcPr>
          <w:p>
            <w:pPr>
              <w:pStyle w:val="Normal"/>
              <w:spacing w:before="40" w:after="40"/>
            </w:pPr>
            <w:r>
              <w:rPr>
                <w:b/>
                <w:sz w:val="18"/>
                <w:szCs w:val="18"/>
              </w:rPr>
              <w:t>Rate</w:t>
            </w:r>
          </w:p>
        </w:tc>
        <w:tc>
          <w:tcPr>
            <w:tcW w:w="1800" w:type="dxa"/>
            <w:shd w:val="clear" w:color="auto" w:fill="D6E4F0"/>
          </w:tcPr>
          <w:p>
            <w:pPr>
              <w:pStyle w:val="Normal"/>
              <w:spacing w:before="40" w:after="40"/>
            </w:pPr>
            <w:r>
              <w:rPr>
                <w:b/>
                <w:sz w:val="18"/>
                <w:szCs w:val="18"/>
              </w:rPr>
              <w:t>Base</w:t>
            </w:r>
          </w:p>
        </w:tc>
        <w:tc>
          <w:tcPr>
            <w:tcW w:w="1800" w:type="dxa"/>
            <w:shd w:val="clear" w:color="auto" w:fill="D6E4F0"/>
          </w:tcPr>
          <w:p>
            <w:pPr>
              <w:pStyle w:val="Normal"/>
              <w:spacing w:before="40" w:after="40"/>
            </w:pPr>
            <w:r>
              <w:rPr>
                <w:b/>
                <w:sz w:val="18"/>
                <w:szCs w:val="18"/>
              </w:rPr>
              <w:t>Regulatory basis</w:t>
            </w:r>
          </w:p>
        </w:tc>
        <w:tc>
          <w:tcPr>
            <w:tcW w:w="2960" w:type="dxa"/>
            <w:shd w:val="clear" w:color="auto" w:fill="D6E4F0"/>
          </w:tcPr>
          <w:p>
            <w:pPr>
              <w:pStyle w:val="Normal"/>
              <w:spacing w:before="40" w:after="40"/>
            </w:pPr>
            <w:r>
              <w:rPr>
                <w:b/>
                <w:sz w:val="18"/>
                <w:szCs w:val="18"/>
              </w:rPr>
              <w:t>Notes</w:t>
            </w:r>
          </w:p>
        </w:tc>
      </w:tr>
      <w:tr>
        <w:tc>
          <w:tcPr>
            <w:tcW w:w="1800" w:type="dxa"/>
          </w:tcPr>
          <w:p>
            <w:pPr>
              <w:pStyle w:val="Normal"/>
              <w:spacing w:before="40" w:after="40"/>
            </w:pPr>
            <w:r>
              <w:rPr>
                <w:sz w:val="18"/>
                <w:szCs w:val="18"/>
              </w:rPr>
              <w:t>Cytognosis Foundation</w:t>
            </w:r>
          </w:p>
        </w:tc>
        <w:tc>
          <w:tcPr>
            <w:tcW w:w="1000" w:type="dxa"/>
          </w:tcPr>
          <w:p>
            <w:pPr>
              <w:pStyle w:val="Normal"/>
              <w:spacing w:before="40" w:after="40"/>
            </w:pPr>
            <w:r>
              <w:rPr>
                <w:sz w:val="18"/>
                <w:szCs w:val="18"/>
              </w:rPr>
              <w:t>15% de minimis MTDC</w:t>
            </w:r>
          </w:p>
        </w:tc>
        <w:tc>
          <w:tcPr>
            <w:tcW w:w="1800" w:type="dxa"/>
          </w:tcPr>
          <w:p>
            <w:pPr>
              <w:pStyle w:val="Normal"/>
              <w:spacing w:before="40" w:after="40"/>
            </w:pPr>
            <w:r>
              <w:rPr>
                <w:sz w:val="18"/>
                <w:szCs w:val="18"/>
              </w:rPr>
              <w:t>All direct costs except equipment, graduate tuition, and subaward amounts above the first $50,000 per sub</w:t>
            </w:r>
          </w:p>
        </w:tc>
        <w:tc>
          <w:tcPr>
            <w:tcW w:w="1800" w:type="dxa"/>
          </w:tcPr>
          <w:p>
            <w:pPr>
              <w:pStyle w:val="Normal"/>
              <w:spacing w:before="40" w:after="40"/>
            </w:pPr>
            <w:r>
              <w:rPr>
                <w:sz w:val="18"/>
                <w:szCs w:val="18"/>
              </w:rPr>
              <w:t>2 CFR 200.414(f)</w:t>
            </w:r>
          </w:p>
        </w:tc>
        <w:tc>
          <w:tcPr>
            <w:tcW w:w="2960" w:type="dxa"/>
          </w:tcPr>
          <w:p>
            <w:pPr>
              <w:pStyle w:val="Normal"/>
              <w:spacing w:before="40" w:after="40"/>
            </w:pPr>
            <w:r>
              <w:rPr>
                <w:sz w:val="18"/>
                <w:szCs w:val="18"/>
              </w:rPr>
              <w:t>OT: ARPA-H negotiates actual rates; 15% de minimis is the defensible floor. A NICRA application will be submitted to DHHS within 18-24 months of award start.</w:t>
            </w:r>
          </w:p>
        </w:tc>
      </w:tr>
      <w:tr>
        <w:tc>
          <w:tcPr>
            <w:tcW w:w="1800" w:type="dxa"/>
          </w:tcPr>
          <w:p>
            <w:pPr>
              <w:pStyle w:val="Normal"/>
              <w:spacing w:before="40" w:after="40"/>
            </w:pPr>
            <w:r>
              <w:rPr>
                <w:sz w:val="18"/>
                <w:szCs w:val="18"/>
              </w:rPr>
              <w:t>Purdue / IPAI</w:t>
            </w:r>
          </w:p>
        </w:tc>
        <w:tc>
          <w:tcPr>
            <w:tcW w:w="1000" w:type="dxa"/>
          </w:tcPr>
          <w:p>
            <w:pPr>
              <w:pStyle w:val="Normal"/>
              <w:spacing w:before="40" w:after="40"/>
            </w:pPr>
            <w:r>
              <w:rPr>
                <w:sz w:val="18"/>
                <w:szCs w:val="18"/>
              </w:rPr>
              <w:t>~57% on-campus MTDC</w:t>
            </w:r>
          </w:p>
        </w:tc>
        <w:tc>
          <w:tcPr>
            <w:tcW w:w="1800" w:type="dxa"/>
          </w:tcPr>
          <w:p>
            <w:pPr>
              <w:pStyle w:val="Normal"/>
              <w:spacing w:before="40" w:after="40"/>
            </w:pPr>
            <w:r>
              <w:rPr>
                <w:sz w:val="18"/>
                <w:szCs w:val="18"/>
              </w:rPr>
              <w:t>Purdue-direct salaries and ODC; excludes Purdue-issued subaward amounts above first $50,000 per 2 CFR 200.331</w:t>
            </w:r>
          </w:p>
        </w:tc>
        <w:tc>
          <w:tcPr>
            <w:tcW w:w="1800" w:type="dxa"/>
          </w:tcPr>
          <w:p>
            <w:pPr>
              <w:pStyle w:val="Normal"/>
              <w:spacing w:before="40" w:after="40"/>
            </w:pPr>
            <w:r>
              <w:rPr>
                <w:sz w:val="18"/>
                <w:szCs w:val="18"/>
              </w:rPr>
              <w:t>Purdue negotiated F&amp;A rate (NICRA)</w:t>
            </w:r>
          </w:p>
        </w:tc>
        <w:tc>
          <w:tcPr>
            <w:tcW w:w="2960" w:type="dxa"/>
          </w:tcPr>
          <w:p>
            <w:pPr>
              <w:pStyle w:val="Normal"/>
              <w:spacing w:before="40" w:after="40"/>
            </w:pPr>
            <w:r>
              <w:rPr>
                <w:sz w:val="18"/>
                <w:szCs w:val="18"/>
              </w:rPr>
              <w:t>Standard Big-10 research university rate; confirmed in range 55-60%.</w:t>
            </w:r>
          </w:p>
        </w:tc>
      </w:tr>
      <w:tr>
        <w:tc>
          <w:tcPr>
            <w:tcW w:w="1800" w:type="dxa"/>
          </w:tcPr>
          <w:p>
            <w:pPr>
              <w:pStyle w:val="Normal"/>
              <w:spacing w:before="40" w:after="40"/>
            </w:pPr>
            <w:r>
              <w:rPr>
                <w:sz w:val="18"/>
                <w:szCs w:val="18"/>
              </w:rPr>
              <w:t>McLean / HMS</w:t>
            </w:r>
          </w:p>
        </w:tc>
        <w:tc>
          <w:tcPr>
            <w:tcW w:w="1000" w:type="dxa"/>
          </w:tcPr>
          <w:p>
            <w:pPr>
              <w:pStyle w:val="Normal"/>
              <w:spacing w:before="40" w:after="40"/>
            </w:pPr>
            <w:r>
              <w:rPr>
                <w:sz w:val="18"/>
                <w:szCs w:val="18"/>
              </w:rPr>
              <w:t>~50% on-campus MTDC</w:t>
            </w:r>
          </w:p>
        </w:tc>
        <w:tc>
          <w:tcPr>
            <w:tcW w:w="1800" w:type="dxa"/>
          </w:tcPr>
          <w:p>
            <w:pPr>
              <w:pStyle w:val="Normal"/>
              <w:spacing w:before="40" w:after="40"/>
            </w:pPr>
            <w:r>
              <w:rPr>
                <w:sz w:val="18"/>
                <w:szCs w:val="18"/>
              </w:rPr>
              <w:t>McLean/HMS sub-award direct costs</w:t>
            </w:r>
          </w:p>
        </w:tc>
        <w:tc>
          <w:tcPr>
            <w:tcW w:w="1800" w:type="dxa"/>
          </w:tcPr>
          <w:p>
            <w:pPr>
              <w:pStyle w:val="Normal"/>
              <w:spacing w:before="40" w:after="40"/>
            </w:pPr>
            <w:r>
              <w:rPr>
                <w:sz w:val="18"/>
                <w:szCs w:val="18"/>
              </w:rPr>
              <w:t>HMS negotiated rate</w:t>
            </w:r>
          </w:p>
        </w:tc>
        <w:tc>
          <w:tcPr>
            <w:tcW w:w="2960" w:type="dxa"/>
          </w:tcPr>
          <w:p>
            <w:pPr>
              <w:pStyle w:val="Normal"/>
              <w:spacing w:before="40" w:after="40"/>
            </w:pPr>
            <w:r>
              <w:rPr>
                <w:sz w:val="18"/>
                <w:szCs w:val="18"/>
              </w:rPr>
              <w:t>Applies to Ruzicka (McLean) sub only; no Broad Institute sub-award.</w:t>
            </w:r>
          </w:p>
        </w:tc>
      </w:tr>
      <w:tr>
        <w:tc>
          <w:tcPr>
            <w:tcW w:w="1800" w:type="dxa"/>
          </w:tcPr>
          <w:p>
            <w:pPr>
              <w:pStyle w:val="Normal"/>
              <w:spacing w:before="40" w:after="40"/>
            </w:pPr>
            <w:r>
              <w:rPr>
                <w:sz w:val="18"/>
                <w:szCs w:val="18"/>
              </w:rPr>
              <w:t>SIFT, Cellanome</w:t>
            </w:r>
          </w:p>
        </w:tc>
        <w:tc>
          <w:tcPr>
            <w:tcW w:w="1000" w:type="dxa"/>
          </w:tcPr>
          <w:p>
            <w:pPr>
              <w:pStyle w:val="Normal"/>
              <w:spacing w:before="40" w:after="40"/>
            </w:pPr>
            <w:r>
              <w:rPr>
                <w:sz w:val="18"/>
                <w:szCs w:val="18"/>
              </w:rPr>
              <w:t>Overhead embedded in fully-loaded commercial rate; F&amp;A per Dan's breakdown (SIFT indirect = $2,199,941)</w:t>
            </w:r>
          </w:p>
        </w:tc>
        <w:tc>
          <w:tcPr>
            <w:tcW w:w="1800" w:type="dxa"/>
          </w:tcPr>
          <w:p>
            <w:pPr>
              <w:pStyle w:val="Normal"/>
              <w:spacing w:before="40" w:after="40"/>
            </w:pPr>
            <w:r>
              <w:rPr>
                <w:sz w:val="18"/>
                <w:szCs w:val="18"/>
              </w:rPr>
              <w:t>N/A (commercial; G&amp;A in rate)</w:t>
            </w:r>
          </w:p>
        </w:tc>
        <w:tc>
          <w:tcPr>
            <w:tcW w:w="1800" w:type="dxa"/>
          </w:tcPr>
          <w:p>
            <w:pPr>
              <w:pStyle w:val="Normal"/>
              <w:spacing w:before="40" w:after="40"/>
            </w:pPr>
            <w:r>
              <w:rPr>
                <w:sz w:val="18"/>
                <w:szCs w:val="18"/>
              </w:rPr>
              <w:t>Commercial standard</w:t>
            </w:r>
          </w:p>
        </w:tc>
        <w:tc>
          <w:tcPr>
            <w:tcW w:w="2960" w:type="dxa"/>
          </w:tcPr>
          <w:p>
            <w:pPr>
              <w:pStyle w:val="Normal"/>
              <w:spacing w:before="40" w:after="40"/>
            </w:pPr>
            <w:r>
              <w:rPr>
                <w:sz w:val="18"/>
                <w:szCs w:val="18"/>
              </w:rPr>
              <w:t>No separate F&amp;A line for SIFT/Cellanome. Fee/profit: SIFT $636,412; Cellanome ~$600K.</w:t>
            </w:r>
          </w:p>
        </w:tc>
      </w:tr>
    </w:tbl>
    <w:p>
      <w:pPr>
        <w:pStyle w:val="Normal"/>
      </w:pPr>
    </w:p>
    <w:p>
      <w:pPr>
        <w:pStyle w:val="Normal"/>
        <w:spacing w:before="60" w:after="60"/>
      </w:pPr>
      <w:commentRangeStart w:id="1"/>
      <w:r>
        <w:rPr>
          <w:i/>
        </w:rPr>
        <w:t>[FLAG Duane Valz + Purdue SPS: confirm commercial-sub salary-cap treatment for SIFT/Cellanome before OT negotiation.]</w:t>
      </w:r>
      <w:commentRangeEnd w:id="1"/>
      <w:r>
        <w:rPr>
          <w:rStyle w:val="CommentReference"/>
        </w:rPr>
        <w:commentReference w:id="1"/>
      </w:r>
    </w:p>
    <w:p>
      <w:pPr>
        <w:pStyle w:val="Normal"/>
      </w:pPr>
    </w:p>
    <w:p>
      <w:pPr>
        <w:pStyle w:val="Normal"/>
        <w:spacing w:before="0" w:after="120"/>
      </w:pPr>
      <w:r>
        <w:rPr>
          <w:b/>
        </w:rPr>
        <w:t>5-year indirect totals (planning estimate):</w:t>
      </w:r>
    </w:p>
    <w:p>
      <w:pPr>
        <w:pStyle w:val="Normal"/>
        <w:spacing w:before="0" w:after="120"/>
      </w:pPr>
      <w:r>
        <w:t>Purdue/IPAI ~57% on-campus: ~$2.36M (computational) + ~$1.3M (Tegtmeyer lab) = ~$3.7M</w:t>
      </w:r>
    </w:p>
    <w:p>
      <w:pPr>
        <w:pStyle w:val="Normal"/>
        <w:spacing w:before="0" w:after="120"/>
      </w:pPr>
      <w:r>
        <w:t>Cytognosis 15% de minimis on ~$8.3M MTDC base: ~$1.24M</w:t>
      </w:r>
    </w:p>
    <w:p>
      <w:pPr>
        <w:pStyle w:val="Normal"/>
        <w:spacing w:before="0" w:after="120"/>
      </w:pPr>
      <w:r>
        <w:t>SIFT indirect (per Dan's breakdown): $2,199,941</w:t>
      </w:r>
    </w:p>
    <w:p>
      <w:pPr>
        <w:pStyle w:val="Normal"/>
        <w:spacing w:before="0" w:after="120"/>
      </w:pPr>
      <w:r>
        <w:t>McLean/HMS ~50%: ~$0.25M</w:t>
      </w:r>
    </w:p>
    <w:p>
      <w:pPr>
        <w:pStyle w:val="Normal"/>
        <w:spacing w:before="0" w:after="120"/>
      </w:pPr>
      <w:r>
        <w:rPr>
          <w:b/>
        </w:rPr>
        <w:t>Total indirect: ~$7.4M (planning)</w:t>
      </w:r>
    </w:p>
    <w:p>
      <w:pPr>
        <w:pStyle w:val="Normal"/>
      </w:pPr>
    </w:p>
    <w:p>
      <w:pPr>
        <w:pStyle w:val="Heading1"/>
      </w:pPr>
      <w:r>
        <w:t>Note on Appendix C.4 Workbook</w:t>
      </w:r>
    </w:p>
    <w:p>
      <w:pPr>
        <w:pStyle w:val="Normal"/>
        <w:spacing w:before="0" w:after="120"/>
      </w:pPr>
      <w:r>
        <w:t>The Appendix C.4 Price Proposal Workbook (Excel format) is the structured companion to this narrative. It contains: Summary, By Performer x Phase, Labor, Equipment, Travel, ODC, Materials, Indirect and Fee, and Resource Sharing sheets. The workbook reflects the allocations and BOE figures in this document. Any arithmetic discrepancy between this narrative and the C.4 workbook is resolved in favor of the C.4 workbook. Workbook updated 2026-06-21 to the locked ~$43M model.</w:t>
      </w:r>
    </w:p>
    <w:p>
      <w:pPr>
        <w:pStyle w:val="Normal"/>
      </w:pPr>
    </w:p>
    <w:p>
      <w:pPr>
        <w:pStyle w:val="Normal"/>
        <w:spacing w:before="0" w:after="120"/>
      </w:pPr>
      <w:r>
        <w:t>Program Manager: Patricia Purcell (Cytognosis hire), not Paul E. Sheehan, Ph.D. (ARPA-H PM). Paul E. Sheehan, Ph.D. is the ARPA-H Program Manager; Patricia Purcell is the PsychIGoR Program Manager / Delivery Lead.</w:t>
      </w:r>
    </w:p>
    <w:p>
      <w:pPr>
        <w:pStyle w:val="Normal"/>
      </w:pPr>
    </w:p>
    <w:p>
      <w:pPr>
        <w:pStyle w:val="Normal"/>
        <w:spacing w:before="0" w:after="120"/>
      </w:pPr>
      <w:r>
        <w:rPr>
          <w:i/>
        </w:rPr>
        <w:t>[FLAG: C4 Labor/Travel tabs still need per-person re-derivation by Shahin + Ananth before submission.]</w:t>
      </w:r>
    </w:p>
    <w:sectPr w:rsidR="00FF05E0" w:rsidSect="00244805">
      <w:headerReference w:type="default" r:id="rId11"/>
      <w:footerReference w:type="default" r:id="rId12"/>
      <w:pgSz w:w="12240" w:h="15840" w:orient="portrait"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in Mohammadi" w:date="2026-06-22T05:32:23Z" w:initials="PI">
    <w:p w14:paraId="7A9A0DBF" w14:textId="77777777">
      <w:r>
        <w:rPr>
          <w:rStyle w:val="CommentReference"/>
        </w:rPr>
        <w:annotationRef/>
      </w:r>
      <w:r>
        <w:rPr>
          <w:color w:val="000000"/>
          <w:sz w:val="20"/>
          <w:szCs w:val="20"/>
        </w:rPr>
        <w:t>Ananth: verify all price figures tie three ways (~$42.9M).</w:t>
      </w:r>
    </w:p>
  </w:comment>
  <w:comment w:id="1" w:author="Shahin Mohammadi" w:date="2026-06-22T05:32:23Z" w:initials="PI">
    <w:p w14:paraId="19BE3603" w14:textId="77777777">
      <w:r>
        <w:rPr>
          <w:rStyle w:val="CommentReference"/>
        </w:rPr>
        <w:annotationRef/>
      </w:r>
      <w:r>
        <w:rPr>
          <w:color w:val="000000"/>
          <w:sz w:val="20"/>
          <w:szCs w:val="20"/>
        </w:rPr>
        <w:t>Duane: review OT terms, commercial-sub fee and salary-cap treatment. NOTE: C4 Labor/Travel tabs still need per-person re-derivation.</w:t>
      </w:r>
    </w:p>
  </w:comment>
</w:comments>
</file>

<file path=word/commentsExtended.xml><?xml version="1.0" encoding="utf-8"?>
<w15:commentsEx xmlns:mc="http://schemas.openxmlformats.org/markup-compatibility/2006" xmlns:w15="http://schemas.microsoft.com/office/word/2012/wordml" mc:Ignorable="w15">
  <w15:commentEx w15:paraId="7A9A0DBF" w15:done="0"/>
  <w15:commentEx w15:paraId="19BE36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A7CA9CF" w16cex:dateUtc="2026-06-22T05:32:23Z"/>
  <w16cex:commentExtensible w16cex:durableId="5C7C2BC9" w16cex:dateUtc="2026-06-22T05:32:23Z"/>
</w16cex:commentsExtensible>
</file>

<file path=word/commentsIds.xml><?xml version="1.0" encoding="utf-8"?>
<w16cid:commentsIds xmlns:mc="http://schemas.openxmlformats.org/markup-compatibility/2006" xmlns:w16cid="http://schemas.microsoft.com/office/word/2016/wordml/cid" mc:Ignorable="w16cid">
  <w16cid:commentId w16cid:paraId="7A9A0DBF" w16cid:durableId="6A7CA9CF"/>
  <w16cid:commentId w16cid:paraId="19BE3603" w16cid:durableId="5C7C2B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3C96" w:rsidP="00F96729" w:rsidRDefault="006C3C96" w14:paraId="0BF41486" w14:textId="77777777">
      <w:pPr>
        <w:spacing w:after="0" w:line="240" w:lineRule="auto"/>
      </w:pPr>
      <w:r>
        <w:separator/>
      </w:r>
    </w:p>
  </w:endnote>
  <w:endnote w:type="continuationSeparator" w:id="0">
    <w:p w:rsidR="006C3C96" w:rsidP="00F96729" w:rsidRDefault="006C3C96" w14:paraId="57383380" w14:textId="77777777">
      <w:pPr>
        <w:spacing w:after="0" w:line="240" w:lineRule="auto"/>
      </w:pPr>
      <w:r>
        <w:continuationSeparator/>
      </w:r>
    </w:p>
  </w:endnote>
  <w:endnote w:type="continuationNotice" w:id="1">
    <w:p w:rsidR="006C3C96" w:rsidRDefault="006C3C96" w14:paraId="3F688F1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Calibri"/>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venir Next LT Pro">
    <w:charset w:val="00"/>
    <w:family w:val="swiss"/>
    <w:pitch w:val="variable"/>
    <w:sig w:usb0="800000EF" w:usb1="5000204A"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7655" w:rsidR="00D47655" w:rsidRDefault="00D47655" w14:paraId="037604D2" w14:textId="77777777">
    <w:pPr>
      <w:pStyle w:val="Footer"/>
      <w:jc w:val="right"/>
      <w:rPr>
        <w:rFonts w:ascii="Avenir Next LT Pro" w:hAnsi="Avenir Next LT Pro"/>
      </w:rPr>
    </w:pPr>
  </w:p>
  <w:p w:rsidR="00D47655" w:rsidRDefault="00D47655" w14:paraId="7DB658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472077"/>
      <w:docPartObj>
        <w:docPartGallery w:val="Page Numbers (Bottom of Page)"/>
        <w:docPartUnique/>
      </w:docPartObj>
    </w:sdtPr>
    <w:sdtEndPr>
      <w:rPr>
        <w:rFonts w:ascii="Avenir Next LT Pro" w:hAnsi="Avenir Next LT Pro"/>
        <w:noProof/>
      </w:rPr>
    </w:sdtEndPr>
    <w:sdtContent>
      <w:p w:rsidRPr="00D47655" w:rsidR="00D47655" w:rsidRDefault="00D47655" w14:paraId="69FC7267" w14:textId="12A75607">
        <w:pPr>
          <w:pStyle w:val="Footer"/>
          <w:jc w:val="right"/>
          <w:rPr>
            <w:rFonts w:ascii="Avenir Next LT Pro" w:hAnsi="Avenir Next LT Pro"/>
          </w:rPr>
        </w:pPr>
        <w:r w:rsidRPr="00D47655">
          <w:rPr>
            <w:rFonts w:ascii="Avenir Next LT Pro" w:hAnsi="Avenir Next LT Pro"/>
          </w:rPr>
          <w:fldChar w:fldCharType="begin"/>
        </w:r>
        <w:r w:rsidRPr="00D47655">
          <w:rPr>
            <w:rFonts w:ascii="Avenir Next LT Pro" w:hAnsi="Avenir Next LT Pro"/>
          </w:rPr>
          <w:instrText xml:space="preserve"> PAGE   \* MERGEFORMAT </w:instrText>
        </w:r>
        <w:r w:rsidRPr="00D47655">
          <w:rPr>
            <w:rFonts w:ascii="Avenir Next LT Pro" w:hAnsi="Avenir Next LT Pro"/>
          </w:rPr>
          <w:fldChar w:fldCharType="separate"/>
        </w:r>
        <w:r w:rsidRPr="00D47655">
          <w:rPr>
            <w:rFonts w:ascii="Avenir Next LT Pro" w:hAnsi="Avenir Next LT Pro"/>
            <w:noProof/>
          </w:rPr>
          <w:t>2</w:t>
        </w:r>
        <w:r w:rsidRPr="00D47655">
          <w:rPr>
            <w:rFonts w:ascii="Avenir Next LT Pro" w:hAnsi="Avenir Next LT Pro"/>
            <w:noProof/>
          </w:rPr>
          <w:fldChar w:fldCharType="end"/>
        </w:r>
      </w:p>
    </w:sdtContent>
  </w:sdt>
  <w:p w:rsidR="00E01B55" w:rsidRDefault="00E01B55" w14:paraId="52C156B2" w14:textId="576A9FBE">
    <w:pPr>
      <w:pStyle w:val="Footer"/>
    </w:pPr>
  </w:p>
  <w:p w:rsidRPr="00D47655" w:rsidR="00FF05E0" w:rsidRDefault="00FF05E0" w14:paraId="485891CC" w14:textId="04B61CCE">
    <w:pPr>
      <w:pStyle w:val="Footer"/>
      <w:jc w:val="right"/>
      <w:rPr>
        <w:rFonts w:ascii="Avenir Next LT Pro" w:hAnsi="Avenir Next LT Pro"/>
      </w:rPr>
    </w:pPr>
  </w:p>
  <w:p w:rsidR="00D47655" w:rsidRDefault="00D47655" w14:paraId="08DE2D8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7655" w:rsidR="00FF05E0" w:rsidRDefault="00FF05E0" w14:paraId="4F2A5641" w14:textId="6820849D">
    <w:pPr>
      <w:pStyle w:val="Footer"/>
      <w:jc w:val="right"/>
      <w:rPr>
        <w:rFonts w:ascii="Avenir Next LT Pro" w:hAnsi="Avenir Next LT Pro"/>
      </w:rPr>
    </w:pPr>
    <w:r w:rsidRPr="00FF05E0">
      <w:rPr>
        <w:rFonts w:ascii="Avenir Next LT Pro" w:hAnsi="Avenir Next LT Pro"/>
      </w:rPr>
      <w:fldChar w:fldCharType="begin"/>
    </w:r>
    <w:r w:rsidRPr="00FF05E0">
      <w:rPr>
        <w:rFonts w:ascii="Avenir Next LT Pro" w:hAnsi="Avenir Next LT Pro"/>
      </w:rPr>
      <w:instrText xml:space="preserve"> PAGE   \* MERGEFORMAT </w:instrText>
    </w:r>
    <w:r w:rsidRPr="00FF05E0">
      <w:rPr>
        <w:rFonts w:ascii="Avenir Next LT Pro" w:hAnsi="Avenir Next LT Pro"/>
      </w:rPr>
      <w:fldChar w:fldCharType="separate"/>
    </w:r>
    <w:r w:rsidRPr="00FF05E0">
      <w:rPr>
        <w:rFonts w:ascii="Avenir Next LT Pro" w:hAnsi="Avenir Next LT Pro"/>
        <w:noProof/>
      </w:rPr>
      <w:t>1</w:t>
    </w:r>
    <w:r w:rsidRPr="00FF05E0">
      <w:rPr>
        <w:rFonts w:ascii="Avenir Next LT Pro" w:hAnsi="Avenir Next LT Pro"/>
        <w:noProof/>
      </w:rPr>
      <w:fldChar w:fldCharType="end"/>
    </w:r>
  </w:p>
  <w:p w:rsidR="00C00B4B" w:rsidRDefault="00C00B4B" w14:paraId="263BDB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3C96" w:rsidP="00F96729" w:rsidRDefault="006C3C96" w14:paraId="757FC1FF" w14:textId="77777777">
      <w:pPr>
        <w:spacing w:after="0" w:line="240" w:lineRule="auto"/>
      </w:pPr>
      <w:r>
        <w:separator/>
      </w:r>
    </w:p>
  </w:footnote>
  <w:footnote w:type="continuationSeparator" w:id="0">
    <w:p w:rsidR="006C3C96" w:rsidP="00F96729" w:rsidRDefault="006C3C96" w14:paraId="2760BED2" w14:textId="77777777">
      <w:pPr>
        <w:spacing w:after="0" w:line="240" w:lineRule="auto"/>
      </w:pPr>
      <w:r>
        <w:continuationSeparator/>
      </w:r>
    </w:p>
  </w:footnote>
  <w:footnote w:type="continuationNotice" w:id="1">
    <w:p w:rsidR="006C3C96" w:rsidRDefault="006C3C96" w14:paraId="26426AC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44805" w:rsidR="00630019" w:rsidP="00244805" w:rsidRDefault="17C40C5A" w14:paraId="1F27C770" w14:textId="1750C517">
    <w:pPr>
      <w:jc w:val="right"/>
    </w:pPr>
    <w:r w:rsidRPr="17C40C5A">
      <w:rPr>
        <w:rStyle w:val="IntenseReference"/>
        <w:rFonts w:ascii="Avenir Next LT Pro" w:hAnsi="Avenir Next LT Pro" w:eastAsia="Times New Roman"/>
        <w:b w:val="0"/>
        <w:bCs w:val="0"/>
        <w:color w:val="auto"/>
        <w:sz w:val="20"/>
        <w:szCs w:val="20"/>
      </w:rPr>
      <w:t xml:space="preserve">APPENDIX C.3: </w:t>
    </w:r>
    <w:r w:rsidR="00C446DD">
      <w:rPr>
        <w:rStyle w:val="IntenseReference"/>
        <w:rFonts w:ascii="Avenir Next LT Pro" w:hAnsi="Avenir Next LT Pro" w:eastAsia="Times New Roman"/>
        <w:b w:val="0"/>
        <w:bCs w:val="0"/>
        <w:color w:val="auto"/>
        <w:sz w:val="20"/>
        <w:szCs w:val="20"/>
      </w:rPr>
      <w:t>PRICE</w:t>
    </w:r>
    <w:r w:rsidRPr="17C40C5A" w:rsidR="00C446DD">
      <w:rPr>
        <w:rStyle w:val="IntenseReference"/>
        <w:rFonts w:ascii="Avenir Next LT Pro" w:hAnsi="Avenir Next LT Pro" w:eastAsia="Times New Roman"/>
        <w:b w:val="0"/>
        <w:bCs w:val="0"/>
        <w:color w:val="auto"/>
        <w:sz w:val="20"/>
        <w:szCs w:val="20"/>
      </w:rPr>
      <w:t xml:space="preserve"> </w:t>
    </w:r>
    <w:r w:rsidRPr="17C40C5A">
      <w:rPr>
        <w:rStyle w:val="IntenseReference"/>
        <w:rFonts w:ascii="Avenir Next LT Pro" w:hAnsi="Avenir Next LT Pro" w:eastAsia="Times New Roman"/>
        <w:b w:val="0"/>
        <w:bCs w:val="0"/>
        <w:color w:val="auto"/>
        <w:sz w:val="20"/>
        <w:szCs w:val="20"/>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75"/>
    <w:multiLevelType w:val="hybridMultilevel"/>
    <w:tmpl w:val="6ECAAC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A305FE"/>
    <w:multiLevelType w:val="hybridMultilevel"/>
    <w:tmpl w:val="668EF166"/>
    <w:lvl w:ilvl="0" w:tplc="5A34FFA2">
      <w:start w:val="1"/>
      <w:numFmt w:val="decimal"/>
      <w:lvlText w:val="%1."/>
      <w:lvlJc w:val="left"/>
      <w:pPr>
        <w:ind w:left="1260" w:hanging="360"/>
      </w:pPr>
      <w:rPr>
        <w:rFonts w:hint="default" w:ascii="Avenir Next LT Pro Light" w:hAnsi="Avenir Next LT Pro Light" w:cs="Times New Roman"/>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EB26C41"/>
    <w:multiLevelType w:val="hybridMultilevel"/>
    <w:tmpl w:val="A6743D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99039C"/>
    <w:multiLevelType w:val="hybridMultilevel"/>
    <w:tmpl w:val="BA920C5C"/>
    <w:lvl w:ilvl="0" w:tplc="76505D78">
      <w:start w:val="1"/>
      <w:numFmt w:val="decimal"/>
      <w:pStyle w:val="Heading1"/>
      <w:lvlText w:val="%1."/>
      <w:lvlJc w:val="left"/>
      <w:pPr>
        <w:ind w:left="720" w:hanging="360"/>
      </w:pPr>
    </w:lvl>
    <w:lvl w:ilvl="1" w:tplc="F12A7E7E">
      <w:numFmt w:val="bullet"/>
      <w:lvlText w:val=""/>
      <w:lvlJc w:val="left"/>
      <w:pPr>
        <w:ind w:left="1440" w:hanging="360"/>
      </w:pPr>
      <w:rPr>
        <w:rFonts w:hint="default" w:ascii="Symbol" w:hAnsi="Symbol" w:eastAsia="Calibri"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9215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18E1136B"/>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22C64602"/>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35F68"/>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263A4426"/>
    <w:multiLevelType w:val="hybridMultilevel"/>
    <w:tmpl w:val="68BA4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91C05"/>
    <w:multiLevelType w:val="multilevel"/>
    <w:tmpl w:val="CDCA7312"/>
    <w:lvl w:ilvl="0">
      <w:start w:val="1"/>
      <w:numFmt w:val="decimal"/>
      <w:lvlText w:val="%1."/>
      <w:lvlJc w:val="left"/>
      <w:pPr>
        <w:ind w:left="720" w:hanging="360"/>
      </w:pPr>
    </w:lvl>
    <w:lvl w:ilvl="1">
      <w:numFmt w:val="bullet"/>
      <w:lvlText w:val=""/>
      <w:lvlJc w:val="left"/>
      <w:pPr>
        <w:ind w:left="1440" w:hanging="360"/>
      </w:pPr>
      <w:rPr>
        <w:rFonts w:ascii="Symbol" w:hAnsi="Symbol"/>
        <w:i/>
        <w:iCs/>
        <w:color w:val="00B050"/>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7C5250"/>
    <w:multiLevelType w:val="hybridMultilevel"/>
    <w:tmpl w:val="10B8B6E2"/>
    <w:lvl w:ilvl="0" w:tplc="1F8CA8A2">
      <w:start w:val="1"/>
      <w:numFmt w:val="bullet"/>
      <w:lvlText w:val=""/>
      <w:lvlJc w:val="left"/>
      <w:pPr>
        <w:ind w:left="2340" w:hanging="360"/>
      </w:pPr>
      <w:rPr>
        <w:rFonts w:hint="default" w:ascii="Symbol" w:hAnsi="Symbol"/>
      </w:rPr>
    </w:lvl>
    <w:lvl w:ilvl="1" w:tplc="F4D4F07C" w:tentative="1">
      <w:start w:val="1"/>
      <w:numFmt w:val="bullet"/>
      <w:lvlText w:val="o"/>
      <w:lvlJc w:val="left"/>
      <w:pPr>
        <w:ind w:left="3060" w:hanging="360"/>
      </w:pPr>
      <w:rPr>
        <w:rFonts w:hint="default" w:ascii="Courier New" w:hAnsi="Courier New" w:cs="Courier New"/>
      </w:rPr>
    </w:lvl>
    <w:lvl w:ilvl="2" w:tplc="5D4ED8BE" w:tentative="1">
      <w:start w:val="1"/>
      <w:numFmt w:val="bullet"/>
      <w:lvlText w:val=""/>
      <w:lvlJc w:val="left"/>
      <w:pPr>
        <w:ind w:left="3780" w:hanging="360"/>
      </w:pPr>
      <w:rPr>
        <w:rFonts w:hint="default" w:ascii="Wingdings" w:hAnsi="Wingdings"/>
      </w:rPr>
    </w:lvl>
    <w:lvl w:ilvl="3" w:tplc="AF945362" w:tentative="1">
      <w:start w:val="1"/>
      <w:numFmt w:val="bullet"/>
      <w:lvlText w:val=""/>
      <w:lvlJc w:val="left"/>
      <w:pPr>
        <w:ind w:left="4500" w:hanging="360"/>
      </w:pPr>
      <w:rPr>
        <w:rFonts w:hint="default" w:ascii="Symbol" w:hAnsi="Symbol"/>
      </w:rPr>
    </w:lvl>
    <w:lvl w:ilvl="4" w:tplc="53823ACA" w:tentative="1">
      <w:start w:val="1"/>
      <w:numFmt w:val="bullet"/>
      <w:lvlText w:val="o"/>
      <w:lvlJc w:val="left"/>
      <w:pPr>
        <w:ind w:left="5220" w:hanging="360"/>
      </w:pPr>
      <w:rPr>
        <w:rFonts w:hint="default" w:ascii="Courier New" w:hAnsi="Courier New" w:cs="Courier New"/>
      </w:rPr>
    </w:lvl>
    <w:lvl w:ilvl="5" w:tplc="CCF219AE" w:tentative="1">
      <w:start w:val="1"/>
      <w:numFmt w:val="bullet"/>
      <w:lvlText w:val=""/>
      <w:lvlJc w:val="left"/>
      <w:pPr>
        <w:ind w:left="5940" w:hanging="360"/>
      </w:pPr>
      <w:rPr>
        <w:rFonts w:hint="default" w:ascii="Wingdings" w:hAnsi="Wingdings"/>
      </w:rPr>
    </w:lvl>
    <w:lvl w:ilvl="6" w:tplc="72B87C2E" w:tentative="1">
      <w:start w:val="1"/>
      <w:numFmt w:val="bullet"/>
      <w:lvlText w:val=""/>
      <w:lvlJc w:val="left"/>
      <w:pPr>
        <w:ind w:left="6660" w:hanging="360"/>
      </w:pPr>
      <w:rPr>
        <w:rFonts w:hint="default" w:ascii="Symbol" w:hAnsi="Symbol"/>
      </w:rPr>
    </w:lvl>
    <w:lvl w:ilvl="7" w:tplc="89D2A5AC" w:tentative="1">
      <w:start w:val="1"/>
      <w:numFmt w:val="bullet"/>
      <w:lvlText w:val="o"/>
      <w:lvlJc w:val="left"/>
      <w:pPr>
        <w:ind w:left="7380" w:hanging="360"/>
      </w:pPr>
      <w:rPr>
        <w:rFonts w:hint="default" w:ascii="Courier New" w:hAnsi="Courier New" w:cs="Courier New"/>
      </w:rPr>
    </w:lvl>
    <w:lvl w:ilvl="8" w:tplc="52B412FC" w:tentative="1">
      <w:start w:val="1"/>
      <w:numFmt w:val="bullet"/>
      <w:lvlText w:val=""/>
      <w:lvlJc w:val="left"/>
      <w:pPr>
        <w:ind w:left="8100" w:hanging="360"/>
      </w:pPr>
      <w:rPr>
        <w:rFonts w:hint="default" w:ascii="Wingdings" w:hAnsi="Wingdings"/>
      </w:rPr>
    </w:lvl>
  </w:abstractNum>
  <w:abstractNum w:abstractNumId="12" w15:restartNumberingAfterBreak="0">
    <w:nsid w:val="328F4D87"/>
    <w:multiLevelType w:val="multilevel"/>
    <w:tmpl w:val="19229796"/>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32B4745"/>
    <w:multiLevelType w:val="hybridMultilevel"/>
    <w:tmpl w:val="E6F4BDD6"/>
    <w:lvl w:ilvl="0" w:tplc="0409000F">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4EE56DD"/>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3D2044DE"/>
    <w:multiLevelType w:val="hybridMultilevel"/>
    <w:tmpl w:val="81D8A744"/>
    <w:lvl w:ilvl="0" w:tplc="0B96F82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A34C12"/>
    <w:multiLevelType w:val="hybridMultilevel"/>
    <w:tmpl w:val="AEB013AA"/>
    <w:lvl w:ilvl="0" w:tplc="C096F09E">
      <w:start w:val="1"/>
      <w:numFmt w:val="decimal"/>
      <w:lvlText w:val="(%1)"/>
      <w:lvlJc w:val="left"/>
      <w:pPr>
        <w:ind w:left="1440" w:hanging="360"/>
      </w:pPr>
      <w:rPr>
        <w:rFonts w:hint="default"/>
        <w:b w:val="0"/>
      </w:rPr>
    </w:lvl>
    <w:lvl w:ilvl="1" w:tplc="9B660B2E" w:tentative="1">
      <w:start w:val="1"/>
      <w:numFmt w:val="lowerLetter"/>
      <w:lvlText w:val="%2."/>
      <w:lvlJc w:val="left"/>
      <w:pPr>
        <w:ind w:left="1080" w:hanging="360"/>
      </w:pPr>
    </w:lvl>
    <w:lvl w:ilvl="2" w:tplc="5752793A" w:tentative="1">
      <w:start w:val="1"/>
      <w:numFmt w:val="lowerRoman"/>
      <w:lvlText w:val="%3."/>
      <w:lvlJc w:val="right"/>
      <w:pPr>
        <w:ind w:left="1800" w:hanging="180"/>
      </w:pPr>
    </w:lvl>
    <w:lvl w:ilvl="3" w:tplc="30E8A8C4" w:tentative="1">
      <w:start w:val="1"/>
      <w:numFmt w:val="decimal"/>
      <w:lvlText w:val="%4."/>
      <w:lvlJc w:val="left"/>
      <w:pPr>
        <w:ind w:left="2520" w:hanging="360"/>
      </w:pPr>
    </w:lvl>
    <w:lvl w:ilvl="4" w:tplc="F88834D6" w:tentative="1">
      <w:start w:val="1"/>
      <w:numFmt w:val="lowerLetter"/>
      <w:lvlText w:val="%5."/>
      <w:lvlJc w:val="left"/>
      <w:pPr>
        <w:ind w:left="3240" w:hanging="360"/>
      </w:pPr>
    </w:lvl>
    <w:lvl w:ilvl="5" w:tplc="7BB8C324" w:tentative="1">
      <w:start w:val="1"/>
      <w:numFmt w:val="lowerRoman"/>
      <w:lvlText w:val="%6."/>
      <w:lvlJc w:val="right"/>
      <w:pPr>
        <w:ind w:left="3960" w:hanging="180"/>
      </w:pPr>
    </w:lvl>
    <w:lvl w:ilvl="6" w:tplc="B302029E" w:tentative="1">
      <w:start w:val="1"/>
      <w:numFmt w:val="decimal"/>
      <w:lvlText w:val="%7."/>
      <w:lvlJc w:val="left"/>
      <w:pPr>
        <w:ind w:left="4680" w:hanging="360"/>
      </w:pPr>
    </w:lvl>
    <w:lvl w:ilvl="7" w:tplc="DDAA66A0" w:tentative="1">
      <w:start w:val="1"/>
      <w:numFmt w:val="lowerLetter"/>
      <w:lvlText w:val="%8."/>
      <w:lvlJc w:val="left"/>
      <w:pPr>
        <w:ind w:left="5400" w:hanging="360"/>
      </w:pPr>
    </w:lvl>
    <w:lvl w:ilvl="8" w:tplc="67F6D39C" w:tentative="1">
      <w:start w:val="1"/>
      <w:numFmt w:val="lowerRoman"/>
      <w:lvlText w:val="%9."/>
      <w:lvlJc w:val="right"/>
      <w:pPr>
        <w:ind w:left="6120" w:hanging="180"/>
      </w:pPr>
    </w:lvl>
  </w:abstractNum>
  <w:abstractNum w:abstractNumId="17" w15:restartNumberingAfterBreak="0">
    <w:nsid w:val="41411DE4"/>
    <w:multiLevelType w:val="hybridMultilevel"/>
    <w:tmpl w:val="CCEAC3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7F62B1"/>
    <w:multiLevelType w:val="hybridMultilevel"/>
    <w:tmpl w:val="BEF441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4CC0D34"/>
    <w:multiLevelType w:val="hybridMultilevel"/>
    <w:tmpl w:val="98B4D5E2"/>
    <w:lvl w:ilvl="0" w:tplc="0B96F82E">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4D306CCD"/>
    <w:multiLevelType w:val="hybridMultilevel"/>
    <w:tmpl w:val="19229796"/>
    <w:lvl w:ilvl="0" w:tplc="4A90E992">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E2952F5"/>
    <w:multiLevelType w:val="hybridMultilevel"/>
    <w:tmpl w:val="9B34932A"/>
    <w:lvl w:ilvl="0" w:tplc="7A325562">
      <w:start w:val="1"/>
      <w:numFmt w:val="bullet"/>
      <w:lvlText w:val=""/>
      <w:lvlJc w:val="left"/>
      <w:pPr>
        <w:ind w:left="720" w:hanging="360"/>
      </w:pPr>
      <w:rPr>
        <w:rFonts w:hint="default" w:ascii="Symbol" w:hAnsi="Symbol"/>
      </w:rPr>
    </w:lvl>
    <w:lvl w:ilvl="1" w:tplc="E7D0D01A">
      <w:start w:val="1"/>
      <w:numFmt w:val="bullet"/>
      <w:lvlText w:val="o"/>
      <w:lvlJc w:val="left"/>
      <w:pPr>
        <w:ind w:left="1440" w:hanging="360"/>
      </w:pPr>
      <w:rPr>
        <w:rFonts w:hint="default" w:ascii="Courier New" w:hAnsi="Courier New" w:cs="Courier New"/>
      </w:rPr>
    </w:lvl>
    <w:lvl w:ilvl="2" w:tplc="1F9C0858" w:tentative="1">
      <w:start w:val="1"/>
      <w:numFmt w:val="bullet"/>
      <w:lvlText w:val=""/>
      <w:lvlJc w:val="left"/>
      <w:pPr>
        <w:ind w:left="2160" w:hanging="360"/>
      </w:pPr>
      <w:rPr>
        <w:rFonts w:hint="default" w:ascii="Wingdings" w:hAnsi="Wingdings"/>
      </w:rPr>
    </w:lvl>
    <w:lvl w:ilvl="3" w:tplc="6EF65D12" w:tentative="1">
      <w:start w:val="1"/>
      <w:numFmt w:val="bullet"/>
      <w:lvlText w:val=""/>
      <w:lvlJc w:val="left"/>
      <w:pPr>
        <w:ind w:left="2880" w:hanging="360"/>
      </w:pPr>
      <w:rPr>
        <w:rFonts w:hint="default" w:ascii="Symbol" w:hAnsi="Symbol"/>
      </w:rPr>
    </w:lvl>
    <w:lvl w:ilvl="4" w:tplc="14C04A02" w:tentative="1">
      <w:start w:val="1"/>
      <w:numFmt w:val="bullet"/>
      <w:lvlText w:val="o"/>
      <w:lvlJc w:val="left"/>
      <w:pPr>
        <w:ind w:left="3600" w:hanging="360"/>
      </w:pPr>
      <w:rPr>
        <w:rFonts w:hint="default" w:ascii="Courier New" w:hAnsi="Courier New" w:cs="Courier New"/>
      </w:rPr>
    </w:lvl>
    <w:lvl w:ilvl="5" w:tplc="BDA4CE6E" w:tentative="1">
      <w:start w:val="1"/>
      <w:numFmt w:val="bullet"/>
      <w:lvlText w:val=""/>
      <w:lvlJc w:val="left"/>
      <w:pPr>
        <w:ind w:left="4320" w:hanging="360"/>
      </w:pPr>
      <w:rPr>
        <w:rFonts w:hint="default" w:ascii="Wingdings" w:hAnsi="Wingdings"/>
      </w:rPr>
    </w:lvl>
    <w:lvl w:ilvl="6" w:tplc="CFB84B7C" w:tentative="1">
      <w:start w:val="1"/>
      <w:numFmt w:val="bullet"/>
      <w:lvlText w:val=""/>
      <w:lvlJc w:val="left"/>
      <w:pPr>
        <w:ind w:left="5040" w:hanging="360"/>
      </w:pPr>
      <w:rPr>
        <w:rFonts w:hint="default" w:ascii="Symbol" w:hAnsi="Symbol"/>
      </w:rPr>
    </w:lvl>
    <w:lvl w:ilvl="7" w:tplc="699E53D2" w:tentative="1">
      <w:start w:val="1"/>
      <w:numFmt w:val="bullet"/>
      <w:lvlText w:val="o"/>
      <w:lvlJc w:val="left"/>
      <w:pPr>
        <w:ind w:left="5760" w:hanging="360"/>
      </w:pPr>
      <w:rPr>
        <w:rFonts w:hint="default" w:ascii="Courier New" w:hAnsi="Courier New" w:cs="Courier New"/>
      </w:rPr>
    </w:lvl>
    <w:lvl w:ilvl="8" w:tplc="35B8437C" w:tentative="1">
      <w:start w:val="1"/>
      <w:numFmt w:val="bullet"/>
      <w:lvlText w:val=""/>
      <w:lvlJc w:val="left"/>
      <w:pPr>
        <w:ind w:left="6480" w:hanging="360"/>
      </w:pPr>
      <w:rPr>
        <w:rFonts w:hint="default" w:ascii="Wingdings" w:hAnsi="Wingdings"/>
      </w:rPr>
    </w:lvl>
  </w:abstractNum>
  <w:abstractNum w:abstractNumId="22" w15:restartNumberingAfterBreak="0">
    <w:nsid w:val="5C3A65A9"/>
    <w:multiLevelType w:val="hybridMultilevel"/>
    <w:tmpl w:val="98B4D5E2"/>
    <w:lvl w:ilvl="0" w:tplc="0B96F82E">
      <w:start w:val="1"/>
      <w:numFmt w:val="lowerLetter"/>
      <w:lvlText w:val="%1."/>
      <w:lvlJc w:val="left"/>
      <w:pPr>
        <w:ind w:left="1710" w:hanging="360"/>
      </w:pPr>
      <w:rPr>
        <w:rFonts w:hint="default"/>
        <w:b/>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3" w15:restartNumberingAfterBreak="0">
    <w:nsid w:val="5C4212AA"/>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6016795C"/>
    <w:multiLevelType w:val="hybridMultilevel"/>
    <w:tmpl w:val="136EC114"/>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5A41EAE"/>
    <w:multiLevelType w:val="hybridMultilevel"/>
    <w:tmpl w:val="68089BEE"/>
    <w:lvl w:ilvl="0" w:tplc="04090001">
      <w:start w:val="1"/>
      <w:numFmt w:val="bullet"/>
      <w:lvlText w:val=""/>
      <w:lvlJc w:val="left"/>
      <w:pPr>
        <w:ind w:left="2880" w:hanging="360"/>
      </w:pPr>
      <w:rPr>
        <w:rFonts w:hint="default" w:ascii="Symbol" w:hAnsi="Symbol"/>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27" w15:restartNumberingAfterBreak="0">
    <w:nsid w:val="66826307"/>
    <w:multiLevelType w:val="hybridMultilevel"/>
    <w:tmpl w:val="50A8D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012D3"/>
    <w:multiLevelType w:val="hybridMultilevel"/>
    <w:tmpl w:val="81D8A744"/>
    <w:lvl w:ilvl="0" w:tplc="0B96F82E">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6A73F2"/>
    <w:multiLevelType w:val="hybridMultilevel"/>
    <w:tmpl w:val="B3C40B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211CA2"/>
    <w:multiLevelType w:val="hybridMultilevel"/>
    <w:tmpl w:val="0BEA92A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731A0E2E"/>
    <w:multiLevelType w:val="hybridMultilevel"/>
    <w:tmpl w:val="5BD461A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3AE3720"/>
    <w:multiLevelType w:val="hybridMultilevel"/>
    <w:tmpl w:val="708E542E"/>
    <w:lvl w:ilvl="0" w:tplc="41B4055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332836146">
    <w:abstractNumId w:val="2"/>
  </w:num>
  <w:num w:numId="2" w16cid:durableId="1108548878">
    <w:abstractNumId w:val="20"/>
  </w:num>
  <w:num w:numId="3" w16cid:durableId="458063654">
    <w:abstractNumId w:val="3"/>
  </w:num>
  <w:num w:numId="4" w16cid:durableId="2021736345">
    <w:abstractNumId w:val="24"/>
  </w:num>
  <w:num w:numId="5" w16cid:durableId="141583371">
    <w:abstractNumId w:val="12"/>
  </w:num>
  <w:num w:numId="6" w16cid:durableId="885143729">
    <w:abstractNumId w:val="10"/>
  </w:num>
  <w:num w:numId="7" w16cid:durableId="1357655647">
    <w:abstractNumId w:val="6"/>
  </w:num>
  <w:num w:numId="8" w16cid:durableId="1105535039">
    <w:abstractNumId w:val="3"/>
    <w:lvlOverride w:ilvl="0">
      <w:startOverride w:val="1"/>
    </w:lvlOverride>
  </w:num>
  <w:num w:numId="9" w16cid:durableId="568228079">
    <w:abstractNumId w:val="23"/>
  </w:num>
  <w:num w:numId="10" w16cid:durableId="955215494">
    <w:abstractNumId w:val="27"/>
  </w:num>
  <w:num w:numId="11" w16cid:durableId="908156199">
    <w:abstractNumId w:val="3"/>
    <w:lvlOverride w:ilvl="0">
      <w:startOverride w:val="1"/>
    </w:lvlOverride>
  </w:num>
  <w:num w:numId="12" w16cid:durableId="1993557901">
    <w:abstractNumId w:val="3"/>
  </w:num>
  <w:num w:numId="13" w16cid:durableId="2120252221">
    <w:abstractNumId w:val="11"/>
  </w:num>
  <w:num w:numId="14" w16cid:durableId="1016419648">
    <w:abstractNumId w:val="22"/>
  </w:num>
  <w:num w:numId="15" w16cid:durableId="908491908">
    <w:abstractNumId w:val="8"/>
  </w:num>
  <w:num w:numId="16" w16cid:durableId="706565136">
    <w:abstractNumId w:val="32"/>
  </w:num>
  <w:num w:numId="17" w16cid:durableId="1031151897">
    <w:abstractNumId w:val="4"/>
  </w:num>
  <w:num w:numId="18" w16cid:durableId="44647226">
    <w:abstractNumId w:val="14"/>
  </w:num>
  <w:num w:numId="19" w16cid:durableId="1808350076">
    <w:abstractNumId w:val="29"/>
  </w:num>
  <w:num w:numId="20" w16cid:durableId="1225482458">
    <w:abstractNumId w:val="17"/>
  </w:num>
  <w:num w:numId="21" w16cid:durableId="1828402149">
    <w:abstractNumId w:val="19"/>
  </w:num>
  <w:num w:numId="22" w16cid:durableId="54359478">
    <w:abstractNumId w:val="3"/>
    <w:lvlOverride w:ilvl="0">
      <w:startOverride w:val="1"/>
    </w:lvlOverride>
  </w:num>
  <w:num w:numId="23" w16cid:durableId="1114980146">
    <w:abstractNumId w:val="3"/>
  </w:num>
  <w:num w:numId="24" w16cid:durableId="1298680056">
    <w:abstractNumId w:val="5"/>
  </w:num>
  <w:num w:numId="25" w16cid:durableId="1632439294">
    <w:abstractNumId w:val="3"/>
  </w:num>
  <w:num w:numId="26" w16cid:durableId="153030496">
    <w:abstractNumId w:val="3"/>
  </w:num>
  <w:num w:numId="27" w16cid:durableId="1950891030">
    <w:abstractNumId w:val="3"/>
  </w:num>
  <w:num w:numId="28" w16cid:durableId="1957129139">
    <w:abstractNumId w:val="13"/>
  </w:num>
  <w:num w:numId="29" w16cid:durableId="66652995">
    <w:abstractNumId w:val="16"/>
  </w:num>
  <w:num w:numId="30" w16cid:durableId="1608270879">
    <w:abstractNumId w:val="15"/>
  </w:num>
  <w:num w:numId="31" w16cid:durableId="566914117">
    <w:abstractNumId w:val="1"/>
  </w:num>
  <w:num w:numId="32" w16cid:durableId="68232025">
    <w:abstractNumId w:val="31"/>
  </w:num>
  <w:num w:numId="33" w16cid:durableId="771440158">
    <w:abstractNumId w:val="28"/>
  </w:num>
  <w:num w:numId="34" w16cid:durableId="1423532916">
    <w:abstractNumId w:val="30"/>
  </w:num>
  <w:num w:numId="35" w16cid:durableId="1306004476">
    <w:abstractNumId w:val="21"/>
  </w:num>
  <w:num w:numId="36" w16cid:durableId="1014108683">
    <w:abstractNumId w:val="0"/>
  </w:num>
  <w:num w:numId="37" w16cid:durableId="1543638640">
    <w:abstractNumId w:val="7"/>
  </w:num>
  <w:num w:numId="38" w16cid:durableId="1172449316">
    <w:abstractNumId w:val="18"/>
  </w:num>
  <w:num w:numId="39" w16cid:durableId="1699965264">
    <w:abstractNumId w:val="25"/>
  </w:num>
  <w:num w:numId="40" w16cid:durableId="1936287248">
    <w:abstractNumId w:val="26"/>
  </w:num>
  <w:num w:numId="41" w16cid:durableId="779565064">
    <w:abstractNumId w:val="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trackRevisions w:val="true"/>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bU0NTU2MTCyMLJU0lEKTi0uzszPAykwrAUAOn1M+SwAAAA="/>
  </w:docVars>
  <w:rsids>
    <w:rsidRoot w:val="00C432DF"/>
    <w:rsid w:val="00000B28"/>
    <w:rsid w:val="000024B3"/>
    <w:rsid w:val="00004838"/>
    <w:rsid w:val="00005BA5"/>
    <w:rsid w:val="000120C4"/>
    <w:rsid w:val="00013B9C"/>
    <w:rsid w:val="00013EB6"/>
    <w:rsid w:val="0002149F"/>
    <w:rsid w:val="000232B7"/>
    <w:rsid w:val="0002374E"/>
    <w:rsid w:val="00026DE6"/>
    <w:rsid w:val="0003371C"/>
    <w:rsid w:val="00033AA4"/>
    <w:rsid w:val="00035385"/>
    <w:rsid w:val="00040B02"/>
    <w:rsid w:val="000416F2"/>
    <w:rsid w:val="0004340F"/>
    <w:rsid w:val="000439F1"/>
    <w:rsid w:val="00045C49"/>
    <w:rsid w:val="00045D30"/>
    <w:rsid w:val="0004632E"/>
    <w:rsid w:val="00050565"/>
    <w:rsid w:val="0005109C"/>
    <w:rsid w:val="000532D1"/>
    <w:rsid w:val="00054309"/>
    <w:rsid w:val="0005619C"/>
    <w:rsid w:val="00056BB1"/>
    <w:rsid w:val="0005742A"/>
    <w:rsid w:val="00057660"/>
    <w:rsid w:val="0006728F"/>
    <w:rsid w:val="00077C91"/>
    <w:rsid w:val="000812B0"/>
    <w:rsid w:val="000821AD"/>
    <w:rsid w:val="00083AB8"/>
    <w:rsid w:val="00087B16"/>
    <w:rsid w:val="000930D7"/>
    <w:rsid w:val="00093890"/>
    <w:rsid w:val="0009389F"/>
    <w:rsid w:val="000952A3"/>
    <w:rsid w:val="00096D8E"/>
    <w:rsid w:val="000970E9"/>
    <w:rsid w:val="0009717E"/>
    <w:rsid w:val="00097EBB"/>
    <w:rsid w:val="000A104C"/>
    <w:rsid w:val="000A2CC3"/>
    <w:rsid w:val="000A7F54"/>
    <w:rsid w:val="000B049B"/>
    <w:rsid w:val="000B053D"/>
    <w:rsid w:val="000B1AEB"/>
    <w:rsid w:val="000B1C91"/>
    <w:rsid w:val="000B361C"/>
    <w:rsid w:val="000B4452"/>
    <w:rsid w:val="000B4C2A"/>
    <w:rsid w:val="000B58AB"/>
    <w:rsid w:val="000B7F90"/>
    <w:rsid w:val="000C0C69"/>
    <w:rsid w:val="000C255F"/>
    <w:rsid w:val="000C27C4"/>
    <w:rsid w:val="000C2F66"/>
    <w:rsid w:val="000C5BAA"/>
    <w:rsid w:val="000C6FBB"/>
    <w:rsid w:val="000C7FB1"/>
    <w:rsid w:val="000D2566"/>
    <w:rsid w:val="000D60A9"/>
    <w:rsid w:val="000D7CEA"/>
    <w:rsid w:val="000E1400"/>
    <w:rsid w:val="000E18C6"/>
    <w:rsid w:val="000E3F1C"/>
    <w:rsid w:val="000E447B"/>
    <w:rsid w:val="000E59C2"/>
    <w:rsid w:val="000E710B"/>
    <w:rsid w:val="000F3678"/>
    <w:rsid w:val="000F3B4D"/>
    <w:rsid w:val="000F3D82"/>
    <w:rsid w:val="000F441C"/>
    <w:rsid w:val="000F7E67"/>
    <w:rsid w:val="001014EA"/>
    <w:rsid w:val="001024ED"/>
    <w:rsid w:val="00104228"/>
    <w:rsid w:val="00107E6D"/>
    <w:rsid w:val="00111A36"/>
    <w:rsid w:val="001120CB"/>
    <w:rsid w:val="00114F36"/>
    <w:rsid w:val="00115C8F"/>
    <w:rsid w:val="00117B53"/>
    <w:rsid w:val="00120C3E"/>
    <w:rsid w:val="00124078"/>
    <w:rsid w:val="00130027"/>
    <w:rsid w:val="00133CEE"/>
    <w:rsid w:val="001351A7"/>
    <w:rsid w:val="001366C7"/>
    <w:rsid w:val="0013710C"/>
    <w:rsid w:val="001418B0"/>
    <w:rsid w:val="00144352"/>
    <w:rsid w:val="00146353"/>
    <w:rsid w:val="0014668A"/>
    <w:rsid w:val="001467D9"/>
    <w:rsid w:val="00155991"/>
    <w:rsid w:val="0016187F"/>
    <w:rsid w:val="00161D04"/>
    <w:rsid w:val="00161F25"/>
    <w:rsid w:val="001635B1"/>
    <w:rsid w:val="0016642B"/>
    <w:rsid w:val="00167BCA"/>
    <w:rsid w:val="001707D9"/>
    <w:rsid w:val="0017163D"/>
    <w:rsid w:val="00173100"/>
    <w:rsid w:val="00174E3B"/>
    <w:rsid w:val="00177268"/>
    <w:rsid w:val="001809C7"/>
    <w:rsid w:val="00182548"/>
    <w:rsid w:val="001827FA"/>
    <w:rsid w:val="00183A31"/>
    <w:rsid w:val="001845E7"/>
    <w:rsid w:val="0018583C"/>
    <w:rsid w:val="00187085"/>
    <w:rsid w:val="001870D9"/>
    <w:rsid w:val="00190A7C"/>
    <w:rsid w:val="00190AC9"/>
    <w:rsid w:val="001910DC"/>
    <w:rsid w:val="001952F2"/>
    <w:rsid w:val="001A0963"/>
    <w:rsid w:val="001A5564"/>
    <w:rsid w:val="001A708A"/>
    <w:rsid w:val="001B1220"/>
    <w:rsid w:val="001B28AE"/>
    <w:rsid w:val="001B5261"/>
    <w:rsid w:val="001B72C8"/>
    <w:rsid w:val="001B7349"/>
    <w:rsid w:val="001C1A94"/>
    <w:rsid w:val="001C1B50"/>
    <w:rsid w:val="001C3BD2"/>
    <w:rsid w:val="001D3F74"/>
    <w:rsid w:val="001E0647"/>
    <w:rsid w:val="001E1AFA"/>
    <w:rsid w:val="001E1C76"/>
    <w:rsid w:val="001E2BCB"/>
    <w:rsid w:val="001E398D"/>
    <w:rsid w:val="001E3B04"/>
    <w:rsid w:val="001E4A8A"/>
    <w:rsid w:val="001E5C76"/>
    <w:rsid w:val="001E793E"/>
    <w:rsid w:val="001F19D2"/>
    <w:rsid w:val="001F3EF3"/>
    <w:rsid w:val="001F67E2"/>
    <w:rsid w:val="001F7F7A"/>
    <w:rsid w:val="0020025B"/>
    <w:rsid w:val="002016A4"/>
    <w:rsid w:val="00206510"/>
    <w:rsid w:val="00207844"/>
    <w:rsid w:val="00207EB1"/>
    <w:rsid w:val="002104DC"/>
    <w:rsid w:val="00214FCE"/>
    <w:rsid w:val="00215855"/>
    <w:rsid w:val="00215FD1"/>
    <w:rsid w:val="00220120"/>
    <w:rsid w:val="00220DC4"/>
    <w:rsid w:val="002214B5"/>
    <w:rsid w:val="00221C5E"/>
    <w:rsid w:val="002220B9"/>
    <w:rsid w:val="00222CB8"/>
    <w:rsid w:val="00223788"/>
    <w:rsid w:val="00223E0D"/>
    <w:rsid w:val="00224B41"/>
    <w:rsid w:val="00233F8C"/>
    <w:rsid w:val="00234407"/>
    <w:rsid w:val="00236D90"/>
    <w:rsid w:val="00244408"/>
    <w:rsid w:val="00244805"/>
    <w:rsid w:val="00244D6A"/>
    <w:rsid w:val="00246003"/>
    <w:rsid w:val="002603EA"/>
    <w:rsid w:val="00263DA9"/>
    <w:rsid w:val="00265EF4"/>
    <w:rsid w:val="002662D6"/>
    <w:rsid w:val="0027226D"/>
    <w:rsid w:val="00272809"/>
    <w:rsid w:val="00274269"/>
    <w:rsid w:val="00276363"/>
    <w:rsid w:val="002841D2"/>
    <w:rsid w:val="00285C69"/>
    <w:rsid w:val="0028617B"/>
    <w:rsid w:val="002921AA"/>
    <w:rsid w:val="002941F0"/>
    <w:rsid w:val="00294991"/>
    <w:rsid w:val="00295D85"/>
    <w:rsid w:val="00297E61"/>
    <w:rsid w:val="002A5FD5"/>
    <w:rsid w:val="002A7D3B"/>
    <w:rsid w:val="002B0424"/>
    <w:rsid w:val="002B073E"/>
    <w:rsid w:val="002B0EAB"/>
    <w:rsid w:val="002B2915"/>
    <w:rsid w:val="002C1591"/>
    <w:rsid w:val="002C34F5"/>
    <w:rsid w:val="002C3B2A"/>
    <w:rsid w:val="002C3BF7"/>
    <w:rsid w:val="002C6583"/>
    <w:rsid w:val="002D19CC"/>
    <w:rsid w:val="002D229E"/>
    <w:rsid w:val="002E319E"/>
    <w:rsid w:val="002E494F"/>
    <w:rsid w:val="002E5118"/>
    <w:rsid w:val="002E7E62"/>
    <w:rsid w:val="002F095B"/>
    <w:rsid w:val="002F0CE2"/>
    <w:rsid w:val="002F16B6"/>
    <w:rsid w:val="002F64C1"/>
    <w:rsid w:val="002F6ABD"/>
    <w:rsid w:val="00303D04"/>
    <w:rsid w:val="00305671"/>
    <w:rsid w:val="00311E8E"/>
    <w:rsid w:val="00313AA5"/>
    <w:rsid w:val="003210D1"/>
    <w:rsid w:val="003214BE"/>
    <w:rsid w:val="00321BB8"/>
    <w:rsid w:val="00323153"/>
    <w:rsid w:val="003260F9"/>
    <w:rsid w:val="00327B47"/>
    <w:rsid w:val="00327BBD"/>
    <w:rsid w:val="00331756"/>
    <w:rsid w:val="00333282"/>
    <w:rsid w:val="0033661F"/>
    <w:rsid w:val="003366AB"/>
    <w:rsid w:val="00336A4B"/>
    <w:rsid w:val="00342901"/>
    <w:rsid w:val="003431A3"/>
    <w:rsid w:val="00343FCF"/>
    <w:rsid w:val="00345A77"/>
    <w:rsid w:val="00346849"/>
    <w:rsid w:val="00351C7F"/>
    <w:rsid w:val="00352F25"/>
    <w:rsid w:val="0036240F"/>
    <w:rsid w:val="003625D9"/>
    <w:rsid w:val="003651DE"/>
    <w:rsid w:val="00365A8E"/>
    <w:rsid w:val="00366244"/>
    <w:rsid w:val="00367412"/>
    <w:rsid w:val="00370314"/>
    <w:rsid w:val="003707C7"/>
    <w:rsid w:val="003717A8"/>
    <w:rsid w:val="0037202C"/>
    <w:rsid w:val="00374D68"/>
    <w:rsid w:val="00374EFC"/>
    <w:rsid w:val="00382785"/>
    <w:rsid w:val="0038321A"/>
    <w:rsid w:val="003847E1"/>
    <w:rsid w:val="003852ED"/>
    <w:rsid w:val="0039067D"/>
    <w:rsid w:val="00394FE9"/>
    <w:rsid w:val="003A2AF0"/>
    <w:rsid w:val="003A674D"/>
    <w:rsid w:val="003B0689"/>
    <w:rsid w:val="003B31A4"/>
    <w:rsid w:val="003C1523"/>
    <w:rsid w:val="003C1875"/>
    <w:rsid w:val="003C206F"/>
    <w:rsid w:val="003C607B"/>
    <w:rsid w:val="003D36CD"/>
    <w:rsid w:val="003D4A98"/>
    <w:rsid w:val="003D7E20"/>
    <w:rsid w:val="003E224E"/>
    <w:rsid w:val="003F08B5"/>
    <w:rsid w:val="003F149D"/>
    <w:rsid w:val="003F3A2F"/>
    <w:rsid w:val="003F6794"/>
    <w:rsid w:val="0040168F"/>
    <w:rsid w:val="0040525C"/>
    <w:rsid w:val="00406612"/>
    <w:rsid w:val="00410FAF"/>
    <w:rsid w:val="00412037"/>
    <w:rsid w:val="0041776E"/>
    <w:rsid w:val="00417800"/>
    <w:rsid w:val="00417ADB"/>
    <w:rsid w:val="0042328E"/>
    <w:rsid w:val="00423378"/>
    <w:rsid w:val="00430A66"/>
    <w:rsid w:val="00431A5E"/>
    <w:rsid w:val="0043293F"/>
    <w:rsid w:val="00435CD3"/>
    <w:rsid w:val="00442BF6"/>
    <w:rsid w:val="00443222"/>
    <w:rsid w:val="0044717B"/>
    <w:rsid w:val="00447F52"/>
    <w:rsid w:val="004511FF"/>
    <w:rsid w:val="00455291"/>
    <w:rsid w:val="00460AA0"/>
    <w:rsid w:val="00461DFA"/>
    <w:rsid w:val="00462C7D"/>
    <w:rsid w:val="00463778"/>
    <w:rsid w:val="00465242"/>
    <w:rsid w:val="00466C6B"/>
    <w:rsid w:val="00474826"/>
    <w:rsid w:val="004778F2"/>
    <w:rsid w:val="00477E37"/>
    <w:rsid w:val="0048743B"/>
    <w:rsid w:val="00487A83"/>
    <w:rsid w:val="00491027"/>
    <w:rsid w:val="00492497"/>
    <w:rsid w:val="004A073C"/>
    <w:rsid w:val="004A1F85"/>
    <w:rsid w:val="004A35BE"/>
    <w:rsid w:val="004A3856"/>
    <w:rsid w:val="004A443C"/>
    <w:rsid w:val="004B32A2"/>
    <w:rsid w:val="004B3702"/>
    <w:rsid w:val="004B3C14"/>
    <w:rsid w:val="004B5EEB"/>
    <w:rsid w:val="004C0F6D"/>
    <w:rsid w:val="004C624D"/>
    <w:rsid w:val="004C6E3E"/>
    <w:rsid w:val="004C774B"/>
    <w:rsid w:val="004C7C30"/>
    <w:rsid w:val="004D28A0"/>
    <w:rsid w:val="004D2F7E"/>
    <w:rsid w:val="004D45F2"/>
    <w:rsid w:val="004D75F3"/>
    <w:rsid w:val="004E17A6"/>
    <w:rsid w:val="004E2A79"/>
    <w:rsid w:val="004E39E8"/>
    <w:rsid w:val="004E3C8E"/>
    <w:rsid w:val="004F09C4"/>
    <w:rsid w:val="004F269D"/>
    <w:rsid w:val="004F319B"/>
    <w:rsid w:val="004F3556"/>
    <w:rsid w:val="004F53D7"/>
    <w:rsid w:val="004F6A69"/>
    <w:rsid w:val="004F6D8A"/>
    <w:rsid w:val="004F75D2"/>
    <w:rsid w:val="004F7DD5"/>
    <w:rsid w:val="00500412"/>
    <w:rsid w:val="00504BD6"/>
    <w:rsid w:val="00504F4B"/>
    <w:rsid w:val="00505BC2"/>
    <w:rsid w:val="00507EBE"/>
    <w:rsid w:val="00510698"/>
    <w:rsid w:val="005116D4"/>
    <w:rsid w:val="00511F05"/>
    <w:rsid w:val="00516D6E"/>
    <w:rsid w:val="00521D22"/>
    <w:rsid w:val="00521DE1"/>
    <w:rsid w:val="00522640"/>
    <w:rsid w:val="0052266A"/>
    <w:rsid w:val="00522994"/>
    <w:rsid w:val="00526B23"/>
    <w:rsid w:val="00526D5F"/>
    <w:rsid w:val="00532D8F"/>
    <w:rsid w:val="00541E8D"/>
    <w:rsid w:val="00542405"/>
    <w:rsid w:val="00543306"/>
    <w:rsid w:val="0054386F"/>
    <w:rsid w:val="00544CBD"/>
    <w:rsid w:val="005500A6"/>
    <w:rsid w:val="00550108"/>
    <w:rsid w:val="00550BF5"/>
    <w:rsid w:val="005527DB"/>
    <w:rsid w:val="005557CF"/>
    <w:rsid w:val="00555C5C"/>
    <w:rsid w:val="00563F0B"/>
    <w:rsid w:val="00566E1A"/>
    <w:rsid w:val="0056777E"/>
    <w:rsid w:val="005709B6"/>
    <w:rsid w:val="0057321E"/>
    <w:rsid w:val="005738F7"/>
    <w:rsid w:val="00575231"/>
    <w:rsid w:val="0057585F"/>
    <w:rsid w:val="00581CD6"/>
    <w:rsid w:val="005903B7"/>
    <w:rsid w:val="005913F4"/>
    <w:rsid w:val="0059164E"/>
    <w:rsid w:val="005918DE"/>
    <w:rsid w:val="00591F4F"/>
    <w:rsid w:val="00593086"/>
    <w:rsid w:val="00594D86"/>
    <w:rsid w:val="00595FD0"/>
    <w:rsid w:val="005A2004"/>
    <w:rsid w:val="005A599B"/>
    <w:rsid w:val="005A6BE5"/>
    <w:rsid w:val="005B37DD"/>
    <w:rsid w:val="005B6C65"/>
    <w:rsid w:val="005B722E"/>
    <w:rsid w:val="005C4356"/>
    <w:rsid w:val="005C6B36"/>
    <w:rsid w:val="005D1A62"/>
    <w:rsid w:val="005D201C"/>
    <w:rsid w:val="005D3B6A"/>
    <w:rsid w:val="005D43C5"/>
    <w:rsid w:val="005D64E6"/>
    <w:rsid w:val="005D6AE2"/>
    <w:rsid w:val="005D7337"/>
    <w:rsid w:val="005E035C"/>
    <w:rsid w:val="005E07CE"/>
    <w:rsid w:val="005E192F"/>
    <w:rsid w:val="005E3A99"/>
    <w:rsid w:val="005E3B7F"/>
    <w:rsid w:val="005E55DB"/>
    <w:rsid w:val="005F045F"/>
    <w:rsid w:val="005F079B"/>
    <w:rsid w:val="005F30D0"/>
    <w:rsid w:val="005F5991"/>
    <w:rsid w:val="005F6B26"/>
    <w:rsid w:val="00600545"/>
    <w:rsid w:val="006054F8"/>
    <w:rsid w:val="00607A18"/>
    <w:rsid w:val="00607A9B"/>
    <w:rsid w:val="0061140C"/>
    <w:rsid w:val="00611BE3"/>
    <w:rsid w:val="0061739B"/>
    <w:rsid w:val="00621000"/>
    <w:rsid w:val="00624917"/>
    <w:rsid w:val="00630019"/>
    <w:rsid w:val="00636145"/>
    <w:rsid w:val="00642B7C"/>
    <w:rsid w:val="00643CF4"/>
    <w:rsid w:val="00650308"/>
    <w:rsid w:val="006512E7"/>
    <w:rsid w:val="006535FF"/>
    <w:rsid w:val="0065481B"/>
    <w:rsid w:val="00657A37"/>
    <w:rsid w:val="00660760"/>
    <w:rsid w:val="00661C0E"/>
    <w:rsid w:val="00662A74"/>
    <w:rsid w:val="00663740"/>
    <w:rsid w:val="00663DD4"/>
    <w:rsid w:val="0066519B"/>
    <w:rsid w:val="00666CB6"/>
    <w:rsid w:val="00671A14"/>
    <w:rsid w:val="00672A9D"/>
    <w:rsid w:val="006752C8"/>
    <w:rsid w:val="0067728A"/>
    <w:rsid w:val="00681FD0"/>
    <w:rsid w:val="006828E2"/>
    <w:rsid w:val="00684ABE"/>
    <w:rsid w:val="00684CA2"/>
    <w:rsid w:val="006855F9"/>
    <w:rsid w:val="006859D0"/>
    <w:rsid w:val="006863FA"/>
    <w:rsid w:val="00686AD2"/>
    <w:rsid w:val="00687921"/>
    <w:rsid w:val="00691EF6"/>
    <w:rsid w:val="0069317D"/>
    <w:rsid w:val="00696A63"/>
    <w:rsid w:val="006970CC"/>
    <w:rsid w:val="00697A9A"/>
    <w:rsid w:val="006A0ABF"/>
    <w:rsid w:val="006A283F"/>
    <w:rsid w:val="006A6FB1"/>
    <w:rsid w:val="006B7B3E"/>
    <w:rsid w:val="006B7E31"/>
    <w:rsid w:val="006C13E6"/>
    <w:rsid w:val="006C2BFD"/>
    <w:rsid w:val="006C3C96"/>
    <w:rsid w:val="006C53E7"/>
    <w:rsid w:val="006C75DC"/>
    <w:rsid w:val="006C7DFB"/>
    <w:rsid w:val="006D0B8C"/>
    <w:rsid w:val="006D1A0E"/>
    <w:rsid w:val="006D25A2"/>
    <w:rsid w:val="006D41D4"/>
    <w:rsid w:val="006D4846"/>
    <w:rsid w:val="006D58F6"/>
    <w:rsid w:val="006D6D9F"/>
    <w:rsid w:val="006E1638"/>
    <w:rsid w:val="006E4BF9"/>
    <w:rsid w:val="006E7E86"/>
    <w:rsid w:val="006F0B40"/>
    <w:rsid w:val="006F1549"/>
    <w:rsid w:val="006F2E10"/>
    <w:rsid w:val="006F4BEC"/>
    <w:rsid w:val="006F5553"/>
    <w:rsid w:val="006F6D91"/>
    <w:rsid w:val="00702333"/>
    <w:rsid w:val="00706550"/>
    <w:rsid w:val="007156E2"/>
    <w:rsid w:val="00723CE6"/>
    <w:rsid w:val="00727BB5"/>
    <w:rsid w:val="007345DA"/>
    <w:rsid w:val="00734F06"/>
    <w:rsid w:val="0074444A"/>
    <w:rsid w:val="0074580E"/>
    <w:rsid w:val="007472E9"/>
    <w:rsid w:val="00747D70"/>
    <w:rsid w:val="00747FB1"/>
    <w:rsid w:val="007501FB"/>
    <w:rsid w:val="00751A6F"/>
    <w:rsid w:val="007562A5"/>
    <w:rsid w:val="0075751F"/>
    <w:rsid w:val="00761A2B"/>
    <w:rsid w:val="00762165"/>
    <w:rsid w:val="00763328"/>
    <w:rsid w:val="00766264"/>
    <w:rsid w:val="0077025C"/>
    <w:rsid w:val="007707B7"/>
    <w:rsid w:val="00771988"/>
    <w:rsid w:val="00774394"/>
    <w:rsid w:val="00776AEA"/>
    <w:rsid w:val="00780671"/>
    <w:rsid w:val="00782A93"/>
    <w:rsid w:val="00783CE7"/>
    <w:rsid w:val="00785B57"/>
    <w:rsid w:val="007926A4"/>
    <w:rsid w:val="007949DF"/>
    <w:rsid w:val="007A1EDF"/>
    <w:rsid w:val="007A2240"/>
    <w:rsid w:val="007A249F"/>
    <w:rsid w:val="007A38C0"/>
    <w:rsid w:val="007A4465"/>
    <w:rsid w:val="007A56A1"/>
    <w:rsid w:val="007B44B3"/>
    <w:rsid w:val="007B49BC"/>
    <w:rsid w:val="007B4E38"/>
    <w:rsid w:val="007B5A30"/>
    <w:rsid w:val="007B7833"/>
    <w:rsid w:val="007C0668"/>
    <w:rsid w:val="007C2057"/>
    <w:rsid w:val="007C26BC"/>
    <w:rsid w:val="007C37C7"/>
    <w:rsid w:val="007C462B"/>
    <w:rsid w:val="007C79EA"/>
    <w:rsid w:val="007D07C1"/>
    <w:rsid w:val="007D1098"/>
    <w:rsid w:val="007D40CF"/>
    <w:rsid w:val="007D6567"/>
    <w:rsid w:val="007D7251"/>
    <w:rsid w:val="007E34A9"/>
    <w:rsid w:val="007E38A7"/>
    <w:rsid w:val="007E5477"/>
    <w:rsid w:val="007F0F46"/>
    <w:rsid w:val="007F4EF6"/>
    <w:rsid w:val="007F73B1"/>
    <w:rsid w:val="0080218A"/>
    <w:rsid w:val="008074AC"/>
    <w:rsid w:val="00811BA5"/>
    <w:rsid w:val="00811DF4"/>
    <w:rsid w:val="0081292A"/>
    <w:rsid w:val="00814151"/>
    <w:rsid w:val="0081423B"/>
    <w:rsid w:val="00814300"/>
    <w:rsid w:val="00814477"/>
    <w:rsid w:val="00815D43"/>
    <w:rsid w:val="00820CD3"/>
    <w:rsid w:val="008218E2"/>
    <w:rsid w:val="008221EC"/>
    <w:rsid w:val="00826686"/>
    <w:rsid w:val="00826C85"/>
    <w:rsid w:val="00827BD8"/>
    <w:rsid w:val="0083325D"/>
    <w:rsid w:val="00837E89"/>
    <w:rsid w:val="00840E4D"/>
    <w:rsid w:val="0084167C"/>
    <w:rsid w:val="0084523A"/>
    <w:rsid w:val="00846019"/>
    <w:rsid w:val="00846D74"/>
    <w:rsid w:val="0084710F"/>
    <w:rsid w:val="008476CA"/>
    <w:rsid w:val="008502AF"/>
    <w:rsid w:val="008511CD"/>
    <w:rsid w:val="00852070"/>
    <w:rsid w:val="008526AB"/>
    <w:rsid w:val="008543DF"/>
    <w:rsid w:val="0085441F"/>
    <w:rsid w:val="00856571"/>
    <w:rsid w:val="008571CF"/>
    <w:rsid w:val="008572B5"/>
    <w:rsid w:val="00857311"/>
    <w:rsid w:val="008606A2"/>
    <w:rsid w:val="00860A7E"/>
    <w:rsid w:val="00861AF5"/>
    <w:rsid w:val="00862705"/>
    <w:rsid w:val="00865346"/>
    <w:rsid w:val="008718F2"/>
    <w:rsid w:val="00875CCC"/>
    <w:rsid w:val="008870AC"/>
    <w:rsid w:val="008907A2"/>
    <w:rsid w:val="00890F56"/>
    <w:rsid w:val="00891ACA"/>
    <w:rsid w:val="00891DA9"/>
    <w:rsid w:val="00892783"/>
    <w:rsid w:val="008944DF"/>
    <w:rsid w:val="0089697C"/>
    <w:rsid w:val="00896FA6"/>
    <w:rsid w:val="00897BAC"/>
    <w:rsid w:val="008A07F3"/>
    <w:rsid w:val="008A1BFB"/>
    <w:rsid w:val="008A336D"/>
    <w:rsid w:val="008A34E9"/>
    <w:rsid w:val="008A3C9B"/>
    <w:rsid w:val="008A6BC5"/>
    <w:rsid w:val="008A7A1A"/>
    <w:rsid w:val="008B05CE"/>
    <w:rsid w:val="008B0608"/>
    <w:rsid w:val="008B0AA8"/>
    <w:rsid w:val="008B14A7"/>
    <w:rsid w:val="008B5937"/>
    <w:rsid w:val="008B76D4"/>
    <w:rsid w:val="008C3160"/>
    <w:rsid w:val="008C4510"/>
    <w:rsid w:val="008D0506"/>
    <w:rsid w:val="008D176C"/>
    <w:rsid w:val="008D217F"/>
    <w:rsid w:val="008D2F41"/>
    <w:rsid w:val="008D347D"/>
    <w:rsid w:val="008D3B87"/>
    <w:rsid w:val="008D4484"/>
    <w:rsid w:val="008D6E2E"/>
    <w:rsid w:val="008E6146"/>
    <w:rsid w:val="008E7123"/>
    <w:rsid w:val="008F1DC6"/>
    <w:rsid w:val="008F4C24"/>
    <w:rsid w:val="008F6712"/>
    <w:rsid w:val="008F6B88"/>
    <w:rsid w:val="008F6EB7"/>
    <w:rsid w:val="00901D08"/>
    <w:rsid w:val="00904490"/>
    <w:rsid w:val="0090516C"/>
    <w:rsid w:val="00905C13"/>
    <w:rsid w:val="00905C7F"/>
    <w:rsid w:val="0090664E"/>
    <w:rsid w:val="00906EBD"/>
    <w:rsid w:val="0091096C"/>
    <w:rsid w:val="00911F7D"/>
    <w:rsid w:val="00917C96"/>
    <w:rsid w:val="009219AC"/>
    <w:rsid w:val="00922C0B"/>
    <w:rsid w:val="00922F32"/>
    <w:rsid w:val="00923136"/>
    <w:rsid w:val="0092509D"/>
    <w:rsid w:val="0092656D"/>
    <w:rsid w:val="0092674E"/>
    <w:rsid w:val="00933058"/>
    <w:rsid w:val="00934D87"/>
    <w:rsid w:val="00937F2C"/>
    <w:rsid w:val="009466B0"/>
    <w:rsid w:val="00947217"/>
    <w:rsid w:val="00947436"/>
    <w:rsid w:val="00951B3A"/>
    <w:rsid w:val="00955E04"/>
    <w:rsid w:val="009560B1"/>
    <w:rsid w:val="00956E73"/>
    <w:rsid w:val="00957C77"/>
    <w:rsid w:val="009707D9"/>
    <w:rsid w:val="00974CDB"/>
    <w:rsid w:val="00975128"/>
    <w:rsid w:val="00976248"/>
    <w:rsid w:val="0097649D"/>
    <w:rsid w:val="00976668"/>
    <w:rsid w:val="00976918"/>
    <w:rsid w:val="0098577C"/>
    <w:rsid w:val="0098582E"/>
    <w:rsid w:val="00985B2B"/>
    <w:rsid w:val="00986D2C"/>
    <w:rsid w:val="00994CC6"/>
    <w:rsid w:val="009967B4"/>
    <w:rsid w:val="0099743C"/>
    <w:rsid w:val="009A0CBC"/>
    <w:rsid w:val="009A486F"/>
    <w:rsid w:val="009A6A7C"/>
    <w:rsid w:val="009A7679"/>
    <w:rsid w:val="009A7D94"/>
    <w:rsid w:val="009B163D"/>
    <w:rsid w:val="009B228D"/>
    <w:rsid w:val="009B25A9"/>
    <w:rsid w:val="009B6C68"/>
    <w:rsid w:val="009C47A1"/>
    <w:rsid w:val="009C6745"/>
    <w:rsid w:val="009C7211"/>
    <w:rsid w:val="009C73F3"/>
    <w:rsid w:val="009C7A33"/>
    <w:rsid w:val="009D1186"/>
    <w:rsid w:val="009D1193"/>
    <w:rsid w:val="009D1FCE"/>
    <w:rsid w:val="009D39A1"/>
    <w:rsid w:val="009D4769"/>
    <w:rsid w:val="009D4BD0"/>
    <w:rsid w:val="009D50F4"/>
    <w:rsid w:val="009D59BC"/>
    <w:rsid w:val="009D7054"/>
    <w:rsid w:val="009D7158"/>
    <w:rsid w:val="009E0546"/>
    <w:rsid w:val="00A006E3"/>
    <w:rsid w:val="00A02782"/>
    <w:rsid w:val="00A03A18"/>
    <w:rsid w:val="00A04C87"/>
    <w:rsid w:val="00A06474"/>
    <w:rsid w:val="00A100C1"/>
    <w:rsid w:val="00A105FF"/>
    <w:rsid w:val="00A1076F"/>
    <w:rsid w:val="00A129CA"/>
    <w:rsid w:val="00A13964"/>
    <w:rsid w:val="00A14388"/>
    <w:rsid w:val="00A14B96"/>
    <w:rsid w:val="00A15459"/>
    <w:rsid w:val="00A16CA1"/>
    <w:rsid w:val="00A255C0"/>
    <w:rsid w:val="00A26FEB"/>
    <w:rsid w:val="00A304F2"/>
    <w:rsid w:val="00A323D1"/>
    <w:rsid w:val="00A41399"/>
    <w:rsid w:val="00A4390F"/>
    <w:rsid w:val="00A5223E"/>
    <w:rsid w:val="00A524DE"/>
    <w:rsid w:val="00A54429"/>
    <w:rsid w:val="00A555A8"/>
    <w:rsid w:val="00A55A84"/>
    <w:rsid w:val="00A57120"/>
    <w:rsid w:val="00A575E3"/>
    <w:rsid w:val="00A64A5B"/>
    <w:rsid w:val="00A65A04"/>
    <w:rsid w:val="00A66807"/>
    <w:rsid w:val="00A805EF"/>
    <w:rsid w:val="00A809A0"/>
    <w:rsid w:val="00A846DC"/>
    <w:rsid w:val="00A853D4"/>
    <w:rsid w:val="00A85614"/>
    <w:rsid w:val="00A85D7C"/>
    <w:rsid w:val="00A85ED0"/>
    <w:rsid w:val="00A87B66"/>
    <w:rsid w:val="00A90626"/>
    <w:rsid w:val="00A91EF2"/>
    <w:rsid w:val="00A9203A"/>
    <w:rsid w:val="00A9286E"/>
    <w:rsid w:val="00A963C3"/>
    <w:rsid w:val="00AB0F5C"/>
    <w:rsid w:val="00AB11A9"/>
    <w:rsid w:val="00AB2199"/>
    <w:rsid w:val="00AC1062"/>
    <w:rsid w:val="00AC2A82"/>
    <w:rsid w:val="00AC65D7"/>
    <w:rsid w:val="00AD003B"/>
    <w:rsid w:val="00AD0699"/>
    <w:rsid w:val="00AD51BE"/>
    <w:rsid w:val="00AD52E2"/>
    <w:rsid w:val="00AD620B"/>
    <w:rsid w:val="00AD641D"/>
    <w:rsid w:val="00AD6FC7"/>
    <w:rsid w:val="00AD74B0"/>
    <w:rsid w:val="00AD74B9"/>
    <w:rsid w:val="00AE04D5"/>
    <w:rsid w:val="00AE13C6"/>
    <w:rsid w:val="00AE2511"/>
    <w:rsid w:val="00AE3C11"/>
    <w:rsid w:val="00AE3C2D"/>
    <w:rsid w:val="00AE48A1"/>
    <w:rsid w:val="00AF0B59"/>
    <w:rsid w:val="00AF3F1D"/>
    <w:rsid w:val="00AF3F56"/>
    <w:rsid w:val="00AF5C7A"/>
    <w:rsid w:val="00AF72F5"/>
    <w:rsid w:val="00AF74BE"/>
    <w:rsid w:val="00AF754E"/>
    <w:rsid w:val="00B00CF6"/>
    <w:rsid w:val="00B0391C"/>
    <w:rsid w:val="00B129D8"/>
    <w:rsid w:val="00B22924"/>
    <w:rsid w:val="00B2565D"/>
    <w:rsid w:val="00B279D2"/>
    <w:rsid w:val="00B307D4"/>
    <w:rsid w:val="00B328C3"/>
    <w:rsid w:val="00B330C2"/>
    <w:rsid w:val="00B33D4B"/>
    <w:rsid w:val="00B37B0B"/>
    <w:rsid w:val="00B40358"/>
    <w:rsid w:val="00B4316E"/>
    <w:rsid w:val="00B44557"/>
    <w:rsid w:val="00B44FD9"/>
    <w:rsid w:val="00B5072F"/>
    <w:rsid w:val="00B5249A"/>
    <w:rsid w:val="00B6099A"/>
    <w:rsid w:val="00B6723D"/>
    <w:rsid w:val="00B70C11"/>
    <w:rsid w:val="00B739CA"/>
    <w:rsid w:val="00B763CE"/>
    <w:rsid w:val="00B76577"/>
    <w:rsid w:val="00B802F6"/>
    <w:rsid w:val="00B83248"/>
    <w:rsid w:val="00B84531"/>
    <w:rsid w:val="00B86B2B"/>
    <w:rsid w:val="00B879DB"/>
    <w:rsid w:val="00B90D67"/>
    <w:rsid w:val="00B93DB3"/>
    <w:rsid w:val="00B95B43"/>
    <w:rsid w:val="00BA162D"/>
    <w:rsid w:val="00BA28F5"/>
    <w:rsid w:val="00BA5196"/>
    <w:rsid w:val="00BA635C"/>
    <w:rsid w:val="00BA6ED9"/>
    <w:rsid w:val="00BB0FC3"/>
    <w:rsid w:val="00BB1950"/>
    <w:rsid w:val="00BB516F"/>
    <w:rsid w:val="00BB6C17"/>
    <w:rsid w:val="00BC64AF"/>
    <w:rsid w:val="00BC73F3"/>
    <w:rsid w:val="00BD13AB"/>
    <w:rsid w:val="00BD2FF1"/>
    <w:rsid w:val="00BD3F46"/>
    <w:rsid w:val="00BD449B"/>
    <w:rsid w:val="00BD5F5B"/>
    <w:rsid w:val="00BD6881"/>
    <w:rsid w:val="00BE466C"/>
    <w:rsid w:val="00BE7173"/>
    <w:rsid w:val="00BE7635"/>
    <w:rsid w:val="00BF0E1D"/>
    <w:rsid w:val="00BF1DD2"/>
    <w:rsid w:val="00BF78B6"/>
    <w:rsid w:val="00BF7EC6"/>
    <w:rsid w:val="00C00B4B"/>
    <w:rsid w:val="00C00D4B"/>
    <w:rsid w:val="00C051B2"/>
    <w:rsid w:val="00C0696F"/>
    <w:rsid w:val="00C06E95"/>
    <w:rsid w:val="00C10165"/>
    <w:rsid w:val="00C1062F"/>
    <w:rsid w:val="00C115FA"/>
    <w:rsid w:val="00C11AE1"/>
    <w:rsid w:val="00C153CA"/>
    <w:rsid w:val="00C15D27"/>
    <w:rsid w:val="00C160D5"/>
    <w:rsid w:val="00C16B08"/>
    <w:rsid w:val="00C16B4B"/>
    <w:rsid w:val="00C20493"/>
    <w:rsid w:val="00C22F0A"/>
    <w:rsid w:val="00C23EFE"/>
    <w:rsid w:val="00C247EB"/>
    <w:rsid w:val="00C25DAE"/>
    <w:rsid w:val="00C2739A"/>
    <w:rsid w:val="00C302DF"/>
    <w:rsid w:val="00C353B4"/>
    <w:rsid w:val="00C4025D"/>
    <w:rsid w:val="00C41A5A"/>
    <w:rsid w:val="00C42471"/>
    <w:rsid w:val="00C432DF"/>
    <w:rsid w:val="00C446DD"/>
    <w:rsid w:val="00C45FA3"/>
    <w:rsid w:val="00C50434"/>
    <w:rsid w:val="00C50450"/>
    <w:rsid w:val="00C627F8"/>
    <w:rsid w:val="00C63917"/>
    <w:rsid w:val="00C654AE"/>
    <w:rsid w:val="00C65517"/>
    <w:rsid w:val="00C65E2A"/>
    <w:rsid w:val="00C66072"/>
    <w:rsid w:val="00C824D6"/>
    <w:rsid w:val="00C82BAA"/>
    <w:rsid w:val="00C82E94"/>
    <w:rsid w:val="00C83AF8"/>
    <w:rsid w:val="00C83C40"/>
    <w:rsid w:val="00C86051"/>
    <w:rsid w:val="00C86DEE"/>
    <w:rsid w:val="00C86FA1"/>
    <w:rsid w:val="00C91912"/>
    <w:rsid w:val="00C93381"/>
    <w:rsid w:val="00C94693"/>
    <w:rsid w:val="00C96483"/>
    <w:rsid w:val="00C9710B"/>
    <w:rsid w:val="00C9757E"/>
    <w:rsid w:val="00CA0FD6"/>
    <w:rsid w:val="00CA3B0C"/>
    <w:rsid w:val="00CA6C14"/>
    <w:rsid w:val="00CB162D"/>
    <w:rsid w:val="00CB35C8"/>
    <w:rsid w:val="00CB5B8C"/>
    <w:rsid w:val="00CC0BF3"/>
    <w:rsid w:val="00CC239F"/>
    <w:rsid w:val="00CC252D"/>
    <w:rsid w:val="00CC6102"/>
    <w:rsid w:val="00CC76BF"/>
    <w:rsid w:val="00CD17ED"/>
    <w:rsid w:val="00CD20A0"/>
    <w:rsid w:val="00CD2392"/>
    <w:rsid w:val="00CD3518"/>
    <w:rsid w:val="00CD66A2"/>
    <w:rsid w:val="00CE0BAF"/>
    <w:rsid w:val="00CE15CD"/>
    <w:rsid w:val="00CE1C4E"/>
    <w:rsid w:val="00CE236B"/>
    <w:rsid w:val="00CE52F5"/>
    <w:rsid w:val="00CE7033"/>
    <w:rsid w:val="00CF4012"/>
    <w:rsid w:val="00D010F4"/>
    <w:rsid w:val="00D01775"/>
    <w:rsid w:val="00D043F7"/>
    <w:rsid w:val="00D06275"/>
    <w:rsid w:val="00D06563"/>
    <w:rsid w:val="00D07403"/>
    <w:rsid w:val="00D15BCC"/>
    <w:rsid w:val="00D15CB1"/>
    <w:rsid w:val="00D2066F"/>
    <w:rsid w:val="00D239EE"/>
    <w:rsid w:val="00D320B9"/>
    <w:rsid w:val="00D3608B"/>
    <w:rsid w:val="00D37E80"/>
    <w:rsid w:val="00D41307"/>
    <w:rsid w:val="00D42EC3"/>
    <w:rsid w:val="00D431E1"/>
    <w:rsid w:val="00D43364"/>
    <w:rsid w:val="00D44A9D"/>
    <w:rsid w:val="00D45A50"/>
    <w:rsid w:val="00D467B3"/>
    <w:rsid w:val="00D47655"/>
    <w:rsid w:val="00D53339"/>
    <w:rsid w:val="00D53CD9"/>
    <w:rsid w:val="00D54198"/>
    <w:rsid w:val="00D54528"/>
    <w:rsid w:val="00D55660"/>
    <w:rsid w:val="00D572BE"/>
    <w:rsid w:val="00D572C4"/>
    <w:rsid w:val="00D61008"/>
    <w:rsid w:val="00D661FD"/>
    <w:rsid w:val="00D7140F"/>
    <w:rsid w:val="00D72B54"/>
    <w:rsid w:val="00D74DDE"/>
    <w:rsid w:val="00D80371"/>
    <w:rsid w:val="00D808A5"/>
    <w:rsid w:val="00D829EB"/>
    <w:rsid w:val="00D859B7"/>
    <w:rsid w:val="00D86C5E"/>
    <w:rsid w:val="00D8779C"/>
    <w:rsid w:val="00D903BE"/>
    <w:rsid w:val="00D92C72"/>
    <w:rsid w:val="00D94DE2"/>
    <w:rsid w:val="00D96119"/>
    <w:rsid w:val="00D97ED4"/>
    <w:rsid w:val="00DA2316"/>
    <w:rsid w:val="00DA4FC5"/>
    <w:rsid w:val="00DB0812"/>
    <w:rsid w:val="00DB150D"/>
    <w:rsid w:val="00DB7927"/>
    <w:rsid w:val="00DC0A2D"/>
    <w:rsid w:val="00DC7BE3"/>
    <w:rsid w:val="00DD00AA"/>
    <w:rsid w:val="00DD0E8D"/>
    <w:rsid w:val="00DD1992"/>
    <w:rsid w:val="00DD1C73"/>
    <w:rsid w:val="00DD38CF"/>
    <w:rsid w:val="00DD63AB"/>
    <w:rsid w:val="00DE07A6"/>
    <w:rsid w:val="00DE237B"/>
    <w:rsid w:val="00DE391F"/>
    <w:rsid w:val="00DE4BC6"/>
    <w:rsid w:val="00DE5DBE"/>
    <w:rsid w:val="00DF0A48"/>
    <w:rsid w:val="00DF3A70"/>
    <w:rsid w:val="00DF6C4D"/>
    <w:rsid w:val="00E01B55"/>
    <w:rsid w:val="00E02BA7"/>
    <w:rsid w:val="00E04E5D"/>
    <w:rsid w:val="00E0642E"/>
    <w:rsid w:val="00E10693"/>
    <w:rsid w:val="00E127AF"/>
    <w:rsid w:val="00E1769B"/>
    <w:rsid w:val="00E2259C"/>
    <w:rsid w:val="00E248D4"/>
    <w:rsid w:val="00E24DBB"/>
    <w:rsid w:val="00E2716D"/>
    <w:rsid w:val="00E31242"/>
    <w:rsid w:val="00E3395E"/>
    <w:rsid w:val="00E367FA"/>
    <w:rsid w:val="00E4268F"/>
    <w:rsid w:val="00E44603"/>
    <w:rsid w:val="00E45C8B"/>
    <w:rsid w:val="00E46243"/>
    <w:rsid w:val="00E46A09"/>
    <w:rsid w:val="00E512BC"/>
    <w:rsid w:val="00E5360A"/>
    <w:rsid w:val="00E547B4"/>
    <w:rsid w:val="00E559B4"/>
    <w:rsid w:val="00E56EC8"/>
    <w:rsid w:val="00E623BD"/>
    <w:rsid w:val="00E71104"/>
    <w:rsid w:val="00E74DE9"/>
    <w:rsid w:val="00E767B3"/>
    <w:rsid w:val="00E772E8"/>
    <w:rsid w:val="00E77E1E"/>
    <w:rsid w:val="00E81B69"/>
    <w:rsid w:val="00E834BF"/>
    <w:rsid w:val="00E84F26"/>
    <w:rsid w:val="00E861BE"/>
    <w:rsid w:val="00E87854"/>
    <w:rsid w:val="00E87A03"/>
    <w:rsid w:val="00E90EF4"/>
    <w:rsid w:val="00E93466"/>
    <w:rsid w:val="00E94981"/>
    <w:rsid w:val="00E96539"/>
    <w:rsid w:val="00E97111"/>
    <w:rsid w:val="00E974D6"/>
    <w:rsid w:val="00EA0D16"/>
    <w:rsid w:val="00EA1A0D"/>
    <w:rsid w:val="00EA1DFB"/>
    <w:rsid w:val="00EA20B5"/>
    <w:rsid w:val="00EA299F"/>
    <w:rsid w:val="00EA3FFF"/>
    <w:rsid w:val="00EA4635"/>
    <w:rsid w:val="00EA5786"/>
    <w:rsid w:val="00EA65D6"/>
    <w:rsid w:val="00EA7794"/>
    <w:rsid w:val="00EB0E45"/>
    <w:rsid w:val="00EB3E8F"/>
    <w:rsid w:val="00EB59C5"/>
    <w:rsid w:val="00EB5CD5"/>
    <w:rsid w:val="00EC4404"/>
    <w:rsid w:val="00EC496A"/>
    <w:rsid w:val="00ED209C"/>
    <w:rsid w:val="00ED3D9E"/>
    <w:rsid w:val="00ED5BC9"/>
    <w:rsid w:val="00ED66D1"/>
    <w:rsid w:val="00ED70BE"/>
    <w:rsid w:val="00ED758B"/>
    <w:rsid w:val="00ED7B93"/>
    <w:rsid w:val="00EE03A2"/>
    <w:rsid w:val="00EE4ECD"/>
    <w:rsid w:val="00EE6635"/>
    <w:rsid w:val="00EE6B32"/>
    <w:rsid w:val="00EF2ED1"/>
    <w:rsid w:val="00EF48D0"/>
    <w:rsid w:val="00EF5E5C"/>
    <w:rsid w:val="00F0074C"/>
    <w:rsid w:val="00F0275C"/>
    <w:rsid w:val="00F02D40"/>
    <w:rsid w:val="00F02D72"/>
    <w:rsid w:val="00F03CC6"/>
    <w:rsid w:val="00F03E50"/>
    <w:rsid w:val="00F05571"/>
    <w:rsid w:val="00F072E2"/>
    <w:rsid w:val="00F130DA"/>
    <w:rsid w:val="00F21BD7"/>
    <w:rsid w:val="00F230C5"/>
    <w:rsid w:val="00F23D85"/>
    <w:rsid w:val="00F26C0B"/>
    <w:rsid w:val="00F33EBE"/>
    <w:rsid w:val="00F34A5D"/>
    <w:rsid w:val="00F34E6A"/>
    <w:rsid w:val="00F370D5"/>
    <w:rsid w:val="00F41268"/>
    <w:rsid w:val="00F4287E"/>
    <w:rsid w:val="00F429CC"/>
    <w:rsid w:val="00F4491D"/>
    <w:rsid w:val="00F46A63"/>
    <w:rsid w:val="00F51D19"/>
    <w:rsid w:val="00F54B4D"/>
    <w:rsid w:val="00F5791F"/>
    <w:rsid w:val="00F65E68"/>
    <w:rsid w:val="00F6693D"/>
    <w:rsid w:val="00F66E38"/>
    <w:rsid w:val="00F67464"/>
    <w:rsid w:val="00F73BA5"/>
    <w:rsid w:val="00F744BC"/>
    <w:rsid w:val="00F7503F"/>
    <w:rsid w:val="00F75E56"/>
    <w:rsid w:val="00F80902"/>
    <w:rsid w:val="00F84147"/>
    <w:rsid w:val="00F85CF8"/>
    <w:rsid w:val="00F86765"/>
    <w:rsid w:val="00F86E9D"/>
    <w:rsid w:val="00F87131"/>
    <w:rsid w:val="00F91479"/>
    <w:rsid w:val="00F916E8"/>
    <w:rsid w:val="00F91EE7"/>
    <w:rsid w:val="00F94981"/>
    <w:rsid w:val="00F9583C"/>
    <w:rsid w:val="00F95DB8"/>
    <w:rsid w:val="00F96729"/>
    <w:rsid w:val="00F97258"/>
    <w:rsid w:val="00FA19A7"/>
    <w:rsid w:val="00FA19DA"/>
    <w:rsid w:val="00FA5AE0"/>
    <w:rsid w:val="00FA5D5B"/>
    <w:rsid w:val="00FA6535"/>
    <w:rsid w:val="00FA6793"/>
    <w:rsid w:val="00FB0693"/>
    <w:rsid w:val="00FB1AE7"/>
    <w:rsid w:val="00FB20A0"/>
    <w:rsid w:val="00FB24B1"/>
    <w:rsid w:val="00FB265D"/>
    <w:rsid w:val="00FB7FEC"/>
    <w:rsid w:val="00FC09ED"/>
    <w:rsid w:val="00FC13C6"/>
    <w:rsid w:val="00FC38F1"/>
    <w:rsid w:val="00FD0B2E"/>
    <w:rsid w:val="00FD1E82"/>
    <w:rsid w:val="00FD3BA2"/>
    <w:rsid w:val="00FD4DDF"/>
    <w:rsid w:val="00FD5114"/>
    <w:rsid w:val="00FD66F4"/>
    <w:rsid w:val="00FD6EA4"/>
    <w:rsid w:val="00FD7147"/>
    <w:rsid w:val="00FE1330"/>
    <w:rsid w:val="00FE218F"/>
    <w:rsid w:val="00FE2870"/>
    <w:rsid w:val="00FE2DB2"/>
    <w:rsid w:val="00FE4B09"/>
    <w:rsid w:val="00FE4F63"/>
    <w:rsid w:val="00FE6125"/>
    <w:rsid w:val="00FE7AB8"/>
    <w:rsid w:val="00FF05E0"/>
    <w:rsid w:val="00FF1FDE"/>
    <w:rsid w:val="00FF2B28"/>
    <w:rsid w:val="00FF32F8"/>
    <w:rsid w:val="00FF458D"/>
    <w:rsid w:val="0236E0F8"/>
    <w:rsid w:val="03A74A54"/>
    <w:rsid w:val="061E5EBD"/>
    <w:rsid w:val="066C9B83"/>
    <w:rsid w:val="07123FA1"/>
    <w:rsid w:val="08232605"/>
    <w:rsid w:val="085E9B52"/>
    <w:rsid w:val="08968AC7"/>
    <w:rsid w:val="08EA87B4"/>
    <w:rsid w:val="096EF0D7"/>
    <w:rsid w:val="0B5EB00F"/>
    <w:rsid w:val="0BE5B0C4"/>
    <w:rsid w:val="0C84F521"/>
    <w:rsid w:val="0CA2AAB9"/>
    <w:rsid w:val="0D818125"/>
    <w:rsid w:val="0EAE1376"/>
    <w:rsid w:val="0EE0ABC9"/>
    <w:rsid w:val="0F3B2ABE"/>
    <w:rsid w:val="0FA9F368"/>
    <w:rsid w:val="0FCEEAA9"/>
    <w:rsid w:val="0FDB10AC"/>
    <w:rsid w:val="0FFAE25A"/>
    <w:rsid w:val="103E7BCD"/>
    <w:rsid w:val="10B13461"/>
    <w:rsid w:val="118DAAC1"/>
    <w:rsid w:val="11EA8CE7"/>
    <w:rsid w:val="12184C8B"/>
    <w:rsid w:val="12358D8C"/>
    <w:rsid w:val="12385559"/>
    <w:rsid w:val="148215FC"/>
    <w:rsid w:val="14E880B0"/>
    <w:rsid w:val="156B3574"/>
    <w:rsid w:val="15AA1530"/>
    <w:rsid w:val="15BB6C24"/>
    <w:rsid w:val="16094E38"/>
    <w:rsid w:val="166B8E56"/>
    <w:rsid w:val="16BA03AA"/>
    <w:rsid w:val="175DCB95"/>
    <w:rsid w:val="17C40C5A"/>
    <w:rsid w:val="188FE634"/>
    <w:rsid w:val="18905991"/>
    <w:rsid w:val="18D1BA95"/>
    <w:rsid w:val="19B00939"/>
    <w:rsid w:val="1B04E680"/>
    <w:rsid w:val="1B37E2B7"/>
    <w:rsid w:val="1B8B8B0A"/>
    <w:rsid w:val="1C096DAC"/>
    <w:rsid w:val="1C20E21D"/>
    <w:rsid w:val="1C4B8527"/>
    <w:rsid w:val="1C9DEC9F"/>
    <w:rsid w:val="1CDACFDA"/>
    <w:rsid w:val="1D31E9F4"/>
    <w:rsid w:val="1D4568A7"/>
    <w:rsid w:val="1E723F85"/>
    <w:rsid w:val="1E7CBBC6"/>
    <w:rsid w:val="1F46A443"/>
    <w:rsid w:val="200CAF70"/>
    <w:rsid w:val="2012709C"/>
    <w:rsid w:val="202E786C"/>
    <w:rsid w:val="203320DD"/>
    <w:rsid w:val="2035EA0A"/>
    <w:rsid w:val="20BB1955"/>
    <w:rsid w:val="22AD519D"/>
    <w:rsid w:val="2312A637"/>
    <w:rsid w:val="24C858AC"/>
    <w:rsid w:val="25C8DBD4"/>
    <w:rsid w:val="26312DDD"/>
    <w:rsid w:val="281921CB"/>
    <w:rsid w:val="2A0B9A8C"/>
    <w:rsid w:val="2A8084C6"/>
    <w:rsid w:val="2AB2A867"/>
    <w:rsid w:val="2BAB4016"/>
    <w:rsid w:val="2C23DEA3"/>
    <w:rsid w:val="2CD36A91"/>
    <w:rsid w:val="2CEC92EE"/>
    <w:rsid w:val="2D8503B4"/>
    <w:rsid w:val="2DC3E5A8"/>
    <w:rsid w:val="2E6F3AF2"/>
    <w:rsid w:val="2F5AD89D"/>
    <w:rsid w:val="30E2E34F"/>
    <w:rsid w:val="31C00411"/>
    <w:rsid w:val="32809F24"/>
    <w:rsid w:val="32A5A9E3"/>
    <w:rsid w:val="331C4C70"/>
    <w:rsid w:val="3338A099"/>
    <w:rsid w:val="34AF8028"/>
    <w:rsid w:val="34F7A4D3"/>
    <w:rsid w:val="352A1765"/>
    <w:rsid w:val="35447FD0"/>
    <w:rsid w:val="35CB1C67"/>
    <w:rsid w:val="37727080"/>
    <w:rsid w:val="382F4595"/>
    <w:rsid w:val="38620B78"/>
    <w:rsid w:val="39965DBF"/>
    <w:rsid w:val="39D114DB"/>
    <w:rsid w:val="39D22E97"/>
    <w:rsid w:val="3B45C0BB"/>
    <w:rsid w:val="3C3EA9CE"/>
    <w:rsid w:val="3C69A240"/>
    <w:rsid w:val="3D02B6B8"/>
    <w:rsid w:val="3D599D3A"/>
    <w:rsid w:val="3DB69FD4"/>
    <w:rsid w:val="3F46FFAC"/>
    <w:rsid w:val="3F65E7D3"/>
    <w:rsid w:val="3FF69C90"/>
    <w:rsid w:val="400FD2D7"/>
    <w:rsid w:val="401F1273"/>
    <w:rsid w:val="4114F14A"/>
    <w:rsid w:val="4121404C"/>
    <w:rsid w:val="4164180C"/>
    <w:rsid w:val="41E76B9A"/>
    <w:rsid w:val="420D0E51"/>
    <w:rsid w:val="44315F22"/>
    <w:rsid w:val="4471A3C9"/>
    <w:rsid w:val="44F99F6A"/>
    <w:rsid w:val="45F6CFC5"/>
    <w:rsid w:val="46BCDFB6"/>
    <w:rsid w:val="471A4A07"/>
    <w:rsid w:val="471D3731"/>
    <w:rsid w:val="479081D0"/>
    <w:rsid w:val="4AAD0DD6"/>
    <w:rsid w:val="4AC7BCF0"/>
    <w:rsid w:val="4B30E30E"/>
    <w:rsid w:val="4BCC9E14"/>
    <w:rsid w:val="4E0393AD"/>
    <w:rsid w:val="4E7DD1AF"/>
    <w:rsid w:val="4EDA7061"/>
    <w:rsid w:val="4F4DDB5A"/>
    <w:rsid w:val="500A717B"/>
    <w:rsid w:val="504B31B5"/>
    <w:rsid w:val="5119DB03"/>
    <w:rsid w:val="513A6E9E"/>
    <w:rsid w:val="51E49C83"/>
    <w:rsid w:val="524302DA"/>
    <w:rsid w:val="526C356A"/>
    <w:rsid w:val="534C7B29"/>
    <w:rsid w:val="539B9762"/>
    <w:rsid w:val="54517BC5"/>
    <w:rsid w:val="55488299"/>
    <w:rsid w:val="5598D8D1"/>
    <w:rsid w:val="55ED4C26"/>
    <w:rsid w:val="5602593B"/>
    <w:rsid w:val="567197F3"/>
    <w:rsid w:val="57AE2D7E"/>
    <w:rsid w:val="58A7F3A8"/>
    <w:rsid w:val="58CC3672"/>
    <w:rsid w:val="590B4A5F"/>
    <w:rsid w:val="59128ED6"/>
    <w:rsid w:val="594E1401"/>
    <w:rsid w:val="59D33712"/>
    <w:rsid w:val="59F5D4CC"/>
    <w:rsid w:val="5A0E5AD8"/>
    <w:rsid w:val="5A313149"/>
    <w:rsid w:val="5AE5CE40"/>
    <w:rsid w:val="5BAC92B6"/>
    <w:rsid w:val="5BB8E0F2"/>
    <w:rsid w:val="5C5E2BD9"/>
    <w:rsid w:val="5CF65244"/>
    <w:rsid w:val="5D55393A"/>
    <w:rsid w:val="5E8A5549"/>
    <w:rsid w:val="5EA9F72E"/>
    <w:rsid w:val="6045C78F"/>
    <w:rsid w:val="611BD715"/>
    <w:rsid w:val="623B4E27"/>
    <w:rsid w:val="647E879B"/>
    <w:rsid w:val="6480C7EC"/>
    <w:rsid w:val="65A38B37"/>
    <w:rsid w:val="6763FB1E"/>
    <w:rsid w:val="67FC30AD"/>
    <w:rsid w:val="681E21CC"/>
    <w:rsid w:val="6954390F"/>
    <w:rsid w:val="69578D98"/>
    <w:rsid w:val="6DE5DD61"/>
    <w:rsid w:val="6E1F0328"/>
    <w:rsid w:val="6E27AA32"/>
    <w:rsid w:val="6E3735D2"/>
    <w:rsid w:val="6ECF30E1"/>
    <w:rsid w:val="6F8EC25C"/>
    <w:rsid w:val="6FFA6871"/>
    <w:rsid w:val="701A291B"/>
    <w:rsid w:val="70512432"/>
    <w:rsid w:val="7239E58A"/>
    <w:rsid w:val="725AB691"/>
    <w:rsid w:val="728929D3"/>
    <w:rsid w:val="735EB82E"/>
    <w:rsid w:val="73840F88"/>
    <w:rsid w:val="73B606C8"/>
    <w:rsid w:val="73C0EE44"/>
    <w:rsid w:val="73CDC865"/>
    <w:rsid w:val="74A7F10D"/>
    <w:rsid w:val="7571864C"/>
    <w:rsid w:val="77193F47"/>
    <w:rsid w:val="77263735"/>
    <w:rsid w:val="779F57D9"/>
    <w:rsid w:val="799840F6"/>
    <w:rsid w:val="7A373176"/>
    <w:rsid w:val="7A81B89A"/>
    <w:rsid w:val="7B272DC7"/>
    <w:rsid w:val="7BBD3608"/>
    <w:rsid w:val="7E2F3866"/>
    <w:rsid w:val="7EB6D8C1"/>
    <w:rsid w:val="7EBABB16"/>
    <w:rsid w:val="7F24512C"/>
    <w:rsid w:val="7F7F48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8BF96EC8-A311-4E89-A20A-7919D7EE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uiPriority="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94F"/>
    <w:pPr>
      <w:spacing w:after="200" w:line="276" w:lineRule="auto"/>
    </w:pPr>
    <w:rPr>
      <w:sz w:val="24"/>
      <w:szCs w:val="22"/>
    </w:rPr>
  </w:style>
  <w:style w:type="paragraph" w:styleId="Heading1">
    <w:name w:val="heading 1"/>
    <w:basedOn w:val="Normal"/>
    <w:next w:val="Normal"/>
    <w:link w:val="Heading1Char"/>
    <w:autoRedefine/>
    <w:uiPriority w:val="9"/>
    <w:qFormat/>
    <w:rsid w:val="00244805"/>
    <w:pPr>
      <w:keepNext/>
      <w:numPr>
        <w:numId w:val="3"/>
      </w:numPr>
      <w:spacing w:after="0"/>
      <w:ind w:hanging="720"/>
      <w:contextualSpacing/>
      <w:outlineLvl w:val="0"/>
    </w:pPr>
    <w:rPr>
      <w:rFonts w:ascii="Avenir Next LT Pro Light" w:hAnsi="Avenir Next LT Pro Light" w:eastAsia="Times New Roman"/>
      <w:b/>
      <w:bCs/>
      <w:color w:val="000000" w:themeColor="text1"/>
      <w:kern w:val="32"/>
      <w:sz w:val="2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styleId="Heading1Char" w:customStyle="1">
    <w:name w:val="Heading 1 Char"/>
    <w:link w:val="Heading1"/>
    <w:uiPriority w:val="9"/>
    <w:rsid w:val="00244805"/>
    <w:rPr>
      <w:rFonts w:ascii="Avenir Next LT Pro Light" w:hAnsi="Avenir Next LT Pro Light" w:eastAsia="Times New Roman"/>
      <w:b/>
      <w:bCs/>
      <w:color w:val="000000" w:themeColor="text1"/>
      <w:kern w:val="32"/>
      <w:sz w:val="22"/>
      <w:szCs w:val="22"/>
    </w:rPr>
  </w:style>
  <w:style w:type="character" w:styleId="Heading2Char" w:customStyle="1">
    <w:name w:val="Heading 2 Char"/>
    <w:link w:val="Heading2"/>
    <w:uiPriority w:val="9"/>
    <w:rsid w:val="00367412"/>
    <w:rPr>
      <w:rFonts w:ascii="Calibri" w:hAnsi="Calibri" w:eastAsia="Times New Roman"/>
      <w:b/>
      <w:bCs/>
      <w:i/>
      <w:iCs/>
      <w:sz w:val="28"/>
      <w:szCs w:val="28"/>
    </w:rPr>
  </w:style>
  <w:style w:type="character" w:styleId="Heading3Char" w:customStyle="1">
    <w:name w:val="Heading 3 Char"/>
    <w:link w:val="Heading3"/>
    <w:uiPriority w:val="9"/>
    <w:rsid w:val="00367412"/>
    <w:rPr>
      <w:rFonts w:ascii="Calibri" w:hAnsi="Calibri" w:eastAsia="Times New Roman"/>
      <w:b/>
      <w:bCs/>
      <w:sz w:val="26"/>
      <w:szCs w:val="26"/>
    </w:rPr>
  </w:style>
  <w:style w:type="character" w:styleId="Heading4Char" w:customStyle="1">
    <w:name w:val="Heading 4 Char"/>
    <w:link w:val="Heading4"/>
    <w:uiPriority w:val="9"/>
    <w:rsid w:val="00ED3D9E"/>
    <w:rPr>
      <w:rFonts w:ascii="Calibri" w:hAnsi="Calibri" w:eastAsia="Times New Roman" w:cs="Times New Roman"/>
      <w:b/>
      <w:bCs/>
      <w:sz w:val="28"/>
      <w:szCs w:val="28"/>
    </w:rPr>
  </w:style>
  <w:style w:type="table" w:styleId="TableGrid">
    <w:name w:val="Table Grid"/>
    <w:aliases w:val="DARPA_SOW"/>
    <w:basedOn w:val="TableNormal"/>
    <w:uiPriority w:val="59"/>
    <w:rsid w:val="003A674D"/>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styleId="TitleChar" w:customStyle="1">
    <w:name w:val="Title Char"/>
    <w:link w:val="Title"/>
    <w:uiPriority w:val="10"/>
    <w:rsid w:val="00367412"/>
    <w:rPr>
      <w:rFonts w:ascii="Calibri" w:hAnsi="Calibri" w:eastAsia="Times New Roman"/>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styleId="HeaderChar" w:customStyle="1">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styleId="FooterChar" w:customStyle="1">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outlineLvl w:val="9"/>
    </w:pPr>
    <w:rPr>
      <w:color w:val="365F91"/>
      <w:kern w:val="0"/>
      <w:sz w:val="28"/>
      <w:szCs w:val="28"/>
    </w:rPr>
  </w:style>
  <w:style w:type="paragraph" w:styleId="TOC1">
    <w:name w:val="toc 1"/>
    <w:basedOn w:val="BodyText"/>
    <w:next w:val="BodyText"/>
    <w:autoRedefine/>
    <w:uiPriority w:val="39"/>
    <w:unhideWhenUsed/>
    <w:rsid w:val="005B37DD"/>
    <w:pPr>
      <w:tabs>
        <w:tab w:val="left" w:pos="480"/>
        <w:tab w:val="right" w:leader="dot" w:pos="9350"/>
      </w:tabs>
    </w:pPr>
    <w:rPr>
      <w:rFonts w:ascii="Times New Roman" w:hAnsi="Times New Roman"/>
      <w:b/>
      <w:noProof/>
      <w:color w:val="000000" w:themeColor="text1"/>
    </w:rPr>
  </w:style>
  <w:style w:type="character" w:styleId="Hyperlink">
    <w:name w:val="Hyperlink"/>
    <w:uiPriority w:val="99"/>
    <w:unhideWhenUsed/>
    <w:qFormat/>
    <w:rsid w:val="00F130DA"/>
    <w:rPr>
      <w:color w:val="0000FF"/>
      <w:u w:val="single"/>
    </w:rPr>
  </w:style>
  <w:style w:type="character" w:styleId="ProposalRequirements" w:customStyle="1">
    <w:name w:val="ProposalRequirements"/>
    <w:qFormat/>
    <w:rsid w:val="00F130DA"/>
    <w:rPr>
      <w:i/>
      <w:iCs/>
      <w:color w:val="00B050"/>
    </w:rPr>
  </w:style>
  <w:style w:type="paragraph" w:styleId="TOC2">
    <w:name w:val="toc 2"/>
    <w:basedOn w:val="BodyText"/>
    <w:next w:val="BodyText"/>
    <w:autoRedefine/>
    <w:uiPriority w:val="39"/>
    <w:unhideWhenUsed/>
    <w:rsid w:val="00E94981"/>
    <w:pPr>
      <w:tabs>
        <w:tab w:val="left" w:pos="720"/>
        <w:tab w:val="right" w:leader="dot" w:pos="9350"/>
      </w:tabs>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Pr>
    <w:tcPr>
      <w:tcBorders>
        <w:top w:val="single" w:color="9BBB59" w:sz="8" w:space="0"/>
        <w:left w:val="single" w:color="9BBB59" w:sz="8" w:space="0"/>
        <w:bottom w:val="single" w:color="9BBB59" w:sz="8" w:space="0"/>
        <w:right w:val="single" w:color="9BBB59" w:sz="8" w:space="0"/>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style>
  <w:style w:type="table" w:styleId="LightList-Accent11" w:customStyle="1">
    <w:name w:val="Light List - Accent 11"/>
    <w:basedOn w:val="TableNormal"/>
    <w:uiPriority w:val="61"/>
    <w:rsid w:val="00F4287E"/>
    <w:tblPr>
      <w:tblStyleRowBandSize w:val="1"/>
      <w:tblStyleColBandSize w:val="1"/>
    </w:tblPr>
    <w:tcPr>
      <w:tcBorders>
        <w:top w:val="single" w:color="4F81BD" w:sz="8" w:space="0"/>
        <w:left w:val="single" w:color="4F81BD" w:sz="8" w:space="0"/>
        <w:bottom w:val="single" w:color="4F81BD" w:sz="8" w:space="0"/>
        <w:right w:val="single" w:color="4F81BD" w:sz="8" w:space="0"/>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style>
  <w:style w:type="paragraph" w:styleId="TableHeading" w:customStyle="1">
    <w:name w:val="Table_Heading"/>
    <w:basedOn w:val="NoSpacing"/>
    <w:rsid w:val="003A674D"/>
    <w:pPr>
      <w:jc w:val="center"/>
    </w:pPr>
    <w:rPr>
      <w:rFonts w:eastAsia="Times New Roman"/>
      <w:b/>
      <w:bCs/>
      <w:szCs w:val="20"/>
    </w:rPr>
  </w:style>
  <w:style w:type="paragraph" w:styleId="TableText" w:customStyle="1">
    <w:name w:val="Table_Text"/>
    <w:basedOn w:val="NoSpacing"/>
    <w:rsid w:val="008074AC"/>
    <w:rPr>
      <w:sz w:val="20"/>
    </w:rPr>
  </w:style>
  <w:style w:type="character" w:styleId="ProposalRequirementsTable" w:customStyle="1">
    <w:name w:val="ProposalRequirements_Table"/>
    <w:rsid w:val="008074AC"/>
    <w:rPr>
      <w:i/>
      <w:iCs/>
      <w:color w:val="00B050"/>
      <w:sz w:val="20"/>
    </w:rPr>
  </w:style>
  <w:style w:type="paragraph" w:styleId="TabeTextCenteredBold" w:customStyle="1">
    <w:name w:val="Tabe_Text_Centered_Bold"/>
    <w:basedOn w:val="TableText"/>
    <w:next w:val="TableText"/>
    <w:rsid w:val="008074AC"/>
    <w:pPr>
      <w:jc w:val="center"/>
    </w:pPr>
    <w:rPr>
      <w:rFonts w:eastAsia="Times New Roman"/>
      <w:szCs w:val="20"/>
    </w:rPr>
  </w:style>
  <w:style w:type="paragraph" w:styleId="TableTextCenteredBold" w:customStyle="1">
    <w:name w:val="Table_Text_Centered_Bold"/>
    <w:basedOn w:val="TableText"/>
    <w:next w:val="TableText"/>
    <w:rsid w:val="008074AC"/>
    <w:pPr>
      <w:jc w:val="center"/>
    </w:pPr>
    <w:rPr>
      <w:rFonts w:eastAsia="Times New Roman"/>
      <w:b/>
      <w:bCs/>
      <w:szCs w:val="20"/>
    </w:rPr>
  </w:style>
  <w:style w:type="paragraph" w:styleId="TableTextLeftBold" w:customStyle="1">
    <w:name w:val="Table_Text_Left_Bold"/>
    <w:basedOn w:val="TableText"/>
    <w:next w:val="TableText"/>
    <w:rsid w:val="008074AC"/>
    <w:rPr>
      <w:b/>
      <w:bCs/>
    </w:rPr>
  </w:style>
  <w:style w:type="paragraph" w:styleId="TableText0" w:customStyle="1">
    <w:name w:val="TableText"/>
    <w:basedOn w:val="NoSpacing"/>
    <w:rsid w:val="008074AC"/>
    <w:rPr>
      <w:sz w:val="20"/>
    </w:rPr>
  </w:style>
  <w:style w:type="paragraph" w:styleId="Default" w:customStyle="1">
    <w:name w:val="Default"/>
    <w:rsid w:val="008218E2"/>
    <w:pPr>
      <w:autoSpaceDE w:val="0"/>
      <w:autoSpaceDN w:val="0"/>
      <w:adjustRightInd w:val="0"/>
    </w:pPr>
    <w:rPr>
      <w:rFonts w:cs="Calibri"/>
      <w:color w:val="000000"/>
      <w:sz w:val="24"/>
      <w:szCs w:val="24"/>
    </w:rPr>
  </w:style>
  <w:style w:type="paragraph" w:styleId="TableText8pt" w:customStyle="1">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styleId="CrossRefs" w:customStyle="1">
    <w:name w:val="CrossRefs"/>
    <w:uiPriority w:val="1"/>
    <w:qFormat/>
    <w:rsid w:val="006F6D91"/>
    <w:rPr>
      <w:color w:val="0070C0"/>
      <w:u w:val="single"/>
    </w:rPr>
  </w:style>
  <w:style w:type="character" w:styleId="StyleBlueUnderline" w:customStyle="1">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styleId="StyleBold" w:customStyle="1">
    <w:name w:val="Style Bold"/>
    <w:rsid w:val="00DE5DBE"/>
    <w:rPr>
      <w:b/>
      <w:bCs/>
    </w:rPr>
  </w:style>
  <w:style w:type="numbering" w:styleId="StyleBulletedGreen" w:customStyle="1">
    <w:name w:val="Style Bulleted Green"/>
    <w:basedOn w:val="NoList"/>
    <w:rsid w:val="00DE5DBE"/>
    <w:pPr>
      <w:numPr>
        <w:numId w:val="4"/>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styleId="SubtitleChar" w:customStyle="1">
    <w:name w:val="Subtitle Char"/>
    <w:link w:val="Subtitle"/>
    <w:uiPriority w:val="11"/>
    <w:rsid w:val="00367412"/>
    <w:rPr>
      <w:rFonts w:ascii="Calibri" w:hAnsi="Calibri" w:eastAsia="Times New Roman" w:cs="Times New Roman"/>
      <w:sz w:val="24"/>
      <w:szCs w:val="24"/>
    </w:rPr>
  </w:style>
  <w:style w:type="paragraph" w:styleId="TitleNoOutline" w:customStyle="1">
    <w:name w:val="Title_No_Outline"/>
    <w:basedOn w:val="BodyText"/>
    <w:next w:val="BodyText"/>
    <w:qFormat/>
    <w:rsid w:val="007D6567"/>
    <w:pPr>
      <w:spacing w:before="240" w:after="60"/>
      <w:jc w:val="center"/>
    </w:pPr>
    <w:rPr>
      <w:b/>
      <w:sz w:val="32"/>
    </w:rPr>
  </w:style>
  <w:style w:type="paragraph" w:styleId="SubtitleNoOutline" w:customStyle="1">
    <w:name w:val="Subtitle_No_Outline"/>
    <w:basedOn w:val="TitleNoOutline"/>
    <w:next w:val="BodyText"/>
    <w:qFormat/>
    <w:rsid w:val="007D6567"/>
    <w:rPr>
      <w:b w:val="0"/>
      <w:sz w:val="28"/>
    </w:rPr>
  </w:style>
  <w:style w:type="paragraph" w:styleId="BodyText" w:customStyle="1">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styleId="Heading3NoOutline" w:customStyle="1">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styleId="CommentTextChar" w:customStyle="1">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styleId="CommentSubjectChar" w:customStyle="1">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hAnsi="Times New Roman" w:eastAsia="Times New Roman"/>
      <w:szCs w:val="24"/>
    </w:rPr>
  </w:style>
  <w:style w:type="table" w:styleId="TableGrid1" w:customStyle="1">
    <w:name w:val="Table Grid1"/>
    <w:basedOn w:val="TableNormal"/>
    <w:next w:val="TableGrid"/>
    <w:rsid w:val="00D859B7"/>
    <w:rPr>
      <w:rFonts w:ascii="Times New Roman" w:hAnsi="Times New Roman" w:eastAsia="Times New Roman"/>
      <w:sz w:val="24"/>
      <w:szCs w:val="24"/>
    </w:rPr>
    <w:tblPr/>
  </w:style>
  <w:style w:type="paragraph" w:styleId="FootnoteText">
    <w:name w:val="footnote text"/>
    <w:basedOn w:val="Normal"/>
    <w:link w:val="FootnoteTextChar"/>
    <w:uiPriority w:val="99"/>
    <w:rsid w:val="00417800"/>
    <w:pPr>
      <w:spacing w:after="0" w:line="240" w:lineRule="auto"/>
    </w:pPr>
    <w:rPr>
      <w:rFonts w:ascii="Times New Roman" w:hAnsi="Times New Roman" w:eastAsia="Times New Roman"/>
      <w:sz w:val="20"/>
      <w:szCs w:val="20"/>
    </w:rPr>
  </w:style>
  <w:style w:type="character" w:styleId="FootnoteTextChar" w:customStyle="1">
    <w:name w:val="Footnote Text Char"/>
    <w:basedOn w:val="DefaultParagraphFont"/>
    <w:link w:val="FootnoteText"/>
    <w:uiPriority w:val="99"/>
    <w:rsid w:val="00417800"/>
    <w:rPr>
      <w:rFonts w:ascii="Times New Roman" w:hAnsi="Times New Roman" w:eastAsia="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hAnsi="Times New Roman" w:eastAsia="Times New Roman"/>
    </w:rPr>
    <w:tblPr>
      <w:tblStyleRowBandSize w:val="1"/>
    </w:tblPr>
    <w:tcPr>
      <w:tcBorders>
        <w:top w:val="single" w:color="000000" w:sz="6" w:space="0"/>
      </w:tcBorders>
      <w:shd w:val="solid" w:color="C0C0C0" w:fill="FFFFFF"/>
    </w:tc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color="auto" w:sz="0" w:space="0"/>
          <w:tr2bl w:val="none" w:color="auto" w:sz="0" w:space="0"/>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styleId="EndnoteTextChar" w:customStyle="1">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paragraph" w:styleId="PlainText">
    <w:name w:val="Plain Text"/>
    <w:basedOn w:val="Normal"/>
    <w:link w:val="PlainTextChar"/>
    <w:uiPriority w:val="99"/>
    <w:unhideWhenUsed/>
    <w:rsid w:val="00233F8C"/>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233F8C"/>
    <w:rPr>
      <w:rFonts w:ascii="Consolas" w:hAnsi="Consolas"/>
      <w:sz w:val="21"/>
      <w:szCs w:val="21"/>
    </w:rPr>
  </w:style>
  <w:style w:type="character" w:styleId="ListParagraphChar" w:customStyle="1">
    <w:name w:val="List Paragraph Char"/>
    <w:basedOn w:val="DefaultParagraphFont"/>
    <w:link w:val="ListParagraph"/>
    <w:uiPriority w:val="34"/>
    <w:rsid w:val="001014EA"/>
    <w:rPr>
      <w:sz w:val="24"/>
      <w:szCs w:val="22"/>
    </w:rPr>
  </w:style>
  <w:style w:type="paragraph" w:styleId="BodyText0">
    <w:name w:val="Body Text"/>
    <w:basedOn w:val="Normal"/>
    <w:link w:val="BodyTextChar"/>
    <w:uiPriority w:val="1"/>
    <w:qFormat/>
    <w:rsid w:val="004F3556"/>
    <w:pPr>
      <w:widowControl w:val="0"/>
      <w:autoSpaceDE w:val="0"/>
      <w:autoSpaceDN w:val="0"/>
      <w:spacing w:after="0" w:line="240" w:lineRule="auto"/>
    </w:pPr>
    <w:rPr>
      <w:rFonts w:ascii="Times New Roman" w:hAnsi="Times New Roman" w:eastAsia="Times New Roman"/>
      <w:szCs w:val="24"/>
    </w:rPr>
  </w:style>
  <w:style w:type="character" w:styleId="BodyTextChar" w:customStyle="1">
    <w:name w:val="Body Text Char"/>
    <w:basedOn w:val="DefaultParagraphFont"/>
    <w:link w:val="BodyText0"/>
    <w:uiPriority w:val="1"/>
    <w:rsid w:val="004F3556"/>
    <w:rPr>
      <w:rFonts w:ascii="Times New Roman" w:hAnsi="Times New Roman" w:eastAsia="Times New Roman"/>
      <w:sz w:val="24"/>
      <w:szCs w:val="24"/>
    </w:rPr>
  </w:style>
  <w:style w:type="character" w:styleId="UnresolvedMention">
    <w:name w:val="Unresolved Mention"/>
    <w:basedOn w:val="DefaultParagraphFont"/>
    <w:uiPriority w:val="99"/>
    <w:semiHidden/>
    <w:unhideWhenUsed/>
    <w:rsid w:val="006F0B40"/>
    <w:rPr>
      <w:color w:val="605E5C"/>
      <w:shd w:val="clear" w:color="auto" w:fill="E1DFDD"/>
    </w:rPr>
  </w:style>
  <w:style w:type="character" w:styleId="IntenseReference">
    <w:name w:val="Intense Reference"/>
    <w:basedOn w:val="DefaultParagraphFont"/>
    <w:uiPriority w:val="32"/>
    <w:qFormat/>
    <w:rsid w:val="000F3D82"/>
    <w:rPr>
      <w:b/>
      <w:bCs/>
      <w:smallCaps/>
      <w:color w:val="4F81BD" w:themeColor="accent1"/>
      <w:spacing w:val="5"/>
    </w:rPr>
  </w:style>
  <w:style w:type="character" w:styleId="Mention">
    <w:name w:val="Mention"/>
    <w:basedOn w:val="DefaultParagraphFont"/>
    <w:uiPriority w:val="99"/>
    <w:unhideWhenUsed/>
    <w:rsid w:val="0005056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992207">
      <w:bodyDiv w:val="1"/>
      <w:marLeft w:val="0"/>
      <w:marRight w:val="0"/>
      <w:marTop w:val="0"/>
      <w:marBottom w:val="0"/>
      <w:divBdr>
        <w:top w:val="none" w:sz="0" w:space="0" w:color="auto"/>
        <w:left w:val="none" w:sz="0" w:space="0" w:color="auto"/>
        <w:bottom w:val="none" w:sz="0" w:space="0" w:color="auto"/>
        <w:right w:val="none" w:sz="0" w:space="0" w:color="auto"/>
      </w:divBdr>
    </w:div>
    <w:div w:id="119218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Relationships xmlns="http://schemas.openxmlformats.org/package/2006/relationships"><Relationship Type="http://schemas.openxmlformats.org/officeDocument/2006/relationships/webSettings" Target="webSettings.xml" Id="rId8"/><Relationship Type="http://schemas.openxmlformats.org/officeDocument/2006/relationships/footer" Target="footer2.xml" Id="rId13"/><Relationship Type="http://schemas.openxmlformats.org/officeDocument/2006/relationships/footer" Target="footer3.xml" Id="rId18"/><Relationship Type="http://schemas.openxmlformats.org/officeDocument/2006/relationships/customXml" Target="../customXml/item3.xml" Id="rId3"/><Relationship Type="http://schemas.openxmlformats.org/officeDocument/2006/relationships/theme" Target="theme/theme1.xml" Id="rId21"/><Relationship Type="http://schemas.openxmlformats.org/officeDocument/2006/relationships/settings" Target="settings.xml" Id="rId7"/><Relationship Type="http://schemas.openxmlformats.org/officeDocument/2006/relationships/footer" Target="footer1.xml" Id="rId12"/><Relationship Type="http://schemas.openxmlformats.org/officeDocument/2006/relationships/customXml" Target="../customXml/item2.xml" Id="rId2"/><Relationship Type="http://schemas.microsoft.com/office/2016/09/relationships/commentsIds" Target="commentsIds.xml" Id="rId16"/><Relationship Type="http://schemas.microsoft.com/office/2011/relationships/people" Target="people.xml" Id="rId20"/><Relationship Type="http://schemas.openxmlformats.org/officeDocument/2006/relationships/customXml" Target="../customXml/item1.xml" Id="rId1"/><Relationship Type="http://schemas.openxmlformats.org/officeDocument/2006/relationships/styles" Target="styles.xml" Id="rId6"/><Relationship Type="http://schemas.openxmlformats.org/officeDocument/2006/relationships/header" Target="header1.xml" Id="rId11"/><Relationship Type="http://schemas.openxmlformats.org/officeDocument/2006/relationships/numbering" Target="numbering.xml" Id="rId5"/><Relationship Type="http://schemas.microsoft.com/office/2011/relationships/commentsExtended" Target="commentsExtended.xml" Id="rId15"/><Relationship Type="http://schemas.openxmlformats.org/officeDocument/2006/relationships/endnotes" Target="endnotes.xml" Id="rId10"/><Relationship Type="http://schemas.openxmlformats.org/officeDocument/2006/relationships/fontTable" Target="fontTable.xml" Id="rId19"/><Relationship Type="http://schemas.openxmlformats.org/officeDocument/2006/relationships/customXml" Target="../customXml/item4.xml" Id="rId4"/><Relationship Type="http://schemas.openxmlformats.org/officeDocument/2006/relationships/footnotes" Target="footnotes.xml" Id="rId9"/><Relationship Id="rId22" Type="http://schemas.openxmlformats.org/officeDocument/2006/relationships/comments" Target="comments.xml"/><Relationship Id="rId23" Type="http://schemas.microsoft.com/office/2011/relationships/commentsExtended" Target="commentsExtended.xml"/><Relationship Id="rId24" Type="http://schemas.microsoft.com/office/2016/09/relationships/commentsIds" Target="commentsIds.xml"/><Relationship Id="rId2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E651D6-1FEB-4DD2-87ED-681E54A41D87}">
  <ds:schemaRefs>
    <ds:schemaRef ds:uri="http://schemas.microsoft.com/sharepoint/v3/contenttype/forms"/>
  </ds:schemaRefs>
</ds:datastoreItem>
</file>

<file path=customXml/itemProps2.xml><?xml version="1.0" encoding="utf-8"?>
<ds:datastoreItem xmlns:ds="http://schemas.openxmlformats.org/officeDocument/2006/customXml" ds:itemID="{5306C570-20E4-4626-B006-16E6FB5DBF4A}">
  <ds:schemaRefs>
    <ds:schemaRef ds:uri="http://schemas.microsoft.com/office/2006/metadata/properties"/>
    <ds:schemaRef ds:uri="http://schemas.microsoft.com/office/infopath/2007/PartnerControls"/>
    <ds:schemaRef ds:uri="9a96d420-221f-4e9d-95ed-cff15f2d7ad9"/>
  </ds:schemaRefs>
</ds:datastoreItem>
</file>

<file path=customXml/itemProps3.xml><?xml version="1.0" encoding="utf-8"?>
<ds:datastoreItem xmlns:ds="http://schemas.openxmlformats.org/officeDocument/2006/customXml" ds:itemID="{A5256512-014A-4240-B077-B7AD189F58DD}">
  <ds:schemaRefs>
    <ds:schemaRef ds:uri="http://schemas.openxmlformats.org/officeDocument/2006/bibliography"/>
  </ds:schemaRefs>
</ds:datastoreItem>
</file>

<file path=customXml/itemProps4.xml><?xml version="1.0" encoding="utf-8"?>
<ds:datastoreItem xmlns:ds="http://schemas.openxmlformats.org/officeDocument/2006/customXml" ds:itemID="{B87293D0-2195-451D-A87E-4DB327140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Wyle Information Systems - DARPA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mheneberry</dc:creator>
  <keywords/>
  <lastModifiedBy>Latrice Lyles (ARPA-H) [CTR]</lastModifiedBy>
  <revision>8</revision>
  <lastPrinted>2018-04-17T22:34:00.0000000Z</lastPrinted>
  <dcterms:created xsi:type="dcterms:W3CDTF">2026-05-04T13:50:00.0000000Z</dcterms:created>
  <dcterms:modified xsi:type="dcterms:W3CDTF">2026-05-05T19:48:40.1921252Z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Order">
    <vt:r8>13100600</vt:r8>
  </property>
  <property fmtid="{D5CDD505-2E9C-101B-9397-08002B2CF9AE}" pid="5" name="docLang">
    <vt:lpwstr>en</vt:lpwstr>
  </property>
</Properties>
</file>