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40e07fba6fa2b50bf97d5487c4c8b92d6cd5df3"/>
    <w:p>
      <w:pPr>
        <w:pStyle w:val="Heading1"/>
      </w:pPr>
      <w:r>
        <w:t xml:space="preserve">ARPA-H IGoR at a glance: program, technical areas, and our team</w:t>
      </w:r>
    </w:p>
    <w:p>
      <w:pPr>
        <w:pStyle w:val="FirstParagraph"/>
      </w:pPr>
      <w:r>
        <w:rPr>
          <w:b/>
          <w:bCs/>
        </w:rPr>
        <w:t xml:space="preserve">A skim-friendly briefing for collaborators new to the program.</w:t>
      </w:r>
      <w:r>
        <w:t xml:space="preserve"> </w:t>
      </w:r>
      <w:r>
        <w:t xml:space="preserve">Contact: Shahin Mohammadi, Cytognosis Foundation, mohammadi@cytognosis.org.</w:t>
      </w:r>
    </w:p>
    <w:bookmarkStart w:id="9" w:name="the-overall-goal"/>
    <w:p>
      <w:pPr>
        <w:pStyle w:val="Heading2"/>
      </w:pPr>
      <w:r>
        <w:t xml:space="preserve">The overall goal</w:t>
      </w:r>
    </w:p>
    <w:p>
      <w:pPr>
        <w:pStyle w:val="FirstParagraph"/>
      </w:pPr>
      <w:r>
        <w:rPr>
          <w:b/>
          <w:bCs/>
        </w:rPr>
        <w:t xml:space="preserve">IGoR</w:t>
      </w:r>
      <w:r>
        <w:t xml:space="preserve"> </w:t>
      </w:r>
      <w:r>
        <w:t xml:space="preserve">(Integrated Generation of Robust biomedical knowledge; ARPA-H-SOL-26-155) will fund about</w:t>
      </w:r>
      <w:r>
        <w:t xml:space="preserve"> </w:t>
      </w:r>
      <w:r>
        <w:rPr>
          <w:b/>
          <w:bCs/>
        </w:rPr>
        <w:t xml:space="preserve">three teams</w:t>
      </w:r>
      <w:r>
        <w:t xml:space="preserve"> </w:t>
      </w:r>
      <w:r>
        <w:t xml:space="preserve">to build a</w:t>
      </w:r>
      <w:r>
        <w:t xml:space="preserve"> </w:t>
      </w:r>
      <w:r>
        <w:rPr>
          <w:b/>
          <w:bCs/>
        </w:rPr>
        <w:t xml:space="preserve">closed loop</w:t>
      </w:r>
      <w:r>
        <w:t xml:space="preserve"> </w:t>
      </w:r>
      <w:r>
        <w:t xml:space="preserve">that produces validated biomedical knowledge at least</w:t>
      </w:r>
      <w:r>
        <w:t xml:space="preserve"> </w:t>
      </w:r>
      <w:r>
        <w:rPr>
          <w:b/>
          <w:bCs/>
        </w:rPr>
        <w:t xml:space="preserve">10x faster</w:t>
      </w:r>
      <w:r>
        <w:t xml:space="preserve"> </w:t>
      </w:r>
      <w:r>
        <w:t xml:space="preserve">than today. Instead of one-off studies, a model predicts, an AI engine designs the next experiment, validated labs run it, and the results flow straight back into the model.</w:t>
      </w:r>
    </w:p>
    <w:p>
      <w:pPr>
        <w:pStyle w:val="BodyText"/>
      </w:pPr>
      <w:r>
        <w:rPr>
          <w:b/>
          <w:bCs/>
        </w:rPr>
        <w:t xml:space="preserve">The loop:</w:t>
      </w:r>
      <w:r>
        <w:t xml:space="preserve"> </w:t>
      </w:r>
      <w:r>
        <w:rPr>
          <w:b/>
          <w:bCs/>
        </w:rPr>
        <w:t xml:space="preserve">TA1</w:t>
      </w:r>
      <w:r>
        <w:t xml:space="preserve"> </w:t>
      </w:r>
      <w:r>
        <w:t xml:space="preserve">model →</w:t>
      </w:r>
      <w:r>
        <w:t xml:space="preserve"> </w:t>
      </w:r>
      <w:r>
        <w:rPr>
          <w:b/>
          <w:bCs/>
        </w:rPr>
        <w:t xml:space="preserve">TA2</w:t>
      </w:r>
      <w:r>
        <w:t xml:space="preserve"> </w:t>
      </w:r>
      <w:r>
        <w:t xml:space="preserve">designs the highest-value experiment →</w:t>
      </w:r>
      <w:r>
        <w:t xml:space="preserve"> </w:t>
      </w:r>
      <w:r>
        <w:rPr>
          <w:b/>
          <w:bCs/>
        </w:rPr>
        <w:t xml:space="preserve">TA3</w:t>
      </w:r>
      <w:r>
        <w:t xml:space="preserve"> </w:t>
      </w:r>
      <w:r>
        <w:t xml:space="preserve">portable protocol →</w:t>
      </w:r>
      <w:r>
        <w:t xml:space="preserve"> </w:t>
      </w:r>
      <w:r>
        <w:rPr>
          <w:b/>
          <w:bCs/>
        </w:rPr>
        <w:t xml:space="preserve">TA4</w:t>
      </w:r>
      <w:r>
        <w:t xml:space="preserve"> </w:t>
      </w:r>
      <w:r>
        <w:t xml:space="preserve">validated labs execute → model-ready data back to</w:t>
      </w:r>
      <w:r>
        <w:t xml:space="preserve"> </w:t>
      </w:r>
      <w:r>
        <w:rPr>
          <w:b/>
          <w:bCs/>
        </w:rPr>
        <w:t xml:space="preserve">TA1</w:t>
      </w:r>
      <w:r>
        <w:t xml:space="preserve">.</w:t>
      </w:r>
    </w:p>
    <w:bookmarkEnd w:id="9"/>
    <w:bookmarkStart w:id="10" w:name="the-four-technical-areas"/>
    <w:p>
      <w:pPr>
        <w:pStyle w:val="Heading2"/>
      </w:pPr>
      <w:r>
        <w:t xml:space="preserve">The four Technical Areas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</w:t>
            </w:r>
          </w:p>
        </w:tc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Core objectives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TA1, Comprehensive disease models</w:t>
            </w:r>
          </w:p>
        </w:tc>
        <w:tc>
          <w:tcPr/>
          <w:p>
            <w:pPr>
              <w:pStyle w:val="Compact"/>
            </w:pPr>
            <w:r>
              <w:t xml:space="preserve">A mechanistic, multiscale, causal model of a disease that updates as new data arrive</w:t>
            </w:r>
          </w:p>
        </w:tc>
        <w:tc>
          <w:tcPr/>
          <w:p>
            <w:pPr>
              <w:pStyle w:val="Compact"/>
            </w:pPr>
            <w:r>
              <w:t xml:space="preserve">Capture molecular-to-phenotype causality; quantify its own uncertainty; ingest new results automatically rather than being rebuilt by hand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TA2, New Science Engine</w:t>
            </w:r>
          </w:p>
        </w:tc>
        <w:tc>
          <w:tcPr/>
          <w:p>
            <w:pPr>
              <w:pStyle w:val="Compact"/>
            </w:pPr>
            <w:r>
              <w:t xml:space="preserve">An AI system that designs the highest-value next experiment by interrogating the model (not just the literature)</w:t>
            </w:r>
          </w:p>
        </w:tc>
        <w:tc>
          <w:tcPr/>
          <w:p>
            <w:pPr>
              <w:pStyle w:val="Compact"/>
            </w:pPr>
            <w:r>
              <w:t xml:space="preserve">Rank candidate experiments by value of information; generate and tournament testable hypotheses; pre-screen designs by simulation. Explicitly not a wrapper around a single language model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TA3, Interoperable experimental procedures</w:t>
            </w:r>
          </w:p>
        </w:tc>
        <w:tc>
          <w:tcPr/>
          <w:p>
            <w:pPr>
              <w:pStyle w:val="Compact"/>
            </w:pPr>
            <w:r>
              <w:t xml:space="preserve">Open, portable protocols so an experiment transfers between labs as easily as a data file</w:t>
            </w:r>
          </w:p>
        </w:tc>
        <w:tc>
          <w:tcPr/>
          <w:p>
            <w:pPr>
              <w:pStyle w:val="Compact"/>
            </w:pPr>
            <w:r>
              <w:t xml:space="preserve">Machine-readable protocol plus execution record and provenance; specialize one protocol out to many instruments and labs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TA4, Experiment marketplace</w:t>
            </w:r>
          </w:p>
        </w:tc>
        <w:tc>
          <w:tcPr/>
          <w:p>
            <w:pPr>
              <w:pStyle w:val="Compact"/>
            </w:pPr>
            <w:r>
              <w:t xml:space="preserve">A set of validated laboratories that execute protocols and return model-ready data</w:t>
            </w:r>
          </w:p>
        </w:tc>
        <w:tc>
          <w:tcPr/>
          <w:p>
            <w:pPr>
              <w:pStyle w:val="Compact"/>
            </w:pPr>
            <w:r>
              <w:t xml:space="preserve">At least two labs; multiple measurement modalities; demonstrated cross-laboratory reproducibility</w:t>
            </w:r>
          </w:p>
        </w:tc>
      </w:tr>
    </w:tbl>
    <w:bookmarkEnd w:id="10"/>
    <w:bookmarkStart w:id="11" w:name="X59bf24e3b90477dcf5932987315abf41f3241a4"/>
    <w:p>
      <w:pPr>
        <w:pStyle w:val="Heading2"/>
      </w:pPr>
      <w:r>
        <w:t xml:space="preserve">The interfaces (the seams that make the loop work)</w:t>
      </w:r>
    </w:p>
    <w:p>
      <w:pPr>
        <w:pStyle w:val="FirstParagraph"/>
      </w:pPr>
      <w:r>
        <w:t xml:space="preserve">These hand-offs, not just the four areas, are what IGoR rewards: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TA1 to TA2:</w:t>
      </w:r>
      <w:r>
        <w:t xml:space="preserve"> </w:t>
      </w:r>
      <w:r>
        <w:t xml:space="preserve">the model exposes its uncertain parameters and conflicting edges; the engine targets exactly those.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TA2 to TA3:</w:t>
      </w:r>
      <w:r>
        <w:t xml:space="preserve"> </w:t>
      </w:r>
      <w:r>
        <w:t xml:space="preserve">the chosen experiment compiles into a portable, scheduled, machine-readable protocol.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TA3 to TA4:</w:t>
      </w:r>
      <w:r>
        <w:t xml:space="preserve"> </w:t>
      </w:r>
      <w:r>
        <w:t xml:space="preserve">the same protocol executes consistently across different validated laboratories.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TA4 to TA1:</w:t>
      </w:r>
      <w:r>
        <w:t xml:space="preserve"> </w:t>
      </w:r>
      <w:r>
        <w:t xml:space="preserve">results are ingested automatically and update the model, closing the loop and starting the next, faster cycle.</w:t>
      </w:r>
    </w:p>
    <w:bookmarkEnd w:id="11"/>
    <w:bookmarkStart w:id="12" w:name="program-structure-and-timeline"/>
    <w:p>
      <w:pPr>
        <w:pStyle w:val="Heading2"/>
      </w:pPr>
      <w:r>
        <w:t xml:space="preserve">Program structure and timeline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About five years, three phases</w:t>
      </w:r>
      <w:r>
        <w:t xml:space="preserve"> </w:t>
      </w:r>
      <w:r>
        <w:t xml:space="preserve">(roughly</w:t>
      </w:r>
      <w:r>
        <w:t xml:space="preserve"> </w:t>
      </w:r>
      <w:r>
        <w:rPr>
          <w:b/>
          <w:bCs/>
        </w:rPr>
        <w:t xml:space="preserve">18, 18, and 24 months</w:t>
      </w:r>
      <w:r>
        <w:t xml:space="preserve">), each phase-gated on quantitative milestones.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Marquee milestones:</w:t>
      </w:r>
      <w:r>
        <w:t xml:space="preserve"> </w:t>
      </w:r>
      <w:r>
        <w:t xml:space="preserve">experimental cycle time at least</w:t>
      </w:r>
      <w:r>
        <w:t xml:space="preserve"> </w:t>
      </w:r>
      <w:r>
        <w:rPr>
          <w:b/>
          <w:bCs/>
        </w:rPr>
        <w:t xml:space="preserve">4x</w:t>
      </w:r>
      <w:r>
        <w:t xml:space="preserve"> </w:t>
      </w:r>
      <w:r>
        <w:t xml:space="preserve">faster by Phase II and</w:t>
      </w:r>
      <w:r>
        <w:t xml:space="preserve"> </w:t>
      </w:r>
      <w:r>
        <w:rPr>
          <w:b/>
          <w:bCs/>
        </w:rPr>
        <w:t xml:space="preserve">10x</w:t>
      </w:r>
      <w:r>
        <w:t xml:space="preserve"> </w:t>
      </w:r>
      <w:r>
        <w:t xml:space="preserve">by Phase III; cross-laboratory concordance rising from about</w:t>
      </w:r>
      <w:r>
        <w:t xml:space="preserve"> </w:t>
      </w:r>
      <w:r>
        <w:rPr>
          <w:b/>
          <w:bCs/>
        </w:rPr>
        <w:t xml:space="preserve">80% to 90%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Funded through an</w:t>
      </w:r>
      <w:r>
        <w:t xml:space="preserve"> </w:t>
      </w:r>
      <w:r>
        <w:rPr>
          <w:b/>
          <w:bCs/>
        </w:rPr>
        <w:t xml:space="preserve">Other Transaction (OT) agreement</w:t>
      </w:r>
      <w:r>
        <w:t xml:space="preserve">, which is more flexible than a standard federal grant on intellectual property and data rights.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Selection:</w:t>
      </w:r>
      <w:r>
        <w:t xml:space="preserve"> </w:t>
      </w:r>
      <w:r>
        <w:t xml:space="preserve">a short</w:t>
      </w:r>
      <w:r>
        <w:t xml:space="preserve"> </w:t>
      </w:r>
      <w:r>
        <w:rPr>
          <w:b/>
          <w:bCs/>
        </w:rPr>
        <w:t xml:space="preserve">Solution Summary</w:t>
      </w:r>
      <w:r>
        <w:t xml:space="preserve"> </w:t>
      </w:r>
      <w:r>
        <w:t xml:space="preserve">first, then a full proposal.</w:t>
      </w:r>
      <w:r>
        <w:t xml:space="preserve"> </w:t>
      </w:r>
      <w:r>
        <w:rPr>
          <w:b/>
          <w:bCs/>
        </w:rPr>
        <w:t xml:space="preserve">Solution Summary due June 25, 2026; full proposal early August 2026.</w:t>
      </w:r>
    </w:p>
    <w:bookmarkEnd w:id="12"/>
    <w:bookmarkStart w:id="13" w:name="our-team-and-lead-psychigor"/>
    <w:p>
      <w:pPr>
        <w:pStyle w:val="Heading2"/>
      </w:pPr>
      <w:r>
        <w:t xml:space="preserve">Our team and lead: PsychIGoR</w:t>
      </w:r>
    </w:p>
    <w:p>
      <w:pPr>
        <w:pStyle w:val="FirstParagraph"/>
      </w:pPr>
      <w:r>
        <w:t xml:space="preserve">We propose as</w:t>
      </w:r>
      <w:r>
        <w:t xml:space="preserve"> </w:t>
      </w:r>
      <w:r>
        <w:rPr>
          <w:b/>
          <w:bCs/>
        </w:rPr>
        <w:t xml:space="preserve">Team PsychIGoR</w:t>
      </w:r>
      <w:r>
        <w:t xml:space="preserve"> </w:t>
      </w:r>
      <w:r>
        <w:t xml:space="preserve">(psychiatry plus IGoR), reflecting our psychiatric-disease pilot.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Who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Prime and Principal Investigator</w:t>
            </w:r>
          </w:p>
        </w:tc>
        <w:tc>
          <w:tcPr/>
          <w:p>
            <w:pPr>
              <w:pStyle w:val="Compact"/>
            </w:pPr>
            <w:r>
              <w:t xml:space="preserve">IPAI, Purdue University; Ananth 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TA1 and TA2 co-leads (disease model, AI engine)</w:t>
            </w:r>
          </w:p>
        </w:tc>
        <w:tc>
          <w:tcPr/>
          <w:p>
            <w:pPr>
              <w:pStyle w:val="Compact"/>
            </w:pPr>
            <w:r>
              <w:t xml:space="preserve">Cytognosis Foundation (Shahin Mohammadi, sub-awardee) and IPAI, Purdue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Clinical and translational</w:t>
            </w:r>
          </w:p>
        </w:tc>
        <w:tc>
          <w:tcPr/>
          <w:p>
            <w:pPr>
              <w:pStyle w:val="Compact"/>
            </w:pPr>
            <w:r>
              <w:t xml:space="preserve">W. Brad Ruzicka, McLean Hospital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 academic experimental arm</w:t>
            </w:r>
          </w:p>
        </w:tc>
        <w:tc>
          <w:tcPr/>
          <w:p>
            <w:pPr>
              <w:pStyle w:val="Compact"/>
            </w:pPr>
            <w:r>
              <w:t xml:space="preserve">Matt Tegtmeyer lab, Purdue (iPSC-neuron wet-lab experiments; fixed-cell high-plex readouts: RNA ~350-plex, protein ~50-plex, Cell-Painting-style morphology, in-situ CRISPR-guide sequencing)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 industry arm</w:t>
            </w:r>
          </w:p>
        </w:tc>
        <w:tc>
          <w:tcPr/>
          <w:p>
            <w:pPr>
              <w:pStyle w:val="Compact"/>
            </w:pPr>
            <w:r>
              <w:t xml:space="preserve">Cellanome (live-cell imaging, same-cell scRNA-seq, Perturb-LINK CRISPR; advancing)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Computational morphology and imaging models</w:t>
            </w:r>
          </w:p>
        </w:tc>
        <w:tc>
          <w:tcPr/>
          <w:p>
            <w:pPr>
              <w:pStyle w:val="Compact"/>
            </w:pPr>
            <w:r>
              <w:t xml:space="preserve">Anne Carpenter (IPAI/Purdue; interpretable models; no wet bench)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Patricia Purcell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 and systems architect</w:t>
            </w:r>
          </w:p>
        </w:tc>
        <w:tc>
          <w:tcPr/>
          <w:p>
            <w:pPr>
              <w:pStyle w:val="Compact"/>
            </w:pPr>
            <w:r>
              <w:t xml:space="preserve">Elham Jebalbarezi Sarbijan, IPAI/Purdue (tentative)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TA3 interoperable protocols</w:t>
            </w:r>
          </w:p>
        </w:tc>
        <w:tc>
          <w:tcPr/>
          <w:p>
            <w:pPr>
              <w:pStyle w:val="Compact"/>
            </w:pPr>
            <w:r>
              <w:t xml:space="preserve">SIFT; Daniel Bryce (lead), Robert Goldman (advisory)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TA4.2 sequencing and bioinformatics</w:t>
            </w:r>
          </w:p>
        </w:tc>
        <w:tc>
          <w:tcPr/>
          <w:p>
            <w:pPr>
              <w:pStyle w:val="Compact"/>
            </w:pPr>
            <w:r>
              <w:t xml:space="preserve">Illumina (optional / TBD)</w:t>
            </w:r>
          </w:p>
        </w:tc>
      </w:tr>
    </w:tbl>
    <w:p>
      <w:pPr>
        <w:pStyle w:val="BodyText"/>
      </w:pPr>
      <w:r>
        <w:rPr>
          <w:b/>
          <w:bCs/>
        </w:rPr>
        <w:t xml:space="preserve">Our pilot.</w:t>
      </w:r>
      <w:r>
        <w:t xml:space="preserve"> </w:t>
      </w:r>
      <w:r>
        <w:t xml:space="preserve">Psychiatric disease (</w:t>
      </w:r>
      <w:r>
        <w:rPr>
          <w:b/>
          <w:bCs/>
        </w:rPr>
        <w:t xml:space="preserve">schizophrenia, extending to bipolar disorder</w:t>
      </w:r>
      <w:r>
        <w:t xml:space="preserve">), grounded in</w:t>
      </w:r>
      <w:r>
        <w:t xml:space="preserve"> </w:t>
      </w:r>
      <w:r>
        <w:rPr>
          <w:b/>
          <w:bCs/>
        </w:rPr>
        <w:t xml:space="preserve">penetrant genetic forms</w:t>
      </w:r>
      <w:r>
        <w:t xml:space="preserve"> </w:t>
      </w:r>
      <w:r>
        <w:t xml:space="preserve">(such as the</w:t>
      </w:r>
      <w:r>
        <w:t xml:space="preserve"> </w:t>
      </w:r>
      <w:r>
        <w:rPr>
          <w:b/>
          <w:bCs/>
        </w:rPr>
        <w:t xml:space="preserve">22q11.2 deletion</w:t>
      </w:r>
      <w:r>
        <w:t xml:space="preserve">) modeled in</w:t>
      </w:r>
      <w:r>
        <w:t xml:space="preserve"> </w:t>
      </w:r>
      <w:r>
        <w:rPr>
          <w:b/>
          <w:bCs/>
        </w:rPr>
        <w:t xml:space="preserve">iPSC-derived neurons</w:t>
      </w:r>
      <w:r>
        <w:t xml:space="preserve">, read out by</w:t>
      </w:r>
      <w:r>
        <w:t xml:space="preserve"> </w:t>
      </w:r>
      <w:r>
        <w:rPr>
          <w:b/>
          <w:bCs/>
        </w:rPr>
        <w:t xml:space="preserve">transcriptomics, morphology, and single-cell calcium imaging</w:t>
      </w:r>
      <w:r>
        <w:t xml:space="preserve">. Penetrant genetics give the closed loop strong, causal, in-dish signal to learn from.</w:t>
      </w:r>
    </w:p>
    <w:p>
      <w:pPr>
        <w:pStyle w:val="BodyText"/>
      </w:pPr>
      <w:r>
        <w:rPr>
          <w:b/>
          <w:bCs/>
        </w:rPr>
        <w:t xml:space="preserve">TA4 structure.</w:t>
      </w:r>
      <w:r>
        <w:t xml:space="preserve"> </w:t>
      </w:r>
      <w:r>
        <w:t xml:space="preserve">Two experimental arms satisfy the program’s requirement of at least two validated laboratories. The academic arm is Matt Tegtmeyer’s Purdue lab, which runs all wet-lab experiments using fixed-cell high-plex readouts (RNA ~350-plex, protein ~50-plex, Cell-Painting-style morphology, in-situ CRISPR-guide sequencing). The industry arm is Cellanome, providing live-cell imaging and same-cell scRNA-seq on the R3200. Anne Carpenter contributes computational morphology and imaging models as the common analysis layer across both arms; she does not operate a wet bench.</w:t>
      </w:r>
    </w:p>
    <w:p>
      <w:pPr>
        <w:pStyle w:val="BodyText"/>
      </w:pPr>
      <w:r>
        <w:rPr>
          <w:b/>
          <w:bCs/>
        </w:rPr>
        <w:t xml:space="preserve">What we are assembling.</w:t>
      </w:r>
      <w:r>
        <w:t xml:space="preserve"> </w:t>
      </w:r>
      <w:r>
        <w:t xml:space="preserve">TA3 interoperable protocols and the TA4 validated-laboratory team, with real budget attached.</w:t>
      </w:r>
    </w:p>
    <w:p>
      <w:pPr>
        <w:pStyle w:val="BodyText"/>
      </w:pPr>
      <w:r>
        <w:rPr>
          <w:b/>
          <w:bCs/>
        </w:rPr>
        <w:t xml:space="preserve">Contact.</w:t>
      </w:r>
      <w:r>
        <w:t xml:space="preserve"> </w:t>
      </w:r>
      <w:r>
        <w:t xml:space="preserve">Shahin Mohammadi, Cytognosis Foundation, mohammadi@cytognosis.org.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2026-06-19T20:09:37Z</dcterms:created>
  <dcterms:modified xsi:type="dcterms:W3CDTF">2026-06-19T20:09:37Z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