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acbb4d9dc550117b69ed228e5e29e41b7ecaec"/>
    <w:p>
      <w:pPr>
        <w:pStyle w:val="Heading1"/>
      </w:pPr>
      <w:r>
        <w:t xml:space="preserve">Team PsychIGoR for ARPA-H IGoR: the science, who we are seeking, and logistics</w:t>
      </w:r>
    </w:p>
    <w:p>
      <w:pPr>
        <w:pStyle w:val="FirstParagraph"/>
      </w:pPr>
      <w:r>
        <w:rPr>
          <w:b/>
          <w:bCs/>
        </w:rPr>
        <w:t xml:space="preserve">For Ananth. Internal alignment ahead of partner outreach. Not for distribution.</w:t>
      </w:r>
      <w:r>
        <w:t xml:space="preserve"> </w:t>
      </w:r>
      <w:r>
        <w:t xml:space="preserve">Updated 2026-06-14.</w:t>
      </w:r>
    </w:p>
    <w:bookmarkStart w:id="9" w:name="the-science-we-are-proposing"/>
    <w:p>
      <w:pPr>
        <w:pStyle w:val="Heading2"/>
      </w:pPr>
      <w:r>
        <w:t xml:space="preserve">The science we are proposing</w:t>
      </w:r>
    </w:p>
    <w:p>
      <w:pPr>
        <w:pStyle w:val="FirstParagraph"/>
      </w:pPr>
      <w:r>
        <w:rPr>
          <w:b/>
          <w:bCs/>
        </w:rPr>
        <w:t xml:space="preserve">Thesis.</w:t>
      </w:r>
      <w:r>
        <w:t xml:space="preserve"> </w:t>
      </w:r>
      <w:r>
        <w:t xml:space="preserve">Treat</w:t>
      </w:r>
      <w:r>
        <w:t xml:space="preserve"> </w:t>
      </w:r>
      <w:r>
        <w:rPr>
          <w:b/>
          <w:bCs/>
        </w:rPr>
        <w:t xml:space="preserve">disease-associated genetic variation as a causal soft intervention</w:t>
      </w:r>
      <w:r>
        <w:t xml:space="preserve"> </w:t>
      </w:r>
      <w:r>
        <w:t xml:space="preserve">on cell state, and learn a model that separates disease from treatment. This makes the disease model causal and updatable, not correlational, which is exactly what IGoR’s closed loop needs.</w:t>
      </w:r>
    </w:p>
    <w:p>
      <w:pPr>
        <w:pStyle w:val="BodyText"/>
      </w:pPr>
      <w:r>
        <w:rPr>
          <w:b/>
          <w:bCs/>
        </w:rPr>
        <w:t xml:space="preserve">TA1, comprehensive disease models (our core, in-house).</w:t>
      </w:r>
      <w:r>
        <w:t xml:space="preserve"> </w:t>
      </w:r>
      <w:r>
        <w:t xml:space="preserve">Four pillars: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Paired clinical and cellular modeling.</w:t>
      </w:r>
      <w:r>
        <w:t xml:space="preserve"> </w:t>
      </w:r>
      <w:r>
        <w:t xml:space="preserve">Isogenic iPSC pairs and patient clinical cohorts live in</w:t>
      </w:r>
      <w:r>
        <w:t xml:space="preserve"> </w:t>
      </w:r>
      <w:r>
        <w:rPr>
          <w:b/>
          <w:bCs/>
        </w:rPr>
        <w:t xml:space="preserve">one pathway-space shift model</w:t>
      </w:r>
      <w:r>
        <w:t xml:space="preserve">, so cellular and clinical evidence constrain the same disease axes and culture artifacts (for example differentiation effects) do not masquerade as disease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Genomic factorization.</w:t>
      </w:r>
      <w:r>
        <w:t xml:space="preserve"> </w:t>
      </w:r>
      <w:r>
        <w:t xml:space="preserve">We initialize from</w:t>
      </w:r>
      <w:r>
        <w:t xml:space="preserve"> </w:t>
      </w:r>
      <w:r>
        <w:rPr>
          <w:b/>
          <w:bCs/>
        </w:rPr>
        <w:t xml:space="preserve">pretrained genomic foundation models</w:t>
      </w:r>
      <w:r>
        <w:t xml:space="preserve"> </w:t>
      </w:r>
      <w:r>
        <w:t xml:space="preserve">and factor the result into a small set of sparse, interpretable, transdiagnostic</w:t>
      </w:r>
      <w:r>
        <w:t xml:space="preserve"> </w:t>
      </w:r>
      <w:r>
        <w:rPr>
          <w:b/>
          <w:bCs/>
        </w:rPr>
        <w:t xml:space="preserve">disease-axis factors</w:t>
      </w:r>
      <w:r>
        <w:t xml:space="preserve"> </w:t>
      </w:r>
      <w:r>
        <w:t xml:space="preserve">that double as candidate biotypes. The detailed method is proprietary; novelty is claimed precisely against the nearest published pathway-score precedent.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generative modeling.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three-latent structural causal model</w:t>
      </w:r>
      <w:r>
        <w:t xml:space="preserve"> </w:t>
      </w:r>
      <w:r>
        <w:t xml:space="preserve">separates the cell’s</w:t>
      </w:r>
      <w:r>
        <w:t xml:space="preserve"> </w:t>
      </w:r>
      <w:r>
        <w:rPr>
          <w:b/>
          <w:bCs/>
        </w:rPr>
        <w:t xml:space="preserve">basal state</w:t>
      </w:r>
      <w:r>
        <w:t xml:space="preserve">, the</w:t>
      </w:r>
      <w:r>
        <w:t xml:space="preserve"> </w:t>
      </w:r>
      <w:r>
        <w:rPr>
          <w:b/>
          <w:bCs/>
        </w:rPr>
        <w:t xml:space="preserve">disease effect</w:t>
      </w:r>
      <w:r>
        <w:t xml:space="preserve"> </w:t>
      </w:r>
      <w:r>
        <w:t xml:space="preserve">(causal on cell state), and a</w:t>
      </w:r>
      <w:r>
        <w:t xml:space="preserve"> </w:t>
      </w:r>
      <w:r>
        <w:rPr>
          <w:b/>
          <w:bCs/>
        </w:rPr>
        <w:t xml:space="preserve">treatment effect</w:t>
      </w:r>
      <w:r>
        <w:t xml:space="preserve"> </w:t>
      </w:r>
      <w:r>
        <w:t xml:space="preserve">that acts either directly on the cell (a side-effect route) or by modulating the disease (the therapeutic route). This makes efficacy versus side-effect liability an identifiable prediction.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Ontology-conditioned experiment design</w:t>
      </w:r>
      <w:r>
        <w:t xml:space="preserve"> </w:t>
      </w:r>
      <w:r>
        <w:t xml:space="preserve">feeding TA2.</w:t>
      </w:r>
    </w:p>
    <w:p>
      <w:pPr>
        <w:pStyle w:val="FirstParagraph"/>
      </w:pPr>
      <w:r>
        <w:rPr>
          <w:b/>
          <w:bCs/>
        </w:rPr>
        <w:t xml:space="preserve">TA2, the New Science Engine (we lead).</w:t>
      </w:r>
      <w:r>
        <w:t xml:space="preserve"> </w:t>
      </w:r>
      <w:r>
        <w:t xml:space="preserve">A non-LLM-wrapper engine that interrogates the</w:t>
      </w:r>
      <w:r>
        <w:t xml:space="preserve"> </w:t>
      </w:r>
      <w:r>
        <w:rPr>
          <w:b/>
          <w:bCs/>
        </w:rPr>
        <w:t xml:space="preserve">TA1 model’s own</w:t>
      </w:r>
      <w:r>
        <w:t xml:space="preserve"> </w:t>
      </w:r>
      <w:r>
        <w:t xml:space="preserve">uncertain parameters and conflicting edges to choose the highest-value experiment, through a hypothesis tournament, model-grounded planning, and test-time simulation pre-screening.</w:t>
      </w:r>
    </w:p>
    <w:p>
      <w:pPr>
        <w:pStyle w:val="BodyText"/>
      </w:pPr>
      <w:r>
        <w:rPr>
          <w:b/>
          <w:bCs/>
        </w:rPr>
        <w:t xml:space="preserve">Phase I anchor, the phenotypic-triage screen.</w:t>
      </w:r>
      <w:r>
        <w:t xml:space="preserve"> </w:t>
      </w:r>
      <w:r>
        <w:t xml:space="preserve">Across the penetrant-variant panel (22q11.2 and TBX1, plus high-odds-ratio SCHEMA genes such as SETD1A, GRIN2A, GRIA3, CUL1), engineered as</w:t>
      </w:r>
      <w:r>
        <w:t xml:space="preserve"> </w:t>
      </w:r>
      <w:r>
        <w:rPr>
          <w:b/>
          <w:bCs/>
        </w:rPr>
        <w:t xml:space="preserve">isogenic pairs</w:t>
      </w:r>
      <w:r>
        <w:t xml:space="preserve">, we measure</w:t>
      </w:r>
      <w:r>
        <w:t xml:space="preserve"> </w:t>
      </w:r>
      <w:r>
        <w:rPr>
          <w:b/>
          <w:bCs/>
        </w:rPr>
        <w:t xml:space="preserve">transcriptomic, morphological, and functional calcium-imaging</w:t>
      </w:r>
      <w:r>
        <w:t xml:space="preserve"> </w:t>
      </w:r>
      <w:r>
        <w:t xml:space="preserve">phenotypes, extending Anne Carpenter’s published 22q11 Cell Painting work to more variants and readouts, to select the lines and disease axes the model is built on.</w:t>
      </w:r>
    </w:p>
    <w:bookmarkEnd w:id="9"/>
    <w:bookmarkStart w:id="10" w:name="who-we-are-seeking-by-technical-area"/>
    <w:p>
      <w:pPr>
        <w:pStyle w:val="Heading2"/>
      </w:pPr>
      <w:r>
        <w:t xml:space="preserve">Who we are seeking, by technical area</w:t>
      </w:r>
    </w:p>
    <w:p>
      <w:pPr>
        <w:pStyle w:val="BlockText"/>
      </w:pPr>
      <w:r>
        <w:rPr>
          <w:b/>
          <w:bCs/>
        </w:rPr>
        <w:t xml:space="preserve">TA1 stays in-house</w:t>
      </w:r>
      <w:r>
        <w:t xml:space="preserve"> </w:t>
      </w:r>
      <w:r>
        <w:t xml:space="preserve">(Cytognosis, IPAI, and students). The only adjacent exception is the genomic sequence-to-embedding step (Francesco Paolo Casale), inside or outside IGoR.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Top targets (priority order)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TA2</w:t>
            </w:r>
          </w:p>
        </w:tc>
        <w:tc>
          <w:tcPr/>
          <w:p>
            <w:pPr>
              <w:pStyle w:val="Compact"/>
            </w:pPr>
            <w:r>
              <w:t xml:space="preserve">Optional add-ons; we lead</w:t>
            </w:r>
          </w:p>
        </w:tc>
        <w:tc>
          <w:tcPr/>
          <w:p>
            <w:pPr>
              <w:pStyle w:val="Compact"/>
            </w:pPr>
            <w:r>
              <w:t xml:space="preserve">SIFT (planning and scheduling), Phylo (Kexin Huang, warm)</w:t>
            </w:r>
          </w:p>
        </w:tc>
        <w:tc>
          <w:tcPr/>
          <w:p>
            <w:pPr>
              <w:pStyle w:val="Compact"/>
            </w:pPr>
            <w:r>
              <w:t xml:space="preserve">Outreach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TA3</w:t>
            </w:r>
          </w:p>
        </w:tc>
        <w:tc>
          <w:tcPr/>
          <w:p>
            <w:pPr>
              <w:pStyle w:val="Compact"/>
            </w:pPr>
            <w:r>
              <w:t xml:space="preserve">One interoperable-protocol lead</w:t>
            </w:r>
          </w:p>
        </w:tc>
        <w:tc>
          <w:tcPr/>
          <w:p>
            <w:pPr>
              <w:pStyle w:val="Compact"/>
            </w:pPr>
            <w:r>
              <w:t xml:space="preserve">SIFT / LabOP (Dan Bryce), with Tim Fallon (UCSD) as alt or co-lead; Triple Ring for ARPA-H-grade systems and compliance</w:t>
            </w:r>
          </w:p>
        </w:tc>
        <w:tc>
          <w:tcPr/>
          <w:p>
            <w:pPr>
              <w:pStyle w:val="Compact"/>
            </w:pPr>
            <w:r>
              <w:t xml:space="preserve">Email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TA4 academic arm</w:t>
            </w:r>
          </w:p>
        </w:tc>
        <w:tc>
          <w:tcPr/>
          <w:p>
            <w:pPr>
              <w:pStyle w:val="Compact"/>
            </w:pPr>
            <w:r>
              <w:t xml:space="preserve">Academic experimental lab (runs all wet-lab experiments)</w:t>
            </w:r>
          </w:p>
        </w:tc>
        <w:tc>
          <w:tcPr/>
          <w:p>
            <w:pPr>
              <w:pStyle w:val="Compact"/>
            </w:pPr>
            <w:r>
              <w:t xml:space="preserve">Matt Tegtmeyer lab, Purdue (confirmed 2026-06-15); fixed-cell high-plex readouts (RNA ~350-plex, protein ~50-plex, Cell-Painting-style morphology, in-situ CRISPR-guide sequencing)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TA4 industry arm</w:t>
            </w:r>
          </w:p>
        </w:tc>
        <w:tc>
          <w:tcPr/>
          <w:p>
            <w:pPr>
              <w:pStyle w:val="Compact"/>
            </w:pPr>
            <w:r>
              <w:t xml:space="preserve">Industry execution partner</w:t>
            </w:r>
          </w:p>
        </w:tc>
        <w:tc>
          <w:tcPr/>
          <w:p>
            <w:pPr>
              <w:pStyle w:val="Compact"/>
            </w:pPr>
            <w:r>
              <w:t xml:space="preserve">Cellanome (R3200; live-cell imaging, same-cell scRNA-seq, Perturb-LINK CRISPR); advancing, 2026-06-17 call; operating model under discussion</w:t>
            </w:r>
          </w:p>
        </w:tc>
        <w:tc>
          <w:tcPr/>
          <w:p>
            <w:pPr>
              <w:pStyle w:val="Compact"/>
            </w:pPr>
            <w:r>
              <w:t xml:space="preserve">Advancing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TA4 computational</w:t>
            </w:r>
          </w:p>
        </w:tc>
        <w:tc>
          <w:tcPr/>
          <w:p>
            <w:pPr>
              <w:pStyle w:val="Compact"/>
            </w:pPr>
            <w:r>
              <w:t xml:space="preserve">Interpretable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(IPAI/Purdue); purely computational, no wet bench; consumes readouts from both TA4 arms</w:t>
            </w:r>
          </w:p>
        </w:tc>
        <w:tc>
          <w:tcPr/>
          <w:p>
            <w:pPr>
              <w:pStyle w:val="Compact"/>
            </w:pPr>
            <w:r>
              <w:t xml:space="preserve">Committed ~90%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TA4 sequencing</w:t>
            </w:r>
          </w:p>
        </w:tc>
        <w:tc>
          <w:tcPr/>
          <w:p>
            <w:pPr>
              <w:pStyle w:val="Compact"/>
            </w:pPr>
            <w:r>
              <w:t xml:space="preserve">High-throughput sequencing add-on</w:t>
            </w:r>
          </w:p>
        </w:tc>
        <w:tc>
          <w:tcPr/>
          <w:p>
            <w:pPr>
              <w:pStyle w:val="Compact"/>
            </w:pPr>
            <w:r>
              <w:t xml:space="preserve">Illumina (warm via Sebastian Pineda)</w:t>
            </w:r>
          </w:p>
        </w:tc>
        <w:tc>
          <w:tcPr/>
          <w:p>
            <w:pPr>
              <w:pStyle w:val="Compact"/>
            </w:pPr>
            <w:r>
              <w:t xml:space="preserve">Outreach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Worth your attention.</w:t>
      </w:r>
      <w:r>
        <w:t xml:space="preserve"> </w:t>
      </w:r>
      <w:r>
        <w:rPr>
          <w:b/>
          <w:bCs/>
        </w:rPr>
        <w:t xml:space="preserve">Triple Ring Technologies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confirmed ARPA-H awardee</w:t>
      </w:r>
      <w:r>
        <w:t xml:space="preserve"> </w:t>
      </w:r>
      <w:r>
        <w:t xml:space="preserve">(POSEIDON) and can carry systems integration, ISO compliance, and ARPA-H contracting know-how. (Operant BioPharma looked like a neuro TA4 fit on science, but their teaming post shows they want to be the disease-model anchor and are seeking capabilities we do not provide, so they are parked.) The functional readout is single-cell</w:t>
      </w:r>
      <w:r>
        <w:t xml:space="preserve"> </w:t>
      </w:r>
      <w:r>
        <w:rPr>
          <w:b/>
          <w:bCs/>
        </w:rPr>
        <w:t xml:space="preserve">calcium imaging</w:t>
      </w:r>
      <w:r>
        <w:t xml:space="preserve">, an imaging modality our live-cell and high-content partners already cover, so there is no separate electrophysiology-lab gap. Full comparison in</w:t>
      </w:r>
      <w:r>
        <w:t xml:space="preserve"> </w:t>
      </w:r>
      <w:r>
        <w:rPr>
          <w:rStyle w:val="VerbatimChar"/>
        </w:rPr>
        <w:t xml:space="preserve">CANDIDATE_DOSSIER.md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TA4 two-arm structure.</w:t>
      </w:r>
      <w:r>
        <w:t xml:space="preserve"> </w:t>
      </w:r>
      <w:r>
        <w:t xml:space="preserve">Matt’s academic lab and Cellanome together satisfy the program’s at-least-two-labs requirement. They are complementary: Matt’s lab runs fixed-cell high-plex readouts at high scale (RNA ~350-plex, protein ~50-plex, Cell-Painting-style morphology, in-situ CRISPR-guide sequencing); Cellanome provides live-cell and temporal readouts the fixed-cell academic arm cannot. A Phase I cross-platform concordance run (same iPSC samples through both arms) maps directly onto the program’s concordance gates and frames the comparison as a built-in reproducibility milestone, not a competition. Anne Carpenter’s computational morphology models are the common analysis layer across both arms.</w:t>
      </w:r>
    </w:p>
    <w:p>
      <w:pPr>
        <w:pStyle w:val="BodyText"/>
      </w:pPr>
      <w:r>
        <w:rPr>
          <w:b/>
          <w:bCs/>
        </w:rPr>
        <w:t xml:space="preserve">Parallel-candidate rule.</w:t>
      </w:r>
      <w:r>
        <w:t xml:space="preserve"> </w:t>
      </w:r>
      <w:r>
        <w:t xml:space="preserve">Several candidates are in parallel discussion. We never imply anyone is committed, and we never signal an empty roster; we say we are</w:t>
      </w:r>
      <w:r>
        <w:t xml:space="preserve"> </w:t>
      </w:r>
      <w:r>
        <w:t xml:space="preserve">“in active discussion and finalizing the experimental team.”</w:t>
      </w:r>
      <w:r>
        <w:t xml:space="preserve"> </w:t>
      </w:r>
      <w:r>
        <w:t xml:space="preserve">NDAs route through Duane Valz.</w:t>
      </w:r>
    </w:p>
    <w:p>
      <w:pPr>
        <w:pStyle w:val="BodyText"/>
      </w:pPr>
      <w:r>
        <w:rPr>
          <w:b/>
          <w:bCs/>
        </w:rPr>
        <w:t xml:space="preserve">Status as of 2026-06-18.</w:t>
      </w:r>
      <w:r>
        <w:t xml:space="preserve"> </w:t>
      </w:r>
      <w:r>
        <w:rPr>
          <w:b/>
          <w:bCs/>
        </w:rPr>
        <w:t xml:space="preserve">Dan Bryce</w:t>
      </w:r>
      <w:r>
        <w:t xml:space="preserve"> </w:t>
      </w:r>
      <w:r>
        <w:t xml:space="preserve">(SIFT, TA3 plus scoped TA2 VOI planning) formally accepted 2026-06-18.</w:t>
      </w:r>
      <w:r>
        <w:t xml:space="preserve"> </w:t>
      </w:r>
      <w:r>
        <w:rPr>
          <w:b/>
          <w:bCs/>
        </w:rPr>
        <w:t xml:space="preserve">SPOC</w:t>
      </w:r>
      <w:r>
        <w:t xml:space="preserve"> </w:t>
      </w:r>
      <w:r>
        <w:t xml:space="preserve">declined 2026-06-18.</w:t>
      </w:r>
      <w:r>
        <w:t xml:space="preserve"> </w:t>
      </w:r>
      <w:r>
        <w:rPr>
          <w:b/>
          <w:bCs/>
        </w:rPr>
        <w:t xml:space="preserve">Kexin Huang</w:t>
      </w:r>
      <w:r>
        <w:t xml:space="preserve"> </w:t>
      </w:r>
      <w:r>
        <w:t xml:space="preserve">(Phylo, TA2) is awaiting reply.</w:t>
      </w:r>
      <w:r>
        <w:t xml:space="preserve"> </w:t>
      </w:r>
      <w:r>
        <w:rPr>
          <w:b/>
          <w:bCs/>
        </w:rPr>
        <w:t xml:space="preserve">Anna Merkoulovitch</w:t>
      </w:r>
      <w:r>
        <w:t xml:space="preserve"> </w:t>
      </w:r>
      <w:r>
        <w:t xml:space="preserve">(architect candidate) is off market; architect role is a planned Cytognosis hire (recruiting), with Elham Jebalbarezi Sarbijan (IPAI) as interim placeholder.</w:t>
      </w:r>
    </w:p>
    <w:bookmarkEnd w:id="10"/>
    <w:bookmarkStart w:id="11" w:name="logistics"/>
    <w:p>
      <w:pPr>
        <w:pStyle w:val="Heading2"/>
      </w:pPr>
      <w:r>
        <w:t xml:space="preserve">Logistics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Prime and PI:</w:t>
      </w:r>
      <w:r>
        <w:t xml:space="preserve"> </w:t>
      </w:r>
      <w:r>
        <w:t xml:space="preserve">IPAI, Purdue University; Ananth Grama.</w:t>
      </w:r>
      <w:r>
        <w:t xml:space="preserve"> </w:t>
      </w:r>
      <w:r>
        <w:rPr>
          <w:b/>
          <w:bCs/>
        </w:rPr>
        <w:t xml:space="preserve">Team name:</w:t>
      </w:r>
      <w:r>
        <w:t xml:space="preserve"> </w:t>
      </w:r>
      <w:r>
        <w:t xml:space="preserve">PsychIGoR.</w:t>
      </w:r>
      <w:r>
        <w:t xml:space="preserve"> </w:t>
      </w:r>
      <w:r>
        <w:rPr>
          <w:b/>
          <w:bCs/>
        </w:rPr>
        <w:t xml:space="preserve">TA1/TA2 lead:</w:t>
      </w:r>
      <w:r>
        <w:t xml:space="preserve"> </w:t>
      </w:r>
      <w:r>
        <w:t xml:space="preserve">Cytognosis (Shahin).</w:t>
      </w:r>
      <w:r>
        <w:t xml:space="preserve"> </w:t>
      </w:r>
      <w:r>
        <w:rPr>
          <w:b/>
          <w:bCs/>
        </w:rPr>
        <w:t xml:space="preserve">Clinical:</w:t>
      </w:r>
      <w:r>
        <w:t xml:space="preserve"> </w:t>
      </w:r>
      <w:r>
        <w:t xml:space="preserve">Brad Ruzicka, McLean (cohort interpretation and data governance, no new clinical trials).</w:t>
      </w:r>
      <w:r>
        <w:t xml:space="preserve"> </w:t>
      </w:r>
      <w:r>
        <w:rPr>
          <w:b/>
          <w:bCs/>
        </w:rPr>
        <w:t xml:space="preserve">TA4 academic arm:</w:t>
      </w:r>
      <w:r>
        <w:t xml:space="preserve"> </w:t>
      </w:r>
      <w:r>
        <w:t xml:space="preserve">Matt Tegtmeyer lab, Purdue (wet-lab experiments, fixed-cell high-plex readouts).</w:t>
      </w:r>
      <w:r>
        <w:t xml:space="preserve"> </w:t>
      </w:r>
      <w:r>
        <w:rPr>
          <w:b/>
          <w:bCs/>
        </w:rPr>
        <w:t xml:space="preserve">TA4 industry arm:</w:t>
      </w:r>
      <w:r>
        <w:t xml:space="preserve"> </w:t>
      </w:r>
      <w:r>
        <w:t xml:space="preserve">Cellanome (advancing).</w:t>
      </w:r>
      <w:r>
        <w:t xml:space="preserve"> </w:t>
      </w:r>
      <w:r>
        <w:rPr>
          <w:b/>
          <w:bCs/>
        </w:rPr>
        <w:t xml:space="preserve">TA4 computational:</w:t>
      </w:r>
      <w:r>
        <w:t xml:space="preserve"> </w:t>
      </w:r>
      <w:r>
        <w:t xml:space="preserve">Anne Carpenter (IPAI/Purdue; interpretable morphology and imaging models; no wet bench).</w:t>
      </w:r>
      <w:r>
        <w:t xml:space="preserve"> </w:t>
      </w:r>
      <w:r>
        <w:rPr>
          <w:b/>
          <w:bCs/>
        </w:rPr>
        <w:t xml:space="preserve">PM:</w:t>
      </w:r>
      <w:r>
        <w:t xml:space="preserve"> </w:t>
      </w:r>
      <w:r>
        <w:t xml:space="preserve">Patricia Purcell (part-time).</w:t>
      </w:r>
      <w:r>
        <w:t xml:space="preserve"> </w:t>
      </w:r>
      <w:r>
        <w:rPr>
          <w:b/>
          <w:bCs/>
        </w:rPr>
        <w:t xml:space="preserve">Architect:</w:t>
      </w:r>
      <w:r>
        <w:t xml:space="preserve"> </w:t>
      </w:r>
      <w:r>
        <w:t xml:space="preserve">planned Cytognosis hire (recruiting); Elham Jebalbarezi Sarbijan (IPAI) interim architect.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and structure: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$50M over five years</w:t>
      </w:r>
      <w:r>
        <w:t xml:space="preserve">, three phases (roughly 18, 18, 24 months), phase-gated. OT agreement (flexible IP and data rights).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Disease framing:</w:t>
      </w:r>
      <w:r>
        <w:t xml:space="preserve"> </w:t>
      </w:r>
      <w:r>
        <w:t xml:space="preserve">schizophrenia, extending to bipolar; penetrant genetic forms as isogenic cellular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Openness and IP:</w:t>
      </w:r>
      <w:r>
        <w:t xml:space="preserve"> </w:t>
      </w:r>
      <w:r>
        <w:t xml:space="preserve">open standards and reproducibility by design (a fit for the ARPA-H mandate); our proprietary methods are firewalled and marked where they appear.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subjects:</w:t>
      </w:r>
      <w:r>
        <w:t xml:space="preserve"> </w:t>
      </w:r>
      <w:r>
        <w:t xml:space="preserve">existing or biobank, de-identified samples and secondary analysis only (PsychENCODE, ROSMAP, McLean data); FWA and IRB in place; no new human-subjects research in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Deadlines:</w:t>
      </w:r>
      <w:r>
        <w:t xml:space="preserve"> </w:t>
      </w:r>
      <w:r>
        <w:t xml:space="preserve">Solution Summary</w:t>
      </w:r>
      <w:r>
        <w:t xml:space="preserve"> </w:t>
      </w:r>
      <w:r>
        <w:rPr>
          <w:b/>
          <w:bCs/>
        </w:rPr>
        <w:t xml:space="preserve">June 25, 2026</w:t>
      </w:r>
      <w:r>
        <w:t xml:space="preserve">; full proposal</w:t>
      </w:r>
      <w:r>
        <w:t xml:space="preserve"> </w:t>
      </w:r>
      <w:r>
        <w:rPr>
          <w:b/>
          <w:bCs/>
        </w:rPr>
        <w:t xml:space="preserve">early August 2026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Immediate asks of you.</w:t>
      </w:r>
      <w:r>
        <w:t xml:space="preserve"> </w:t>
      </w:r>
      <w:r>
        <w:t xml:space="preserve">Confirm IPAI-prime resourcing (students and postdocs for TA1/TA2); react to the TA4 target set (Carpenter, Cellanome, Illumina, with Xaira as a stretch); confirm the TA3 route (SIFT versus UCSD for LabOP); and flag anyone in your network for the TA3 and TA4 roles.</w:t>
      </w:r>
    </w:p>
    <w:p>
      <w:pPr>
        <w:pStyle w:val="BodyText"/>
      </w:pPr>
      <w:r>
        <w:rPr>
          <w:b/>
          <w:bCs/>
        </w:rPr>
        <w:t xml:space="preserve">Contact.</w:t>
      </w:r>
      <w:r>
        <w:t xml:space="preserve"> </w:t>
      </w:r>
      <w:r>
        <w:t xml:space="preserve">Shahin Mohammadi, mohammadi@cytognosis.org.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2026-06-19T20:09:37Z</dcterms:created>
  <dcterms:modified xsi:type="dcterms:W3CDTF">2026-06-19T20:09:37Z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