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3fb5d995a040f546e559e01004d3251e1609a63"/>
    <w:p>
      <w:pPr>
        <w:pStyle w:val="Heading1"/>
      </w:pPr>
      <w:r>
        <w:t xml:space="preserve">IGoR teaming: Phylo (Biomni) and Cytognosis/IPAI, TA2 agentic add-on</w:t>
      </w:r>
    </w:p>
    <w:p>
      <w:pPr>
        <w:pStyle w:val="FirstParagraph"/>
      </w:pPr>
      <w:r>
        <w:rPr>
          <w:b/>
          <w:bCs/>
        </w:rPr>
        <w:t xml:space="preserve">Team PsychIGoR. IPAI (Purdue) prime, with Ananth Grama as PI; Cytognosis and IPAI lead the disease-model and AI core (TA1 and TA2). We lead the New Science Engine, and would welcome Biomni as an optional agentic collaborator.</w:t>
      </w:r>
      <w:r>
        <w:t xml:space="preserve"> </w:t>
      </w:r>
      <w:r>
        <w:t xml:space="preserve">A short companion sheet explains the IGoR program itself.</w:t>
      </w:r>
    </w:p>
    <w:bookmarkStart w:id="9" w:name="what-we-bring-and-have-already-built"/>
    <w:p>
      <w:pPr>
        <w:pStyle w:val="Heading2"/>
      </w:pPr>
      <w:r>
        <w:t xml:space="preserve">What we bring, and have already built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causal, self-updating disease model (TA1)</w:t>
      </w:r>
      <w:r>
        <w:t xml:space="preserve"> </w:t>
      </w:r>
      <w:r>
        <w:t xml:space="preserve">for psychiatric disease, grounded in penetrant genetic forms (such as 22q11.2 deletion) modeled in iPSC cells.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New Science Engine (TA2)</w:t>
      </w:r>
      <w:r>
        <w:t xml:space="preserve"> </w:t>
      </w:r>
      <w:r>
        <w:t xml:space="preserve">that interrogates the model itself, not just the literature, to choose the highest-value next experiment through a hypothesis tournament and model-grounded planning.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Phase I experiment ready to run</w:t>
      </w:r>
      <w:r>
        <w:t xml:space="preserve"> </w:t>
      </w:r>
      <w:r>
        <w:t xml:space="preserve">that gives any agentic layer a concrete, high-signal task to operate on.</w:t>
      </w:r>
    </w:p>
    <w:p>
      <w:pPr>
        <w:pStyle w:val="Compact"/>
        <w:numPr>
          <w:ilvl w:val="0"/>
          <w:numId w:val="1001"/>
        </w:numPr>
      </w:pPr>
      <w:r>
        <w:t xml:space="preserve">A committed prime (IPAI/Purdue) and a single-cell and psychiatric-genetics core.</w:t>
      </w:r>
    </w:p>
    <w:bookmarkEnd w:id="9"/>
    <w:bookmarkStart w:id="10" w:name="where-biomni-fits"/>
    <w:p>
      <w:pPr>
        <w:pStyle w:val="Heading2"/>
      </w:pPr>
      <w:r>
        <w:t xml:space="preserve">Where Biomni fits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Optional agentic and tool-execution layer under our TA2 lead.</w:t>
      </w:r>
      <w:r>
        <w:t xml:space="preserve"> </w:t>
      </w:r>
      <w:r>
        <w:t xml:space="preserve">Biomni’s breadth of biomedical tools and plan-execute-collaborate workflow can extend our engine’s reach into literature synthesis, data retrieval, and routine analysis around the model-grounded core that stays ours.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Open-source integration.</w:t>
      </w:r>
      <w:r>
        <w:t xml:space="preserve"> </w:t>
      </w:r>
      <w:r>
        <w:t xml:space="preserve">Biomni’s wide adoption lowers integration friction across an academically anchored consortium.</w:t>
      </w:r>
    </w:p>
    <w:bookmarkEnd w:id="10"/>
    <w:bookmarkStart w:id="11" w:name="why-this-is-a-strong-match"/>
    <w:p>
      <w:pPr>
        <w:pStyle w:val="Heading2"/>
      </w:pPr>
      <w:r>
        <w:t xml:space="preserve">Why this is a strong match</w:t>
      </w:r>
    </w:p>
    <w:p>
      <w:pPr>
        <w:pStyle w:val="Compact"/>
        <w:numPr>
          <w:ilvl w:val="0"/>
          <w:numId w:val="1003"/>
        </w:numPr>
      </w:pPr>
      <w:r>
        <w:t xml:space="preserve">Complementary by design:</w:t>
      </w:r>
      <w:r>
        <w:t xml:space="preserve"> </w:t>
      </w:r>
      <w:r>
        <w:rPr>
          <w:b/>
          <w:bCs/>
        </w:rPr>
        <w:t xml:space="preserve">our engine supplies the model-grounded, value-of-information decision; Biomni supplies broad tool execution</w:t>
      </w:r>
      <w:r>
        <w:t xml:space="preserve">, so the roles do not overlap.</w:t>
      </w:r>
    </w:p>
    <w:p>
      <w:pPr>
        <w:pStyle w:val="Compact"/>
        <w:numPr>
          <w:ilvl w:val="0"/>
          <w:numId w:val="1003"/>
        </w:numPr>
      </w:pPr>
      <w:r>
        <w:t xml:space="preserve">Shared open-science posture fits the ARPA-H mandate and our team’s openness commitments.</w:t>
      </w:r>
    </w:p>
    <w:bookmarkEnd w:id="11"/>
    <w:bookmarkStart w:id="12" w:name="team-and-next-step"/>
    <w:p>
      <w:pPr>
        <w:pStyle w:val="Heading2"/>
      </w:pPr>
      <w:r>
        <w:t xml:space="preserve">Team and next 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 and PI</w:t>
            </w:r>
          </w:p>
        </w:tc>
        <w:tc>
          <w:tcPr/>
          <w:p>
            <w:pPr>
              <w:pStyle w:val="Compact"/>
            </w:pPr>
            <w:r>
              <w:t xml:space="preserve">IPAI, Purdue University; Ananth Grama (Director, IPAI)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TA1 and TA2 co-leads</w:t>
            </w:r>
          </w:p>
        </w:tc>
        <w:tc>
          <w:tcPr/>
          <w:p>
            <w:pPr>
              <w:pStyle w:val="Compact"/>
            </w:pPr>
            <w:r>
              <w:t xml:space="preserve">Cytognosis Foundation (Shahin Mohammadi, sub-awardee) and IPAI,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and translational</w:t>
            </w:r>
          </w:p>
        </w:tc>
        <w:tc>
          <w:tcPr/>
          <w:p>
            <w:pPr>
              <w:pStyle w:val="Compact"/>
            </w:pPr>
            <w:r>
              <w:t xml:space="preserve">W. Brad Ruzicka, McLean Hospital (Harvard Medical School affiliate)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TA4.1 academic experimental arm</w:t>
            </w:r>
          </w:p>
        </w:tc>
        <w:tc>
          <w:tcPr/>
          <w:p>
            <w:pPr>
              <w:pStyle w:val="Compact"/>
            </w:pPr>
            <w:r>
              <w:t xml:space="preserve">Matt Tegtmeyer lab,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TA4.1 industry arm</w:t>
            </w:r>
          </w:p>
        </w:tc>
        <w:tc>
          <w:tcPr/>
          <w:p>
            <w:pPr>
              <w:pStyle w:val="Compact"/>
            </w:pPr>
            <w:r>
              <w:t xml:space="preserve">Cellanome (advancing)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morphology and imaging models</w:t>
            </w:r>
          </w:p>
        </w:tc>
        <w:tc>
          <w:tcPr/>
          <w:p>
            <w:pPr>
              <w:pStyle w:val="Compact"/>
            </w:pPr>
            <w:r>
              <w:t xml:space="preserve">Anne Carpenter (IPAI/Purdue; no wet bench)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TA3 interoperable protocols</w:t>
            </w:r>
          </w:p>
        </w:tc>
        <w:tc>
          <w:tcPr/>
          <w:p>
            <w:pPr>
              <w:pStyle w:val="Compact"/>
            </w:pPr>
            <w:r>
              <w:t xml:space="preserve">SIFT; Daniel Bryce (lead), Robert Goldman (advisory)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TA4.2 sequencing and bioinformatics</w:t>
            </w:r>
          </w:p>
        </w:tc>
        <w:tc>
          <w:tcPr/>
          <w:p>
            <w:pPr>
              <w:pStyle w:val="Compact"/>
            </w:pPr>
            <w:r>
              <w:t xml:space="preserve">Illumina (proposed)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and Systems Architect</w:t>
            </w:r>
          </w:p>
        </w:tc>
        <w:tc>
          <w:tcPr/>
          <w:p>
            <w:pPr>
              <w:pStyle w:val="Compact"/>
            </w:pPr>
            <w:r>
              <w:t xml:space="preserve">Elham Jebalbarezi Sarbijan, IPAI/Purdue (tentative)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Patricia Purcell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TA2 agentic add-on</w:t>
            </w:r>
          </w:p>
        </w:tc>
        <w:tc>
          <w:tcPr/>
          <w:p>
            <w:pPr>
              <w:pStyle w:val="Compact"/>
            </w:pPr>
            <w:r>
              <w:t xml:space="preserve">Phylo / Biomni (proposed, optional)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Solution Summary due June 25, 2026; full proposal early August 2026. Happy to find time to scope an optional TA2 role.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Shahin Mohammadi, mohammadi@cytognosis.org.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2026-06-18T18:50:22Z</dcterms:created>
  <dcterms:modified xsi:type="dcterms:W3CDTF">2026-06-18T18:50:22Z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