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b86a649eeae5b22fbc0ad46dee2c4b52f01bb9"/>
    <w:p>
      <w:pPr>
        <w:pStyle w:val="Heading1"/>
      </w:pPr>
      <w:r>
        <w:t xml:space="preserve">IGoR teaming: Medra and Cytognosis/IPAI, TA3/TA4 autonomous execution</w:t>
      </w:r>
    </w:p>
    <w:p>
      <w:pPr>
        <w:pStyle w:val="FirstParagraph"/>
      </w:pPr>
      <w:r>
        <w:rPr>
          <w:b/>
          <w:bCs/>
        </w:rPr>
        <w:t xml:space="preserve">Team PsychIGoR. IPAI (Purdue) prime, with Ananth Grama as PI; Cytognosis and IPAI lead the disease-model and AI core (TA1 and TA2). We are assembling the experimental side of the team, and Medra’s autonomous wet lab is a compelling execution layer for the closed loop.</w:t>
      </w:r>
    </w:p>
    <w:bookmarkStart w:id="9" w:name="what-we-bring-and-have-already-built"/>
    <w:p>
      <w:pPr>
        <w:pStyle w:val="Heading2"/>
      </w:pPr>
      <w:r>
        <w:t xml:space="preserve">What we bring, and have already built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causal, self-updating disease model (TA1)</w:t>
      </w:r>
      <w:r>
        <w:t xml:space="preserve"> </w:t>
      </w:r>
      <w:r>
        <w:t xml:space="preserve">for psychiatric disease, grounded in penetrant genetic forms (such as 22q11.2 deletion) modeled in iPSC cells.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New Science Engine (TA2)</w:t>
      </w:r>
      <w:r>
        <w:t xml:space="preserve"> </w:t>
      </w:r>
      <w:r>
        <w:t xml:space="preserve">that designs the highest-value next experiment by interrogating the model, the hypothesis side that your robots can execute.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Phase I experiment ready to run:</w:t>
      </w:r>
      <w:r>
        <w:t xml:space="preserve"> </w:t>
      </w:r>
      <w:r>
        <w:t xml:space="preserve">a phenotypic-triage screen on isogenic iPSC pairs across transcriptomic, morphological, and functional calcium-imaging readouts.</w:t>
      </w:r>
    </w:p>
    <w:p>
      <w:pPr>
        <w:pStyle w:val="Compact"/>
        <w:numPr>
          <w:ilvl w:val="0"/>
          <w:numId w:val="1001"/>
        </w:numPr>
      </w:pPr>
      <w:r>
        <w:t xml:space="preserve">A committed prime (IPAI/Purdue), a single-cell and psychiatric-genetics core, two TA4 experimental arms (Matt Tegtmeyer’s lab at Purdue and Cellanome), and computational morphology models (Anne Carpenter) on the team.</w:t>
      </w:r>
    </w:p>
    <w:bookmarkEnd w:id="9"/>
    <w:bookmarkStart w:id="10" w:name="where-medra-fits"/>
    <w:p>
      <w:pPr>
        <w:pStyle w:val="Heading2"/>
      </w:pPr>
      <w:r>
        <w:t xml:space="preserve">Where Medra fits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TA4 autonomous execution at scale.</w:t>
      </w:r>
      <w:r>
        <w:t xml:space="preserve"> </w:t>
      </w:r>
      <w:r>
        <w:t xml:space="preserve">Medra Lab 001 and your Physical AI Scientist platform can industrialize the perturb-measure cycles our TA2 engine generates, turning a research loop into a high-throughput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TA3 protocol automation.</w:t>
      </w:r>
      <w:r>
        <w:t xml:space="preserve"> </w:t>
      </w:r>
      <w:r>
        <w:t xml:space="preserve">Natural-language-instructable execution across standard instruments helps close the protocol-to-hardware gap that interoperable IGoR experiments require.</w:t>
      </w:r>
    </w:p>
    <w:bookmarkEnd w:id="10"/>
    <w:bookmarkStart w:id="11" w:name="why-this-is-a-strong-match"/>
    <w:p>
      <w:pPr>
        <w:pStyle w:val="Heading2"/>
      </w:pPr>
      <w:r>
        <w:t xml:space="preserve">Why this is a strong match</w:t>
      </w:r>
    </w:p>
    <w:p>
      <w:pPr>
        <w:pStyle w:val="Compact"/>
        <w:numPr>
          <w:ilvl w:val="0"/>
          <w:numId w:val="1003"/>
        </w:numPr>
      </w:pPr>
      <w:r>
        <w:t xml:space="preserve">Your throughput is the kind of</w:t>
      </w:r>
      <w:r>
        <w:t xml:space="preserve"> </w:t>
      </w:r>
      <w:r>
        <w:rPr>
          <w:b/>
          <w:bCs/>
        </w:rPr>
        <w:t xml:space="preserve">execution scale</w:t>
      </w:r>
      <w:r>
        <w:t xml:space="preserve"> </w:t>
      </w:r>
      <w:r>
        <w:t xml:space="preserve">a compounding closed loop needs; our model and engine supply the high-value experiment stream to keep that capacity busy with the right work.</w:t>
      </w:r>
    </w:p>
    <w:p>
      <w:pPr>
        <w:pStyle w:val="Compact"/>
        <w:numPr>
          <w:ilvl w:val="0"/>
          <w:numId w:val="1003"/>
        </w:numPr>
      </w:pPr>
      <w:r>
        <w:t xml:space="preserve">Your Genentech collaboration demonstrates you can meet rigorous, partner-grade data standards, which the IGoR marketplace (TA4) demands.</w:t>
      </w:r>
    </w:p>
    <w:p>
      <w:pPr>
        <w:pStyle w:val="Compact"/>
        <w:numPr>
          <w:ilvl w:val="0"/>
          <w:numId w:val="1003"/>
        </w:numPr>
      </w:pPr>
      <w:r>
        <w:t xml:space="preserve">Clear division of labor: we own TA1 and TA2 modeling; you anchor autonomous TA4 execution. A first joint task is adapting your platform to</w:t>
      </w:r>
      <w:r>
        <w:t xml:space="preserve"> </w:t>
      </w:r>
      <w:r>
        <w:rPr>
          <w:b/>
          <w:bCs/>
        </w:rPr>
        <w:t xml:space="preserve">iPSC-neuron assays</w:t>
      </w:r>
      <w:r>
        <w:t xml:space="preserve"> </w:t>
      </w:r>
      <w:r>
        <w:t xml:space="preserve">(imaging, scRNA-seq, calcium imaging), which our team can specify.</w:t>
      </w:r>
    </w:p>
    <w:bookmarkEnd w:id="11"/>
    <w:bookmarkStart w:id="12" w:name="team-and-next-step"/>
    <w:p>
      <w:pPr>
        <w:pStyle w:val="Heading2"/>
      </w:pPr>
      <w:r>
        <w:t xml:space="preserve">Team and next 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 and PI</w:t>
            </w:r>
          </w:p>
        </w:tc>
        <w:tc>
          <w:tcPr/>
          <w:p>
            <w:pPr>
              <w:pStyle w:val="Compact"/>
            </w:pPr>
            <w:r>
              <w:t xml:space="preserve">IPAI, Purdue University; Ananth Grama (Director, IPAI)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TA1 and TA2 co-leads</w:t>
            </w:r>
          </w:p>
        </w:tc>
        <w:tc>
          <w:tcPr/>
          <w:p>
            <w:pPr>
              <w:pStyle w:val="Compact"/>
            </w:pPr>
            <w:r>
              <w:t xml:space="preserve">Cytognosis Foundation (Shahin Mohammadi, sub-awardee) and IPAI,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and translational</w:t>
            </w:r>
          </w:p>
        </w:tc>
        <w:tc>
          <w:tcPr/>
          <w:p>
            <w:pPr>
              <w:pStyle w:val="Compact"/>
            </w:pPr>
            <w:r>
              <w:t xml:space="preserve">W. Brad Ruzicka, McLean Hospital (Harvard Medical School affiliate)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academic experimental arm</w:t>
            </w:r>
          </w:p>
        </w:tc>
        <w:tc>
          <w:tcPr/>
          <w:p>
            <w:pPr>
              <w:pStyle w:val="Compact"/>
            </w:pPr>
            <w:r>
              <w:t xml:space="preserve">Matt Tegtmeyer lab,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industry arm</w:t>
            </w:r>
          </w:p>
        </w:tc>
        <w:tc>
          <w:tcPr/>
          <w:p>
            <w:pPr>
              <w:pStyle w:val="Compact"/>
            </w:pPr>
            <w:r>
              <w:t xml:space="preserve">Cellanome (advancing)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morphology and imaging models</w:t>
            </w:r>
          </w:p>
        </w:tc>
        <w:tc>
          <w:tcPr/>
          <w:p>
            <w:pPr>
              <w:pStyle w:val="Compact"/>
            </w:pPr>
            <w:r>
              <w:t xml:space="preserve">Anne Carpenter (IPAI/Purdue; no wet bench)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TA3 interoperable protocols</w:t>
            </w:r>
          </w:p>
        </w:tc>
        <w:tc>
          <w:tcPr/>
          <w:p>
            <w:pPr>
              <w:pStyle w:val="Compact"/>
            </w:pPr>
            <w:r>
              <w:t xml:space="preserve">SIFT; Daniel Bryce (lead), Robert Goldman (advisory)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TA4.2 sequencing and bioinformatics</w:t>
            </w:r>
          </w:p>
        </w:tc>
        <w:tc>
          <w:tcPr/>
          <w:p>
            <w:pPr>
              <w:pStyle w:val="Compact"/>
            </w:pPr>
            <w:r>
              <w:t xml:space="preserve">Illumina (proposed)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and Systems Architect</w:t>
            </w:r>
          </w:p>
        </w:tc>
        <w:tc>
          <w:tcPr/>
          <w:p>
            <w:pPr>
              <w:pStyle w:val="Compact"/>
            </w:pPr>
            <w:r>
              <w:t xml:space="preserve">Elham Jebalbarezi Sarbijan, IPAI/Purdue (tentative)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Patricia Purcell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TA3/TA4 autonomous execution</w:t>
            </w:r>
          </w:p>
        </w:tc>
        <w:tc>
          <w:tcPr/>
          <w:p>
            <w:pPr>
              <w:pStyle w:val="Compact"/>
            </w:pPr>
            <w:r>
              <w:t xml:space="preserve">Medra (proposed)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Solution Summary due June 25, 2026; full proposal early August 2026. We would value a call this week to scope an execution role with real budget attached.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Shahin Mohammadi, mohammadi@cytognosis.org.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2026-06-18T18:50:23Z</dcterms:created>
  <dcterms:modified xsi:type="dcterms:W3CDTF">2026-06-18T18:50:23Z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