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db3104be98e095a2db95879ddec177a8b923336"/>
    <w:p>
      <w:pPr>
        <w:pStyle w:val="Heading1"/>
      </w:pPr>
      <w:r>
        <w:t xml:space="preserve">IGoR teaming: Triple Ring Technologies and Cytognosis/IPAI, TA3/TA4 systems and integration</w:t>
      </w:r>
    </w:p>
    <w:p>
      <w:pPr>
        <w:pStyle w:val="FirstParagraph"/>
      </w:pPr>
      <w:r>
        <w:rPr>
          <w:b/>
          <w:bCs/>
        </w:rPr>
        <w:t xml:space="preserve">Team PsychIGoR. IPAI (Purdue) prime, with Ananth Grama as PI; Cytognosis and IPAI lead the disease-model and AI core (TA1 and TA2). We are assembling the experimental and systems side of the team, and Triple Ring’s engineering and ARPA-H program experience is a strong complement.</w:t>
      </w:r>
    </w:p>
    <w:bookmarkStart w:id="9" w:name="what-we-bring-and-have-already-built"/>
    <w:p>
      <w:pPr>
        <w:pStyle w:val="Heading2"/>
      </w:pPr>
      <w:r>
        <w:t xml:space="preserve">What we bring, and have already built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causal, self-updating disease model (TA1)</w:t>
      </w:r>
      <w:r>
        <w:t xml:space="preserve"> </w:t>
      </w:r>
      <w:r>
        <w:t xml:space="preserve">for psychiatric disease, grounded in penetrant genetic forms (such as 22q11.2 deletion) modeled in iPSC cells.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New Science Engine (TA2)</w:t>
      </w:r>
      <w:r>
        <w:t xml:space="preserve"> </w:t>
      </w:r>
      <w:r>
        <w:t xml:space="preserve">that designs the highest-value next experiment by interrogating the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Phase I experiment ready to run</w:t>
      </w:r>
      <w:r>
        <w:t xml:space="preserve"> </w:t>
      </w:r>
      <w:r>
        <w:t xml:space="preserve">(a phenotypic-triage screen across transcriptomic, morphological, and functional calcium-imaging readouts), which must be packaged into portable, validated, instrument-level procedures.</w:t>
      </w:r>
    </w:p>
    <w:p>
      <w:pPr>
        <w:pStyle w:val="Compact"/>
        <w:numPr>
          <w:ilvl w:val="0"/>
          <w:numId w:val="1001"/>
        </w:numPr>
      </w:pPr>
      <w:r>
        <w:t xml:space="preserve">A committed prime (IPAI/Purdue) and a single-cell and psychiatric-genetics core.</w:t>
      </w:r>
    </w:p>
    <w:bookmarkEnd w:id="9"/>
    <w:bookmarkStart w:id="10" w:name="where-triple-ring-fits"/>
    <w:p>
      <w:pPr>
        <w:pStyle w:val="Heading2"/>
      </w:pPr>
      <w:r>
        <w:t xml:space="preserve">Where Triple Ring fits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TA3 systems integration and compliance.</w:t>
      </w:r>
      <w:r>
        <w:t xml:space="preserve"> </w:t>
      </w:r>
      <w:r>
        <w:t xml:space="preserve">Turning declarative protocols into validated, hardware-level procedures across heterogeneous instruments, with ISO 13485-grade documentation and quality processes, complementing the open-protocol (LabOP) standards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TA4 instrumentation and integration.</w:t>
      </w:r>
      <w:r>
        <w:t xml:space="preserve"> </w:t>
      </w:r>
      <w:r>
        <w:t xml:space="preserve">Imaging, biochemical, and functional-assay system development, and the hardware and software integration that lets validated laboratories run the same experiment reproducibly.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ARPA-H program execution.</w:t>
      </w:r>
      <w:r>
        <w:t xml:space="preserve"> </w:t>
      </w:r>
      <w:r>
        <w:t xml:space="preserve">Your experience as an ARPA-H awardee (sub and multiparty) and your contracting and program-management muscle de-risk delivery for the whole team.</w:t>
      </w:r>
    </w:p>
    <w:bookmarkEnd w:id="10"/>
    <w:bookmarkStart w:id="11" w:name="why-this-is-a-strong-match"/>
    <w:p>
      <w:pPr>
        <w:pStyle w:val="Heading2"/>
      </w:pPr>
      <w:r>
        <w:t xml:space="preserve">Why this is a strong match</w:t>
      </w:r>
    </w:p>
    <w:p>
      <w:pPr>
        <w:pStyle w:val="Compact"/>
        <w:numPr>
          <w:ilvl w:val="0"/>
          <w:numId w:val="1003"/>
        </w:numPr>
      </w:pPr>
      <w:r>
        <w:t xml:space="preserve">Clean complementarity:</w:t>
      </w:r>
      <w:r>
        <w:t xml:space="preserve"> </w:t>
      </w:r>
      <w:r>
        <w:rPr>
          <w:b/>
          <w:bCs/>
        </w:rPr>
        <w:t xml:space="preserve">we bring the disease biology and AI; you bring systems engineering, instrumentation, and government-program rigor</w:t>
      </w:r>
      <w:r>
        <w:t xml:space="preserve">, with no overlap.</w:t>
      </w:r>
    </w:p>
    <w:p>
      <w:pPr>
        <w:pStyle w:val="Compact"/>
        <w:numPr>
          <w:ilvl w:val="0"/>
          <w:numId w:val="1003"/>
        </w:numPr>
      </w:pPr>
      <w:r>
        <w:t xml:space="preserve">An ISO 13485-certified, ARPA-H-experienced integrator materially strengthens the reproducibility and execution story IGoR scores.</w:t>
      </w:r>
    </w:p>
    <w:p>
      <w:pPr>
        <w:pStyle w:val="Compact"/>
        <w:numPr>
          <w:ilvl w:val="0"/>
          <w:numId w:val="1003"/>
        </w:numPr>
      </w:pPr>
      <w:r>
        <w:t xml:space="preserve">Bay Area proximity makes a fast, in-person working relationship easy, and your incubator and co-development network may surface further capability.</w:t>
      </w:r>
    </w:p>
    <w:bookmarkEnd w:id="11"/>
    <w:bookmarkStart w:id="12" w:name="team-and-next-step"/>
    <w:p>
      <w:pPr>
        <w:pStyle w:val="Heading2"/>
      </w:pPr>
      <w:r>
        <w:t xml:space="preserve">Team and next step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PI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 (Director, IPAI)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 (Harvard Medical School affiliate)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TA4.1 industry arm</w:t>
            </w:r>
          </w:p>
        </w:tc>
        <w:tc>
          <w:tcPr/>
          <w:p>
            <w:pPr>
              <w:pStyle w:val="Compact"/>
            </w:pPr>
            <w:r>
              <w:t xml:space="preserve">Cellanome (advancing)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(proposed)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TA3/TA4 systems and integration</w:t>
            </w:r>
          </w:p>
        </w:tc>
        <w:tc>
          <w:tcPr/>
          <w:p>
            <w:pPr>
              <w:pStyle w:val="Compact"/>
            </w:pPr>
            <w:r>
              <w:t xml:space="preserve">Triple Ring Technologies (proposed)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Timeline.</w:t>
      </w:r>
      <w:r>
        <w:t xml:space="preserve"> </w:t>
      </w:r>
      <w:r>
        <w:t xml:space="preserve">Solution Summary due June 25, 2026; full proposal early August 2026. We would value a call this week to scope a systems and integration role.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Shahin Mohammadi, mohammadi@cytognosis.org.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2026-06-18T18:50:23Z</dcterms:created>
  <dcterms:modified xsi:type="dcterms:W3CDTF">2026-06-18T18:50:23Z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