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2096ff249b712a87385538efa50d6c446a0bfff"/>
    <w:p>
      <w:pPr>
        <w:pStyle w:val="Heading1"/>
      </w:pPr>
      <w:r>
        <w:t xml:space="preserve">IGoR teaming: SIFT and Cytognosis/IPAI, TA3 interoperable protocols</w:t>
      </w:r>
    </w:p>
    <w:p>
      <w:pPr>
        <w:pStyle w:val="FirstParagraph"/>
      </w:pPr>
      <w:r>
        <w:rPr>
          <w:b/>
          <w:bCs/>
        </w:rPr>
        <w:t xml:space="preserve">Team PsychIGoR. IPAI (Purdue) prime, with its director, Ananth Grama, as PI; Cytognosis and IPAI lead the disease-model and AI core (TA1 and TA2). SIFT leads TA3 (LabOP backbone) and contributes a scoped Bayesian value-of-information (VOI) planning and scheduling layer under Cytognosis’s TA2 lead.</w:t>
      </w:r>
    </w:p>
    <w:bookmarkStart w:id="9" w:name="what-we-bring-and-have-already-built"/>
    <w:p>
      <w:pPr>
        <w:pStyle w:val="Heading2"/>
      </w:pPr>
      <w:r>
        <w:t xml:space="preserve">What we bring, and have already built</w:t>
      </w:r>
    </w:p>
    <w:p>
      <w:pPr>
        <w:pStyle w:val="Compact"/>
        <w:numPr>
          <w:ilvl w:val="0"/>
          <w:numId w:val="1001"/>
        </w:numPr>
      </w:pPr>
      <w:r>
        <w:rPr>
          <w:b/>
          <w:bCs/>
        </w:rPr>
        <w:t xml:space="preserve">A causal, self-updating disease model (TA1)</w:t>
      </w:r>
      <w:r>
        <w:t xml:space="preserve"> </w:t>
      </w:r>
      <w:r>
        <w:t xml:space="preserve">for psychiatric disease (schizophrenia as the primary focus, extending to bipolar disorder in Phase III), grounded in penetrant genetic forms (such as 22q11.2) modeled in iPSC cells, with paired clinical and cellular evidence in one framework.</w:t>
      </w:r>
    </w:p>
    <w:p>
      <w:pPr>
        <w:pStyle w:val="Compact"/>
        <w:numPr>
          <w:ilvl w:val="0"/>
          <w:numId w:val="1001"/>
        </w:numPr>
      </w:pPr>
      <w:r>
        <w:rPr>
          <w:b/>
          <w:bCs/>
        </w:rPr>
        <w:t xml:space="preserve">A New Science Engine (TA2)</w:t>
      </w:r>
      <w:r>
        <w:t xml:space="preserve"> </w:t>
      </w:r>
      <w:r>
        <w:t xml:space="preserve">that interrogates the model itself to design the highest-value next experiment; not another literature-reading co-scientist.</w:t>
      </w:r>
    </w:p>
    <w:p>
      <w:pPr>
        <w:pStyle w:val="Compact"/>
        <w:numPr>
          <w:ilvl w:val="0"/>
          <w:numId w:val="1001"/>
        </w:numPr>
      </w:pPr>
      <w:r>
        <w:rPr>
          <w:b/>
          <w:bCs/>
        </w:rPr>
        <w:t xml:space="preserve">A Phase I experiment ready to run</w:t>
      </w:r>
      <w:r>
        <w:t xml:space="preserve"> </w:t>
      </w:r>
      <w:r>
        <w:t xml:space="preserve">(a phenotypic-triage screen across transcriptomic, morphological, and functional calcium-imaging readouts) that will exercise the protocol stack from day one.</w:t>
      </w:r>
    </w:p>
    <w:p>
      <w:pPr>
        <w:pStyle w:val="Compact"/>
        <w:numPr>
          <w:ilvl w:val="0"/>
          <w:numId w:val="1001"/>
        </w:numPr>
      </w:pPr>
      <w:r>
        <w:rPr>
          <w:b/>
          <w:bCs/>
        </w:rPr>
        <w:t xml:space="preserve">A team that has built the field’s atlases.</w:t>
      </w:r>
      <w:r>
        <w:t xml:space="preserve"> </w:t>
      </w:r>
      <w:r>
        <w:t xml:space="preserve">Deep HPC and systems pedigree (IPAI/Purdue) plus a single-cell and psychiatric-genetics core that led foundational disease atlases, including the first multi-cohort single-cell atlas of schizophrenia (Ruzicka, Mohammadi et al., Science 2024).</w:t>
      </w:r>
    </w:p>
    <w:bookmarkEnd w:id="9"/>
    <w:bookmarkStart w:id="10" w:name="where-sift-fits"/>
    <w:p>
      <w:pPr>
        <w:pStyle w:val="Heading2"/>
      </w:pPr>
      <w:r>
        <w:t xml:space="preserve">Where SIFT fits</w:t>
      </w:r>
    </w:p>
    <w:p>
      <w:pPr>
        <w:pStyle w:val="Compact"/>
        <w:numPr>
          <w:ilvl w:val="0"/>
          <w:numId w:val="1002"/>
        </w:numPr>
      </w:pPr>
      <w:r>
        <w:rPr>
          <w:b/>
          <w:bCs/>
        </w:rPr>
        <w:t xml:space="preserve">TA3 lead, LabOP.</w:t>
      </w:r>
      <w:r>
        <w:t xml:space="preserve"> </w:t>
      </w:r>
      <w:r>
        <w:t xml:space="preserve">We want to build the interoperable-protocol layer on</w:t>
      </w:r>
      <w:r>
        <w:t xml:space="preserve"> </w:t>
      </w:r>
      <w:r>
        <w:rPr>
          <w:b/>
          <w:bCs/>
        </w:rPr>
        <w:t xml:space="preserve">LabOP</w:t>
      </w:r>
      <w:r>
        <w:t xml:space="preserve"> </w:t>
      </w:r>
      <w:r>
        <w:t xml:space="preserve">(SBOL3 RDF, UML activity models, PROV provenance, protocol primitives, and specialization to OpenTrons, SiLA, Autoprotocol, and Markdown). LabOP maps cleanly onto our four-layer</w:t>
      </w:r>
      <w:r>
        <w:t xml:space="preserve"> </w:t>
      </w:r>
      <w:r>
        <w:rPr>
          <w:b/>
          <w:bCs/>
        </w:rPr>
        <w:t xml:space="preserve">intent, protocol, calibration, hardware</w:t>
      </w:r>
      <w:r>
        <w:t xml:space="preserve"> </w:t>
      </w:r>
      <w:r>
        <w:t xml:space="preserve">stack and gives the</w:t>
      </w:r>
      <w:r>
        <w:t xml:space="preserve"> </w:t>
      </w:r>
      <w:r>
        <w:t xml:space="preserve">“transfers between labs like a data file”</w:t>
      </w:r>
      <w:r>
        <w:t xml:space="preserve"> </w:t>
      </w:r>
      <w:r>
        <w:t xml:space="preserve">property IGoR rewards.</w:t>
      </w:r>
    </w:p>
    <w:p>
      <w:pPr>
        <w:pStyle w:val="Compact"/>
        <w:numPr>
          <w:ilvl w:val="0"/>
          <w:numId w:val="1002"/>
        </w:numPr>
      </w:pPr>
      <w:r>
        <w:rPr>
          <w:b/>
          <w:bCs/>
        </w:rPr>
        <w:t xml:space="preserve">Scoped TA2 contribution, planning and scheduling.</w:t>
      </w:r>
      <w:r>
        <w:t xml:space="preserve"> </w:t>
      </w:r>
      <w:r>
        <w:t xml:space="preserve">SIFT contributes a scoped Bayesian value-of-information (VOI) planning and scheduling layer under Cytognosis’s TA2 lead: SIFT’s planner ranks experiment candidates by VOI, turns the chosen experiment into a scheduled executable plan, and hands off to the LabOP TA3 layer. Cytognosis and IPAI lead TA2.</w:t>
      </w:r>
    </w:p>
    <w:bookmarkEnd w:id="10"/>
    <w:bookmarkStart w:id="11" w:name="why-this-is-a-strong-match"/>
    <w:p>
      <w:pPr>
        <w:pStyle w:val="Heading2"/>
      </w:pPr>
      <w:r>
        <w:t xml:space="preserve">Why this is a strong match</w:t>
      </w:r>
    </w:p>
    <w:p>
      <w:pPr>
        <w:pStyle w:val="Compact"/>
        <w:numPr>
          <w:ilvl w:val="0"/>
          <w:numId w:val="1003"/>
        </w:numPr>
      </w:pPr>
      <w:r>
        <w:t xml:space="preserve">LabOP is the</w:t>
      </w:r>
      <w:r>
        <w:t xml:space="preserve"> </w:t>
      </w:r>
      <w:r>
        <w:rPr>
          <w:b/>
          <w:bCs/>
        </w:rPr>
        <w:t xml:space="preserve">leading open-interoperability option</w:t>
      </w:r>
      <w:r>
        <w:t xml:space="preserve">, and your team co-developed it; this is the single most distinctive TA3 lever available to any IGoR team.</w:t>
      </w:r>
    </w:p>
    <w:p>
      <w:pPr>
        <w:pStyle w:val="Compact"/>
        <w:numPr>
          <w:ilvl w:val="0"/>
          <w:numId w:val="1003"/>
        </w:numPr>
      </w:pPr>
      <w:r>
        <w:t xml:space="preserve">The</w:t>
      </w:r>
      <w:r>
        <w:t xml:space="preserve"> </w:t>
      </w:r>
      <w:r>
        <w:rPr>
          <w:b/>
          <w:bCs/>
        </w:rPr>
        <w:t xml:space="preserve">TA2-to-TA3 seam</w:t>
      </w:r>
      <w:r>
        <w:t xml:space="preserve"> </w:t>
      </w:r>
      <w:r>
        <w:t xml:space="preserve">(hypothesis to scheduled protocol to portable execution) is something IGoR scores, and your planning work closes it.</w:t>
      </w:r>
    </w:p>
    <w:p>
      <w:pPr>
        <w:pStyle w:val="Compact"/>
        <w:numPr>
          <w:ilvl w:val="0"/>
          <w:numId w:val="1003"/>
        </w:numPr>
      </w:pPr>
      <w:r>
        <w:t xml:space="preserve">One open question to work together: generalizing the planner and protocols from synthetic biology to</w:t>
      </w:r>
      <w:r>
        <w:t xml:space="preserve"> </w:t>
      </w:r>
      <w:r>
        <w:rPr>
          <w:b/>
          <w:bCs/>
        </w:rPr>
        <w:t xml:space="preserve">mammalian iPSC, imaging (including calcium imaging), and scRNA-seq</w:t>
      </w:r>
      <w:r>
        <w:t xml:space="preserve"> </w:t>
      </w:r>
      <w:r>
        <w:t xml:space="preserve">workflows. We have those workflows; you have the protocol engine.</w:t>
      </w:r>
    </w:p>
    <w:bookmarkEnd w:id="11"/>
    <w:bookmarkStart w:id="12" w:name="team-and-next-step"/>
    <w:p>
      <w:pPr>
        <w:pStyle w:val="Heading2"/>
      </w:pPr>
      <w:r>
        <w:t xml:space="preserve">Team and next step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Who</w:t>
            </w:r>
          </w:p>
        </w:tc>
      </w:tr>
      <w:tr>
        <w:tc>
          <w:tcPr/>
          <w:p>
            <w:pPr>
              <w:pStyle w:val="Compact"/>
            </w:pPr>
            <w:r>
              <w:t xml:space="preserve">Prime and PI</w:t>
            </w:r>
          </w:p>
        </w:tc>
        <w:tc>
          <w:tcPr/>
          <w:p>
            <w:pPr>
              <w:pStyle w:val="Compact"/>
            </w:pPr>
            <w:r>
              <w:t xml:space="preserve">IPAI, Purdue University; Ananth Grama (Director, IPAI)</w:t>
            </w:r>
          </w:p>
        </w:tc>
      </w:tr>
      <w:tr>
        <w:tc>
          <w:tcPr/>
          <w:p>
            <w:pPr>
              <w:pStyle w:val="Compact"/>
            </w:pPr>
            <w:r>
              <w:t xml:space="preserve">TA1 and TA2 co-leads</w:t>
            </w:r>
          </w:p>
        </w:tc>
        <w:tc>
          <w:tcPr/>
          <w:p>
            <w:pPr>
              <w:pStyle w:val="Compact"/>
            </w:pPr>
            <w:r>
              <w:t xml:space="preserve">Cytognosis Foundation (Shahin Mohammadi, sub-awardee) and IPAI, Purdue</w:t>
            </w:r>
          </w:p>
        </w:tc>
      </w:tr>
      <w:tr>
        <w:tc>
          <w:tcPr/>
          <w:p>
            <w:pPr>
              <w:pStyle w:val="Compact"/>
            </w:pPr>
            <w:r>
              <w:t xml:space="preserve">TA4 academic experimental arm</w:t>
            </w:r>
          </w:p>
        </w:tc>
        <w:tc>
          <w:tcPr/>
          <w:p>
            <w:pPr>
              <w:pStyle w:val="Compact"/>
            </w:pPr>
            <w:r>
              <w:t xml:space="preserve">Matt Tegtmeyer lab, Purdue</w:t>
            </w:r>
          </w:p>
        </w:tc>
      </w:tr>
      <w:tr>
        <w:tc>
          <w:tcPr/>
          <w:p>
            <w:pPr>
              <w:pStyle w:val="Compact"/>
            </w:pPr>
            <w:r>
              <w:t xml:space="preserve">TA4 industry arm</w:t>
            </w:r>
          </w:p>
        </w:tc>
        <w:tc>
          <w:tcPr/>
          <w:p>
            <w:pPr>
              <w:pStyle w:val="Compact"/>
            </w:pPr>
            <w:r>
              <w:t xml:space="preserve">Cellanome (advancing)</w:t>
            </w:r>
          </w:p>
        </w:tc>
      </w:tr>
      <w:tr>
        <w:tc>
          <w:tcPr/>
          <w:p>
            <w:pPr>
              <w:pStyle w:val="Compact"/>
            </w:pPr>
            <w:r>
              <w:t xml:space="preserve">Computational morphology and imaging models</w:t>
            </w:r>
          </w:p>
        </w:tc>
        <w:tc>
          <w:tcPr/>
          <w:p>
            <w:pPr>
              <w:pStyle w:val="Compact"/>
            </w:pPr>
            <w:r>
              <w:t xml:space="preserve">Anne Carpenter (IPAI/Purdue; no wet bench)</w:t>
            </w:r>
          </w:p>
        </w:tc>
      </w:tr>
      <w:tr>
        <w:tc>
          <w:tcPr/>
          <w:p>
            <w:pPr>
              <w:pStyle w:val="Compact"/>
            </w:pPr>
            <w:r>
              <w:t xml:space="preserve">Clinical and translational</w:t>
            </w:r>
          </w:p>
        </w:tc>
        <w:tc>
          <w:tcPr/>
          <w:p>
            <w:pPr>
              <w:pStyle w:val="Compact"/>
            </w:pPr>
            <w:r>
              <w:t xml:space="preserve">W. Brad Ruzicka, McLean Hospital (Harvard Medical School affiliate)</w:t>
            </w:r>
          </w:p>
        </w:tc>
      </w:tr>
      <w:tr>
        <w:tc>
          <w:tcPr/>
          <w:p>
            <w:pPr>
              <w:pStyle w:val="Compact"/>
            </w:pPr>
            <w:r>
              <w:t xml:space="preserve">TA3 protocols</w:t>
            </w:r>
          </w:p>
        </w:tc>
        <w:tc>
          <w:tcPr/>
          <w:p>
            <w:pPr>
              <w:pStyle w:val="Compact"/>
            </w:pPr>
            <w:r>
              <w:t xml:space="preserve">SIFT (proposed)</w:t>
            </w:r>
          </w:p>
        </w:tc>
      </w:tr>
    </w:tbl>
    <w:p>
      <w:pPr>
        <w:pStyle w:val="BodyText"/>
      </w:pPr>
      <w:r>
        <w:rPr>
          <w:b/>
          <w:bCs/>
        </w:rPr>
        <w:t xml:space="preserve">Timeline.</w:t>
      </w:r>
      <w:r>
        <w:t xml:space="preserve"> </w:t>
      </w:r>
      <w:r>
        <w:t xml:space="preserve">Solution Summary due June 25, 2026; full proposal early August 2026. We would value a call this week to scope the TA3 role (and the optional TA2 planning contribution).</w:t>
      </w:r>
      <w:r>
        <w:t xml:space="preserve"> </w:t>
      </w:r>
      <w:r>
        <w:rPr>
          <w:b/>
          <w:bCs/>
        </w:rPr>
        <w:t xml:space="preserve">Contact:</w:t>
      </w:r>
      <w:r>
        <w:t xml:space="preserve"> </w:t>
      </w:r>
      <w:r>
        <w:t xml:space="preserve">Shahin Mohammadi, mohammadi@cytognosis.org.</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2026-06-19T20:09:37Z</dcterms:created>
  <dcterms:modified xsi:type="dcterms:W3CDTF">2026-06-19T20:09:37Z</dcterms:modified>
</cp:coreProperties>
</file>

<file path=docProps/custom.xml><?xml version="1.0" encoding="utf-8"?>
<Properties xmlns="http://schemas.openxmlformats.org/officeDocument/2006/custom-properties" xmlns:vt="http://schemas.openxmlformats.org/officeDocument/2006/docPropsVTypes"/>
</file>