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8915878b3914d4a6628e5be09799fe86c9a3e5d"/>
    <w:p>
      <w:pPr>
        <w:pStyle w:val="Heading1"/>
      </w:pPr>
      <w:r>
        <w:t xml:space="preserve">IGoR teaming: Cellanome and PsychIGoR (Cytognosis and IPAI), TA4 live-cell and single-cell laboratory</w:t>
      </w:r>
    </w:p>
    <w:p>
      <w:pPr>
        <w:pStyle w:val="FirstParagraph"/>
      </w:pPr>
      <w:r>
        <w:rPr>
          <w:b/>
          <w:bCs/>
        </w:rPr>
        <w:t xml:space="preserve">Team PsychIGoR. IPAI (Purdue) prime, with its director, Ananth Grama, as PI. Cytognosis and IPAI lead the disease-model and AI core (TA1 and TA2); McLean Hospital (Harvard) anchors clinical genomics; the protocol layer (TA3) is LabOP-based. TA4 has two arms: Matt Tegtmeyer’s academic lab at Purdue (all wet-lab experiments) and Cellanome (industry execution). Cellanome is advancing as the industry TA4 arm; the operating model is under active discussion.</w:t>
      </w:r>
    </w:p>
    <w:bookmarkStart w:id="9" w:name="the-team-has-come-together"/>
    <w:p>
      <w:pPr>
        <w:pStyle w:val="Heading2"/>
      </w:pPr>
      <w:r>
        <w:t xml:space="preserve">The team has come together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Prime and PI:</w:t>
      </w:r>
      <w:r>
        <w:t xml:space="preserve"> </w:t>
      </w:r>
      <w:r>
        <w:t xml:space="preserve">IPAI, Purdue University; Ananth Grama, Director of IPAI, computation at scale and systems integration.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TA1 and TA2, the disease model and AI engine:</w:t>
      </w:r>
      <w:r>
        <w:t xml:space="preserve"> </w:t>
      </w:r>
      <w:r>
        <w:t xml:space="preserve">Cytognosis (Shahin Mohammadi) and IPAI. A decade of single-cell disease atlases, including the first multi-cohort single-cell atlas of schizophrenia (Ruzicka, Mohammadi et al., Science 2024), and, at insitro, multimodal virtual-cell modeling of NGN2 disease models using genome-wide optical pooled screening (POSH) plus Perturb-seq, the exact imaging-and-transcriptomics screens the R3200 is built to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Clinical and translational:</w:t>
      </w:r>
      <w:r>
        <w:t xml:space="preserve"> </w:t>
      </w:r>
      <w:r>
        <w:t xml:space="preserve">W. Brad Ruzicka, McLean Hospital, a Harvard Medical School affiliate, psychiatric single-cell genomics through PsychENCODE.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TA4 academic arm:</w:t>
      </w:r>
      <w:r>
        <w:t xml:space="preserve"> </w:t>
      </w:r>
      <w:r>
        <w:t xml:space="preserve">Matt Tegtmeyer, Purdue, runs all wet-lab experiments, including iPSC-neuron disease models with multi-modal fixed-cell readouts (RNA ~350-plex, protein ~50-plex, Cell-Painting-style morphology, and in-situ CRISPR-guide sequencing).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Computational morphology and imaging-model lead:</w:t>
      </w:r>
      <w:r>
        <w:t xml:space="preserve"> </w:t>
      </w:r>
      <w:r>
        <w:t xml:space="preserve">Anne Carpenter (IPAI/Purdue), inventor of Cell Painting and CellProfiler. Purely computational: interpretable models for morphology and cellular-imaging data. Consumes readouts from both TA4 arms as the common analysis layer.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Interoperable protocols (TA3):</w:t>
      </w:r>
      <w:r>
        <w:t xml:space="preserve"> </w:t>
      </w:r>
      <w:r>
        <w:t xml:space="preserve">an open, LabOP-based stack.</w:t>
      </w:r>
    </w:p>
    <w:bookmarkEnd w:id="9"/>
    <w:bookmarkStart w:id="10" w:name="what-we-are-building"/>
    <w:p>
      <w:pPr>
        <w:pStyle w:val="Heading2"/>
      </w:pPr>
      <w:r>
        <w:t xml:space="preserve">What we are building</w:t>
      </w:r>
    </w:p>
    <w:p>
      <w:pPr>
        <w:pStyle w:val="FirstParagraph"/>
      </w:pPr>
      <w:r>
        <w:t xml:space="preserve">A self-updating, mechanistic causal model of psychiatric disease, starting with schizophrenia and extending to bipolar disorder in Phase III, that designs its own next experiments (TA2) and validates them in iPSC-derived neural models across penetrant genetic forms such as the 22q11.2 deletion, with transcriptomic, morphological, and functional readouts. Phase I is a phenotypic-triage screen on isogenic iPSC pairs, ready to run. The first joint use case we proposed, automating hypothesis testing through pooled CRISPR screens in neuron and glia co-cultures anchored in a tractable genetic disease model, is exactly the closed loop IGoR rewards.</w:t>
      </w:r>
    </w:p>
    <w:bookmarkEnd w:id="10"/>
    <w:bookmarkStart w:id="11" w:name="where-cellanome-fits-ta4"/>
    <w:p>
      <w:pPr>
        <w:pStyle w:val="Heading2"/>
      </w:pPr>
      <w:r>
        <w:t xml:space="preserve">Where Cellanome fits (TA4)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industry TA4 arm.</w:t>
      </w:r>
      <w:r>
        <w:t xml:space="preserve"> </w:t>
      </w:r>
      <w:r>
        <w:t xml:space="preserve">Cellanome and Matt Tegtmeyer’s academic lab together satisfy the program’s requirement of at least two TA4 laboratories. They are orthogonal, not redundant: Matt’s lab delivers fixed-cell high-plex readouts at very high scale (RNA ~350-plex, protein ~50-plex, Cell-Painting-style morphology, in-situ CRISPR-guide sequencing); Cellanome brings live-cell and temporal readouts the fixed-cell academic arm cannot provide.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instrument, two of our three core readouts.</w:t>
      </w:r>
      <w:r>
        <w:t xml:space="preserve"> </w:t>
      </w:r>
      <w:r>
        <w:t xml:space="preserve">The R3200, with programmable CellCage enclosures, longitudinal live-cell fluorescence imaging, and same-cell scRNA-seq, links time-resolved phenotype directly to the single-cell transcriptome in the same cell. That coupling is rare, and it is exactly what a causal, perturbation-based disease model needs to learn from.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In-lab perturbation.</w:t>
      </w:r>
      <w:r>
        <w:t xml:space="preserve"> </w:t>
      </w:r>
      <w:r>
        <w:t xml:space="preserve">Perturb-LINK pooled CRISPR lets us test TA1-predicted causal edges and feed the results straight back to the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Cross-arm concordance.</w:t>
      </w:r>
      <w:r>
        <w:t xml:space="preserve"> </w:t>
      </w:r>
      <w:r>
        <w:t xml:space="preserve">Running the same iPSC-neuron samples through both the academic fixed-cell platform and the Cellanome R3200 gives a built-in Phase I cross-platform reproducibility milestone, directly mapping onto the program’s concordance gates. Anne Carpenter’s computational morphology models serve as the common analysis layer that makes the two arms comparable.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Operating model.</w:t>
      </w:r>
      <w:r>
        <w:t xml:space="preserve"> </w:t>
      </w:r>
      <w:r>
        <w:t xml:space="preserve">We are discussing two options: placing an R3200 in a PsychIGoR lab (in-house control and capability building) versus sending cells and samples to Cellanome for execution (service model). Cellanome will provide pricing; the decision follows from those numbers. The 2026-06-17 call advanced this discussion with Cellanome eager to collaborate.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Clean division of labor.</w:t>
      </w:r>
      <w:r>
        <w:t xml:space="preserve"> </w:t>
      </w:r>
      <w:r>
        <w:t xml:space="preserve">We own the TA1 and TA2 modeling; Cellanome anchors the industry TA4 execution node returning model-ready data for automatic ingestion, with the LabOP protocol layer carrying assays in and data out.</w:t>
      </w:r>
    </w:p>
    <w:bookmarkEnd w:id="11"/>
    <w:bookmarkStart w:id="12" w:name="what-we-want-to-confirm"/>
    <w:p>
      <w:pPr>
        <w:pStyle w:val="Heading2"/>
      </w:pPr>
      <w:r>
        <w:t xml:space="preserve">What we want to confirm</w:t>
      </w:r>
    </w:p>
    <w:p>
      <w:pPr>
        <w:pStyle w:val="FirstParagraph"/>
      </w:pPr>
      <w:r>
        <w:t xml:space="preserve">Two points shape how we scope the work. First, neuro readouts: the Cellanome neurobiology page shows calcium activity tracked on the R3200 in the neurosphere case study, so the precise question is whether calcium imaging is a standard, shipping capability today and at what temporal resolution (longitudinal calcium activity versus faster neuronal-firing readouts), or whether it sits in a separate configuration. Second, automation and interoperability: how the R3200 exposes assay execution and data (API or scripting) so it can plug into the universal, interoperable protocol layer (TA3, LabOP-based) we are building.</w:t>
      </w:r>
    </w:p>
    <w:bookmarkEnd w:id="12"/>
    <w:bookmarkStart w:id="13" w:name="team-and-next-step"/>
    <w:p>
      <w:pPr>
        <w:pStyle w:val="Heading2"/>
      </w:pPr>
      <w:r>
        <w:t xml:space="preserve">Team and next 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 and PI</w:t>
            </w:r>
          </w:p>
        </w:tc>
        <w:tc>
          <w:tcPr/>
          <w:p>
            <w:pPr>
              <w:pStyle w:val="Compact"/>
            </w:pPr>
            <w:r>
              <w:t xml:space="preserve">IPAI, Purdue University; Ananth Grama (Director, IPAI)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TA1 and TA2 co-leads</w:t>
            </w:r>
          </w:p>
        </w:tc>
        <w:tc>
          <w:tcPr/>
          <w:p>
            <w:pPr>
              <w:pStyle w:val="Compact"/>
            </w:pPr>
            <w:r>
              <w:t xml:space="preserve">Cytognosis Foundation (Shahin Mohammadi, sub-awardee) and IPAI,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and translational</w:t>
            </w:r>
          </w:p>
        </w:tc>
        <w:tc>
          <w:tcPr/>
          <w:p>
            <w:pPr>
              <w:pStyle w:val="Compact"/>
            </w:pPr>
            <w:r>
              <w:t xml:space="preserve">W. Brad Ruzicka, McLean Hospital (Harvard Medical School affiliate)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TA4.1 academic experimental arm</w:t>
            </w:r>
          </w:p>
        </w:tc>
        <w:tc>
          <w:tcPr/>
          <w:p>
            <w:pPr>
              <w:pStyle w:val="Compact"/>
            </w:pPr>
            <w:r>
              <w:t xml:space="preserve">Matt Tegtmeyer lab, Purdue (iPSC-neuron wet-lab experiments; fixed-cell high-plex readouts: RNA ~350-plex, protein ~50-plex, morphology, in-situ CRISPR-guide sequencing)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TA4.1 industry arm (advancing)</w:t>
            </w:r>
          </w:p>
        </w:tc>
        <w:tc>
          <w:tcPr/>
          <w:p>
            <w:pPr>
              <w:pStyle w:val="Compact"/>
            </w:pPr>
            <w:r>
              <w:t xml:space="preserve">Cellanome (live-cell imaging, same-cell scRNA-seq, Perturb-LINK CRISPR on the R3200)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morphology and imaging models</w:t>
            </w:r>
          </w:p>
        </w:tc>
        <w:tc>
          <w:tcPr/>
          <w:p>
            <w:pPr>
              <w:pStyle w:val="Compact"/>
            </w:pPr>
            <w:r>
              <w:t xml:space="preserve">Anne Carpenter (IPAI/Purdue; interpretable models; no wet bench)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TA3 interoperable protocols</w:t>
            </w:r>
          </w:p>
        </w:tc>
        <w:tc>
          <w:tcPr/>
          <w:p>
            <w:pPr>
              <w:pStyle w:val="Compact"/>
            </w:pPr>
            <w:r>
              <w:t xml:space="preserve">SIFT; Daniel Bryce (lead), Robert Goldman (advisory)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TA4.2 sequencing and bioinformatics</w:t>
            </w:r>
          </w:p>
        </w:tc>
        <w:tc>
          <w:tcPr/>
          <w:p>
            <w:pPr>
              <w:pStyle w:val="Compact"/>
            </w:pPr>
            <w:r>
              <w:t xml:space="preserve">Illumina (optional / TBD)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and Systems Architect</w:t>
            </w:r>
          </w:p>
        </w:tc>
        <w:tc>
          <w:tcPr/>
          <w:p>
            <w:pPr>
              <w:pStyle w:val="Compact"/>
            </w:pPr>
            <w:r>
              <w:t xml:space="preserve">Elham Jebalbarezi Sarbijan, IPAI/Purdue (tentative)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Patricia Purcell</w:t>
            </w:r>
          </w:p>
        </w:tc>
      </w:tr>
    </w:tbl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Solution Summary due June 25, 2026; full proposal early August 2026. With the deadline close, we would like to confirm the TA4 role this week, with real budget attached.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Shahin Mohammadi, mohammadi@cytognosis.org.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2026-06-19T20:09:37Z</dcterms:created>
  <dcterms:modified xsi:type="dcterms:W3CDTF">2026-06-19T20:09:37Z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