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ffb627fd27e68f0c81b9dc78fde25e68b19b30f"/>
    <w:p>
      <w:pPr>
        <w:pStyle w:val="Heading1"/>
      </w:pPr>
      <w:r>
        <w:t xml:space="preserve">IGoR teaming: Illumina as the TA4.2 sequencing and bioinformatics readout</w:t>
      </w:r>
    </w:p>
    <w:p>
      <w:pPr>
        <w:pStyle w:val="FirstParagraph"/>
      </w:pPr>
      <w:r>
        <w:rPr>
          <w:b/>
          <w:bCs/>
        </w:rPr>
        <w:t xml:space="preserve">Team PsychIGoR. IPAI (Purdue) prime, with its director, Ananth Grama, as PI; Cytognosis and IPAI lead the disease-model and AI core (TA1 and TA2); McLean Hospital (Harvard) anchors clinical genomics. We are assembling the validated-laboratory layer (TA4) of an ARPA-H closed-loop program, and would value Illumina as the sequencing and bioinformatics node (TA4.2), downstream of the wet-lab partners.</w:t>
      </w:r>
    </w:p>
    <w:bookmarkStart w:id="9" w:name="Xd950091c67020fed36ad756218847b536b19930"/>
    <w:p>
      <w:pPr>
        <w:pStyle w:val="Heading2"/>
      </w:pPr>
      <w:r>
        <w:t xml:space="preserve">The closed loop, and where sequencing sits</w:t>
      </w:r>
    </w:p>
    <w:p>
      <w:pPr>
        <w:pStyle w:val="FirstParagraph"/>
      </w:pPr>
      <w:r>
        <w:t xml:space="preserve">IGoR funds a self-updating loop: a causal disease model (TA1) designs the highest-value next experiment (TA2); validated laboratories run it (TA4) and return model-ready data that updates the model. We are organizing TA4 in two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TA4.1, wet-lab and perturbation.</w:t>
      </w:r>
      <w:r>
        <w:t xml:space="preserve"> </w:t>
      </w:r>
      <w:r>
        <w:t xml:space="preserve">Cell culture, isogenic iPSC models, perturbation, and imaging (Matt Tegtmeyer’s lab at Purdue as the academic experimental arm; Cellanome as the industry arm for live-cell imaging and same-cell library prep). These partners generate cells, run perturbations, and prepare libraries. Anne Carpenter contributes computational morphology and imaging models as the common analysis layer; she does not operate a wet bench.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TA4.2, sequencing and bioinformatics (Illumina).</w:t>
      </w:r>
      <w:r>
        <w:t xml:space="preserve"> </w:t>
      </w:r>
      <w:r>
        <w:t xml:space="preserve">Each iteration produces single-cell and bulk libraries that must be sequenced and processed quickly, then returned to the model: NovaSeq sequencing, DRAGEN for standardized high-speed processing, and Illumina Connected Analytics (ICA) as the data backbone.</w:t>
      </w:r>
    </w:p>
    <w:p>
      <w:pPr>
        <w:pStyle w:val="FirstParagraph"/>
      </w:pPr>
      <w:r>
        <w:t xml:space="preserve">Illumina sits</w:t>
      </w:r>
      <w:r>
        <w:t xml:space="preserve"> </w:t>
      </w:r>
      <w:r>
        <w:rPr>
          <w:b/>
          <w:bCs/>
        </w:rPr>
        <w:t xml:space="preserve">downstream of the cell work</w:t>
      </w:r>
      <w:r>
        <w:t xml:space="preserve">, so there is no wet-lab or cell-culture burden on your side: prepared libraries in, standardized model-ready data out.</w:t>
      </w:r>
    </w:p>
    <w:bookmarkEnd w:id="9"/>
    <w:bookmarkStart w:id="10" w:name="X9ba89ffd1bb9b311e4ab2c8742078699262f1d5"/>
    <w:p>
      <w:pPr>
        <w:pStyle w:val="Heading2"/>
      </w:pPr>
      <w:r>
        <w:t xml:space="preserve">Why this fits Illumina, and the bioinformatics core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Genome-wide single-cell transcriptomics is the readout</w:t>
      </w:r>
      <w:r>
        <w:t xml:space="preserve">, Illumina’s core strength. The targeting lives in which lines and perturbations the wet labs run, not in the sequencing, so the genome-wide capability is the asset.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Sequencing and bioinformatics only.</w:t>
      </w:r>
      <w:r>
        <w:t xml:space="preserve"> </w:t>
      </w:r>
      <w:r>
        <w:t xml:space="preserve">Cell culture, perturbation, and imaging belong to the TA4.1 partners; Illumina owns the readout and the data pipeline.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loop’s cycle-time target rests on the data layer.</w:t>
      </w:r>
      <w:r>
        <w:t xml:space="preserve"> </w:t>
      </w:r>
      <w:r>
        <w:t xml:space="preserve">DRAGEN’s speed and ICA’s standardized, machine-readable outputs are what let each iteration flow back into the model fast enough to hit the program’s acceleration goal. The bioinformatics layer is load-bearing here, not downstream cleanup.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Precedent is established.</w:t>
      </w:r>
      <w:r>
        <w:t xml:space="preserve"> </w:t>
      </w:r>
      <w:r>
        <w:t xml:space="preserve">Illumina already supports an ARPA-H genomic-data program (the PCX pediatric effort with D3b, using DRAGEN and ICA), so a research collaboration on a federal program is a known path rather than net-new.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Optional single-cell chemistry.</w:t>
      </w:r>
      <w:r>
        <w:t xml:space="preserve"> </w:t>
      </w:r>
      <w:r>
        <w:t xml:space="preserve">If useful at the TA4.1-to-TA4.2 handoff, PIPseq (instrument-free single-cell) offers a standardized library-generation interface.</w:t>
      </w:r>
    </w:p>
    <w:bookmarkEnd w:id="10"/>
    <w:bookmarkStart w:id="11" w:name="protocols-and-interoperability"/>
    <w:p>
      <w:pPr>
        <w:pStyle w:val="Heading2"/>
      </w:pPr>
      <w:r>
        <w:t xml:space="preserve">Protocols and interoperability</w:t>
      </w:r>
    </w:p>
    <w:p>
      <w:pPr>
        <w:pStyle w:val="FirstParagraph"/>
      </w:pPr>
      <w:r>
        <w:t xml:space="preserve">TA3 provides protocol portability, built on LabOP, so an experiment can move between laboratories. Illumina’s interface is well-defined under either workable arrangement:</w:t>
      </w:r>
    </w:p>
    <w:p>
      <w:pPr>
        <w:pStyle w:val="Compact"/>
        <w:numPr>
          <w:ilvl w:val="0"/>
          <w:numId w:val="1003"/>
        </w:numPr>
      </w:pPr>
      <w:r>
        <w:t xml:space="preserve">LabOP standardizes protocols across both TA4.1 (assays and perturbation) and TA4.2 (sequencing), giving one portable representation end to end; or, more likely,</w:t>
      </w:r>
    </w:p>
    <w:p>
      <w:pPr>
        <w:pStyle w:val="Compact"/>
        <w:numPr>
          <w:ilvl w:val="0"/>
          <w:numId w:val="1003"/>
        </w:numPr>
      </w:pPr>
      <w:r>
        <w:t xml:space="preserve">LabOP remains the independent protocol layer, and each laboratory translates its own needs into executable protocols, including the sequencing handoff. Either way, TA4.2 is a clean, standardized interface: defined libraries and sample sheets in, DRAGEN and ICA outputs out.</w:t>
      </w:r>
    </w:p>
    <w:bookmarkEnd w:id="11"/>
    <w:bookmarkStart w:id="12" w:name="team-and-next-step"/>
    <w:p>
      <w:pPr>
        <w:pStyle w:val="Heading2"/>
      </w:pPr>
      <w:r>
        <w:t xml:space="preserve">Team and next step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 and PI</w:t>
            </w:r>
          </w:p>
        </w:tc>
        <w:tc>
          <w:tcPr/>
          <w:p>
            <w:pPr>
              <w:pStyle w:val="Compact"/>
            </w:pPr>
            <w:r>
              <w:t xml:space="preserve">IPAI, Purdue University; Ananth Grama (Director, IPAI)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TA1 and TA2 co-leads</w:t>
            </w:r>
          </w:p>
        </w:tc>
        <w:tc>
          <w:tcPr/>
          <w:p>
            <w:pPr>
              <w:pStyle w:val="Compact"/>
            </w:pPr>
            <w:r>
              <w:t xml:space="preserve">Cytognosis Foundation (Shahin Mohammadi, sub-awardee) and IPAI, Purdue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and translational</w:t>
            </w:r>
          </w:p>
        </w:tc>
        <w:tc>
          <w:tcPr/>
          <w:p>
            <w:pPr>
              <w:pStyle w:val="Compact"/>
            </w:pPr>
            <w:r>
              <w:t xml:space="preserve">W. Brad Ruzicka, McLean Hospital (Harvard Medical School affiliate)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TA4.1 academic experimental arm</w:t>
            </w:r>
          </w:p>
        </w:tc>
        <w:tc>
          <w:tcPr/>
          <w:p>
            <w:pPr>
              <w:pStyle w:val="Compact"/>
            </w:pPr>
            <w:r>
              <w:t xml:space="preserve">Matt Tegtmeyer lab, Purdue (iPSC-neuron wet-lab experiments)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TA4.1 industry arm</w:t>
            </w:r>
          </w:p>
        </w:tc>
        <w:tc>
          <w:tcPr/>
          <w:p>
            <w:pPr>
              <w:pStyle w:val="Compact"/>
            </w:pPr>
            <w:r>
              <w:t xml:space="preserve">Cellanome (live-cell imaging, same-cell scRNA-seq; advancing)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Computational morphology and imaging models</w:t>
            </w:r>
          </w:p>
        </w:tc>
        <w:tc>
          <w:tcPr/>
          <w:p>
            <w:pPr>
              <w:pStyle w:val="Compact"/>
            </w:pPr>
            <w:r>
              <w:t xml:space="preserve">Anne Carpenter (IPAI/Purdue; no wet bench)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TA4.2 sequencing and bioinformatics</w:t>
            </w:r>
          </w:p>
        </w:tc>
        <w:tc>
          <w:tcPr/>
          <w:p>
            <w:pPr>
              <w:pStyle w:val="Compact"/>
            </w:pPr>
            <w:r>
              <w:t xml:space="preserve">Illumina (optional / TBD)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Interoperable protocols (TA3)</w:t>
            </w:r>
          </w:p>
        </w:tc>
        <w:tc>
          <w:tcPr/>
          <w:p>
            <w:pPr>
              <w:pStyle w:val="Compact"/>
            </w:pPr>
            <w:r>
              <w:t xml:space="preserve">LabOP-based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Solution Summary due June 25, 2026; full proposal early August 2026. We would value a short conversation to scope the TA4.2 role and the collaboration vehicle that fits Illumina best (in-kind sequencing and reagents, an investigator collaboration, or a named subcontract).</w:t>
      </w:r>
      <w:r>
        <w:t xml:space="preserve"> </w:t>
      </w:r>
      <w:r>
        <w:rPr>
          <w:b/>
          <w:bCs/>
        </w:rPr>
        <w:t xml:space="preserve">Contact:</w:t>
      </w:r>
      <w:r>
        <w:t xml:space="preserve"> </w:t>
      </w:r>
      <w:r>
        <w:t xml:space="preserve">Shahin Mohammadi, mohammadi@cytognosis.org.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2026-06-19T20:09:37Z</dcterms:created>
  <dcterms:modified xsi:type="dcterms:W3CDTF">2026-06-19T20:09:37Z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