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fab45baa7fd11e290f8d84a7814d10f874baed2"/>
    <w:p>
      <w:pPr>
        <w:pStyle w:val="Heading1"/>
      </w:pPr>
      <w:r>
        <w:t xml:space="preserve">IGoR teaming: Illumina and Cytognosis/IPAI, TA4 sequencing and data</w:t>
      </w:r>
    </w:p>
    <w:p>
      <w:pPr>
        <w:pStyle w:val="FirstParagraph"/>
      </w:pPr>
      <w:r>
        <w:rPr>
          <w:b/>
          <w:bCs/>
        </w:rPr>
        <w:t xml:space="preserve">Team PsychIGoR. IPAI (Purdue) prime, with Ananth Grama as PI; Cytognosis and IPAI lead the disease-model and AI core (TA1 and TA2). We are assembling the validated-laboratory side (TA4) of an ARPA-H closed-loop program, and would value Illumina as the sequencing and data partner.</w:t>
      </w:r>
      <w:r>
        <w:t xml:space="preserve"> </w:t>
      </w:r>
      <w:r>
        <w:t xml:space="preserve">A short companion sheet explains the IGoR program itself.</w:t>
      </w:r>
    </w:p>
    <w:bookmarkStart w:id="9" w:name="what-we-bring-and-have-already-built"/>
    <w:p>
      <w:pPr>
        <w:pStyle w:val="Heading2"/>
      </w:pPr>
      <w:r>
        <w:t xml:space="preserve">What we bring, and have already built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causal, self-updating disease model (TA1)</w:t>
      </w:r>
      <w:r>
        <w:t xml:space="preserve"> </w:t>
      </w:r>
      <w:r>
        <w:t xml:space="preserve">for psychiatric disease, grounded in penetrant genetic forms (such as 22q11.2 deletion) modeled in iPSC cells.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New Science Engine (TA2)</w:t>
      </w:r>
      <w:r>
        <w:t xml:space="preserve"> </w:t>
      </w:r>
      <w:r>
        <w:t xml:space="preserve">that designs the highest-value next experiment by interrogating the model, then ingests the results automatically.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Phase I experiment ready to run:</w:t>
      </w:r>
      <w:r>
        <w:t xml:space="preserve"> </w:t>
      </w:r>
      <w:r>
        <w:t xml:space="preserve">a phenotypic-triage screen generating high volumes of single-cell sequencing across an isogenic iPSC variant panel.</w:t>
      </w:r>
    </w:p>
    <w:p>
      <w:pPr>
        <w:pStyle w:val="Compact"/>
        <w:numPr>
          <w:ilvl w:val="0"/>
          <w:numId w:val="1001"/>
        </w:numPr>
      </w:pPr>
      <w:r>
        <w:t xml:space="preserve">A committed prime (IPAI/Purdue) and a single-cell and psychiatric-genetics core; a team that already speaks Illumina’s language end to end.</w:t>
      </w:r>
    </w:p>
    <w:bookmarkEnd w:id="9"/>
    <w:bookmarkStart w:id="10" w:name="where-illumina-fits"/>
    <w:p>
      <w:pPr>
        <w:pStyle w:val="Heading2"/>
      </w:pPr>
      <w:r>
        <w:t xml:space="preserve">Where Illumina fits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TA4 single-cell and bulk sequencing readout.</w:t>
      </w:r>
      <w:r>
        <w:t xml:space="preserve"> </w:t>
      </w:r>
      <w:r>
        <w:t xml:space="preserve">Every loop iteration produces cells that must be profiled fast; PIPseq (instrument-free single-cell) plus NovaSeq and DRAGEN is the</w:t>
      </w:r>
      <w:r>
        <w:t xml:space="preserve"> </w:t>
      </w:r>
      <w:r>
        <w:rPr>
          <w:b/>
          <w:bCs/>
        </w:rPr>
        <w:t xml:space="preserve">lowest-friction high-throughput readout</w:t>
      </w:r>
      <w:r>
        <w:t xml:space="preserve"> </w:t>
      </w:r>
      <w:r>
        <w:t xml:space="preserve">for an iterative perturbation program.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Model-ready data infrastructure.</w:t>
      </w:r>
      <w:r>
        <w:t xml:space="preserve"> </w:t>
      </w:r>
      <w:r>
        <w:t xml:space="preserve">Standardized, machine-readable outputs that flow straight back into the TA1 model, the data backbone of the marketplace (TA4).</w:t>
      </w:r>
    </w:p>
    <w:bookmarkEnd w:id="10"/>
    <w:bookmarkStart w:id="11" w:name="why-this-is-a-strong-match"/>
    <w:p>
      <w:pPr>
        <w:pStyle w:val="Heading2"/>
      </w:pPr>
      <w:r>
        <w:t xml:space="preserve">Why this is a strong match</w:t>
      </w:r>
    </w:p>
    <w:p>
      <w:pPr>
        <w:pStyle w:val="Compact"/>
        <w:numPr>
          <w:ilvl w:val="0"/>
          <w:numId w:val="1003"/>
        </w:numPr>
      </w:pPr>
      <w:r>
        <w:t xml:space="preserve">Illumina already has an</w:t>
      </w:r>
      <w:r>
        <w:t xml:space="preserve"> </w:t>
      </w:r>
      <w:r>
        <w:rPr>
          <w:b/>
          <w:bCs/>
        </w:rPr>
        <w:t xml:space="preserve">ARPA-H relationship</w:t>
      </w:r>
      <w:r>
        <w:t xml:space="preserve"> </w:t>
      </w:r>
      <w:r>
        <w:t xml:space="preserve">(the PCX pediatric-cancer program), so the path to a research collaboration on a government program is established, not net-new.</w:t>
      </w:r>
    </w:p>
    <w:p>
      <w:pPr>
        <w:pStyle w:val="Compact"/>
        <w:numPr>
          <w:ilvl w:val="0"/>
          <w:numId w:val="1003"/>
        </w:numPr>
      </w:pPr>
      <w:r>
        <w:t xml:space="preserve">The collaboration can start in whatever form fits Illumina best,</w:t>
      </w:r>
      <w:r>
        <w:t xml:space="preserve"> </w:t>
      </w:r>
      <w:r>
        <w:rPr>
          <w:b/>
          <w:bCs/>
        </w:rPr>
        <w:t xml:space="preserve">in-kind sequencing and reagents, an investigator-style research collaboration, or a named subcontract</w:t>
      </w:r>
      <w:r>
        <w:t xml:space="preserve">; we are flexible on the vehicle and will help find the right internal owner.</w:t>
      </w:r>
    </w:p>
    <w:p>
      <w:pPr>
        <w:pStyle w:val="Compact"/>
        <w:numPr>
          <w:ilvl w:val="0"/>
          <w:numId w:val="1003"/>
        </w:numPr>
      </w:pPr>
      <w:r>
        <w:t xml:space="preserve">Strong existing rapport with Illumina scientists in the single-cell and neuroscience space gives us a credible, technically fluent working relationship from day one.</w:t>
      </w:r>
    </w:p>
    <w:bookmarkEnd w:id="11"/>
    <w:bookmarkStart w:id="12" w:name="team-and-next-step"/>
    <w:p>
      <w:pPr>
        <w:pStyle w:val="Heading2"/>
      </w:pPr>
      <w:r>
        <w:t xml:space="preserve">Team and next step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Prime and PI</w:t>
            </w:r>
          </w:p>
        </w:tc>
        <w:tc>
          <w:tcPr/>
          <w:p>
            <w:pPr>
              <w:pStyle w:val="Compact"/>
            </w:pPr>
            <w:r>
              <w:t xml:space="preserve">IPAI, Purdue University; Ananth Grama (Director, IPAI)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TA1 and TA2 co-leads</w:t>
            </w:r>
          </w:p>
        </w:tc>
        <w:tc>
          <w:tcPr/>
          <w:p>
            <w:pPr>
              <w:pStyle w:val="Compact"/>
            </w:pPr>
            <w:r>
              <w:t xml:space="preserve">Cytognosis Foundation (Shahin Mohammadi, sub-awardee) and IPAI, Purdue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Clinical and translational</w:t>
            </w:r>
          </w:p>
        </w:tc>
        <w:tc>
          <w:tcPr/>
          <w:p>
            <w:pPr>
              <w:pStyle w:val="Compact"/>
            </w:pPr>
            <w:r>
              <w:t xml:space="preserve">W. Brad Ruzicka, McLean Hospital (Harvard Medical School affiliate)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TA4.1 academic experimental arm</w:t>
            </w:r>
          </w:p>
        </w:tc>
        <w:tc>
          <w:tcPr/>
          <w:p>
            <w:pPr>
              <w:pStyle w:val="Compact"/>
            </w:pPr>
            <w:r>
              <w:t xml:space="preserve">Matt Tegtmeyer lab, Purdue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TA4.1 industry arm</w:t>
            </w:r>
          </w:p>
        </w:tc>
        <w:tc>
          <w:tcPr/>
          <w:p>
            <w:pPr>
              <w:pStyle w:val="Compact"/>
            </w:pPr>
            <w:r>
              <w:t xml:space="preserve">Cellanome (advancing)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Computational morphology and imaging models</w:t>
            </w:r>
          </w:p>
        </w:tc>
        <w:tc>
          <w:tcPr/>
          <w:p>
            <w:pPr>
              <w:pStyle w:val="Compact"/>
            </w:pPr>
            <w:r>
              <w:t xml:space="preserve">Anne Carpenter (IPAI/Purdue; no wet bench)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TA3 interoperable protocols</w:t>
            </w:r>
          </w:p>
        </w:tc>
        <w:tc>
          <w:tcPr/>
          <w:p>
            <w:pPr>
              <w:pStyle w:val="Compact"/>
            </w:pPr>
            <w:r>
              <w:t xml:space="preserve">SIFT; Daniel Bryce (lead), Robert Goldman (advisory)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TA4.2 sequencing and bioinformatics</w:t>
            </w:r>
          </w:p>
        </w:tc>
        <w:tc>
          <w:tcPr/>
          <w:p>
            <w:pPr>
              <w:pStyle w:val="Compact"/>
            </w:pPr>
            <w:r>
              <w:t xml:space="preserve">Illumina (proposed)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and Systems Architect</w:t>
            </w:r>
          </w:p>
        </w:tc>
        <w:tc>
          <w:tcPr/>
          <w:p>
            <w:pPr>
              <w:pStyle w:val="Compact"/>
            </w:pPr>
            <w:r>
              <w:t xml:space="preserve">Elham Jebalbarezi Sarbijan, IPAI/Purdue (tentative)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Patricia Purcell</w:t>
            </w:r>
          </w:p>
        </w:tc>
      </w:tr>
    </w:tbl>
    <w:p>
      <w:pPr>
        <w:pStyle w:val="BodyText"/>
      </w:pPr>
      <w:r>
        <w:rPr>
          <w:b/>
          <w:bCs/>
        </w:rPr>
        <w:t xml:space="preserve">Timeline.</w:t>
      </w:r>
      <w:r>
        <w:t xml:space="preserve"> </w:t>
      </w:r>
      <w:r>
        <w:t xml:space="preserve">Solution Summary due June 25, 2026; full proposal early August 2026. We would value a conversation this week to find the right collaboration vehicle and internal sponsor.</w:t>
      </w:r>
      <w:r>
        <w:t xml:space="preserve"> </w:t>
      </w:r>
      <w:r>
        <w:rPr>
          <w:b/>
          <w:bCs/>
        </w:rPr>
        <w:t xml:space="preserve">Contact:</w:t>
      </w:r>
      <w:r>
        <w:t xml:space="preserve"> </w:t>
      </w:r>
      <w:r>
        <w:t xml:space="preserve">Shahin Mohammadi, mohammadi@cytognosis.org.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2026-06-18T18:50:25Z</dcterms:created>
  <dcterms:modified xsi:type="dcterms:W3CDTF">2026-06-18T18:50:25Z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