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62a3378ca42ea84f10a2242fca7aa058c659c70"/>
    <w:p>
      <w:pPr>
        <w:pStyle w:val="Heading1"/>
      </w:pPr>
      <w:r>
        <w:t xml:space="preserve">A collaboration concept: Xaira and Cytognosis/IPAI on ARPA-H IGoR</w:t>
      </w:r>
    </w:p>
    <w:p>
      <w:pPr>
        <w:pStyle w:val="FirstParagraph"/>
      </w:pPr>
      <w:r>
        <w:rPr>
          <w:b/>
          <w:bCs/>
        </w:rPr>
        <w:t xml:space="preserve">Not a subcontract pitch. A proposal to build, inside a funded ARPA-H program, the joint clinical-cellular factorization we have talked about for years.</w:t>
      </w:r>
      <w:r>
        <w:t xml:space="preserve"> </w:t>
      </w:r>
      <w:r>
        <w:t xml:space="preserve">IPAI (Purdue) is prime, with Ananth Grama as PI; Cytognosis and IPAI lead the disease-model and AI core (team</w:t>
      </w:r>
      <w:r>
        <w:t xml:space="preserve"> </w:t>
      </w:r>
      <w:r>
        <w:rPr>
          <w:b/>
          <w:bCs/>
        </w:rPr>
        <w:t xml:space="preserve">PsychIGoR</w:t>
      </w:r>
      <w:r>
        <w:t xml:space="preserve">). A short companion sheet explains the IGoR program itself.</w:t>
      </w:r>
    </w:p>
    <w:bookmarkStart w:id="9" w:name="the-shared-problem"/>
    <w:p>
      <w:pPr>
        <w:pStyle w:val="Heading2"/>
      </w:pPr>
      <w:r>
        <w:t xml:space="preserve">The shared problem</w:t>
      </w:r>
    </w:p>
    <w:p>
      <w:pPr>
        <w:pStyle w:val="FirstParagraph"/>
      </w:pPr>
      <w:r>
        <w:t xml:space="preserve">Both insitro and Xaira model</w:t>
      </w:r>
      <w:r>
        <w:t xml:space="preserve"> </w:t>
      </w:r>
      <w:r>
        <w:rPr>
          <w:b/>
          <w:bCs/>
        </w:rPr>
        <w:t xml:space="preserve">one domain and validate in the other post hoc</w:t>
      </w:r>
      <w:r>
        <w:t xml:space="preserve">: learn from human genetics (GWAS and whole-genome data) and confirm in cells, or learn from in-vitro perturbation and confirm in human genetics. That ordering leaks. Many in-vitro axes are</w:t>
      </w:r>
      <w:r>
        <w:t xml:space="preserve"> </w:t>
      </w:r>
      <w:r>
        <w:rPr>
          <w:b/>
          <w:bCs/>
        </w:rPr>
        <w:t xml:space="preserve">pure cellular artifacts</w:t>
      </w:r>
      <w:r>
        <w:t xml:space="preserve"> </w:t>
      </w:r>
      <w:r>
        <w:t xml:space="preserve">(differentiation stage, batch, culture state) that look like biology but are not, and many clinical signals never get a mechanistic cellular anchor. This bites hardest exactly where a</w:t>
      </w:r>
      <w:r>
        <w:t xml:space="preserve"> </w:t>
      </w:r>
      <w:r>
        <w:rPr>
          <w:b/>
          <w:bCs/>
        </w:rPr>
        <w:t xml:space="preserve">scalable cell-line platform meets a hard domain like CNS</w:t>
      </w:r>
      <w:r>
        <w:t xml:space="preserve">: signal that looks real in tractable lines may not survive the move to disease-relevant neurons, and post-hoc validation finds out too late. We discussed the fix repeatedly and never built it.</w:t>
      </w:r>
    </w:p>
    <w:bookmarkEnd w:id="9"/>
    <w:bookmarkStart w:id="10" w:name="X91732421a5dddf5c39aea59ef9b059e339c1c83"/>
    <w:p>
      <w:pPr>
        <w:pStyle w:val="Heading2"/>
      </w:pPr>
      <w:r>
        <w:t xml:space="preserve">The idea: joint factorization across clinical and cellular domains</w:t>
      </w:r>
    </w:p>
    <w:p>
      <w:pPr>
        <w:pStyle w:val="FirstParagraph"/>
      </w:pPr>
      <w:r>
        <w:t xml:space="preserve">Learn</w:t>
      </w:r>
      <w:r>
        <w:t xml:space="preserve"> </w:t>
      </w:r>
      <w:r>
        <w:rPr>
          <w:b/>
          <w:bCs/>
        </w:rPr>
        <w:t xml:space="preserve">one shared factor space across clinical and cellular data at once</w:t>
      </w:r>
      <w:r>
        <w:t xml:space="preserve">, so the axes that matter are constrained by both human genetics and cellular perturbation simultaneously, and culture artifacts cannot masquerade as disease signal. This is the heart of our TA1 disease model, and it is the natural meeting point of Xaira’s perturbation scale and our causal, clinically grounded factorization.</w:t>
      </w:r>
    </w:p>
    <w:bookmarkEnd w:id="10"/>
    <w:bookmarkStart w:id="11" w:name="what-each-side-brings"/>
    <w:p>
      <w:pPr>
        <w:pStyle w:val="Heading2"/>
      </w:pPr>
      <w:r>
        <w:t xml:space="preserve">What each side brings</w:t>
      </w:r>
    </w:p>
    <w:p>
      <w:pPr>
        <w:pStyle w:val="Compact"/>
        <w:numPr>
          <w:ilvl w:val="0"/>
          <w:numId w:val="1001"/>
        </w:numPr>
      </w:pPr>
      <w:r>
        <w:rPr>
          <w:b/>
          <w:bCs/>
        </w:rPr>
        <w:t xml:space="preserve">Xaira:</w:t>
      </w:r>
      <w:r>
        <w:t xml:space="preserve"> </w:t>
      </w:r>
      <w:r>
        <w:t xml:space="preserve">a full cellular platform, perturbation data and model scale (genome-wide CRISPRi), iPSC-neuron systems, and automated, robotic cell-culture execution.</w:t>
      </w:r>
    </w:p>
    <w:p>
      <w:pPr>
        <w:pStyle w:val="Compact"/>
        <w:numPr>
          <w:ilvl w:val="0"/>
          <w:numId w:val="1001"/>
        </w:numPr>
      </w:pPr>
      <w:r>
        <w:rPr>
          <w:b/>
          <w:bCs/>
        </w:rPr>
        <w:t xml:space="preserve">Cytognosis and IPAI:</w:t>
      </w:r>
      <w:r>
        <w:t xml:space="preserve"> </w:t>
      </w:r>
      <w:r>
        <w:t xml:space="preserve">the clinical and disease half a cellular platform cannot generate alone, paired</w:t>
      </w:r>
      <w:r>
        <w:t xml:space="preserve"> </w:t>
      </w:r>
      <w:r>
        <w:rPr>
          <w:b/>
          <w:bCs/>
        </w:rPr>
        <w:t xml:space="preserve">psychiatric clinical cohorts</w:t>
      </w:r>
      <w:r>
        <w:t xml:space="preserve"> </w:t>
      </w:r>
      <w:r>
        <w:t xml:space="preserve">and</w:t>
      </w:r>
      <w:r>
        <w:t xml:space="preserve"> </w:t>
      </w:r>
      <w:r>
        <w:rPr>
          <w:b/>
          <w:bCs/>
        </w:rPr>
        <w:t xml:space="preserve">penetrant-genetic disease definitions (22q11.2 and SCHEMA genes)</w:t>
      </w:r>
      <w:r>
        <w:t xml:space="preserve"> </w:t>
      </w:r>
      <w:r>
        <w:t xml:space="preserve">as a clean causal testbed; the</w:t>
      </w:r>
      <w:r>
        <w:t xml:space="preserve"> </w:t>
      </w:r>
      <w:r>
        <w:rPr>
          <w:b/>
          <w:bCs/>
        </w:rPr>
        <w:t xml:space="preserve">joint clinical-cellular factorization</w:t>
      </w:r>
      <w:r>
        <w:t xml:space="preserve"> </w:t>
      </w:r>
      <w:r>
        <w:t xml:space="preserve">method; a causal generative model that separates disease from treatment effect; and the funded ARPA-H closed-loop vehicle (interoperable protocols TA3, validated labs TA4).</w:t>
      </w:r>
    </w:p>
    <w:bookmarkEnd w:id="11"/>
    <w:bookmarkStart w:id="12" w:name="X5f79b23c344e0e7e8ea6393667174abf217b80f"/>
    <w:p>
      <w:pPr>
        <w:pStyle w:val="Heading2"/>
      </w:pPr>
      <w:r>
        <w:t xml:space="preserve">Why IGoR is the right vehicle (beyond the money)</w:t>
      </w:r>
    </w:p>
    <w:p>
      <w:pPr>
        <w:pStyle w:val="Compact"/>
        <w:numPr>
          <w:ilvl w:val="0"/>
          <w:numId w:val="1002"/>
        </w:numPr>
      </w:pPr>
      <w:r>
        <w:t xml:space="preserve">It funds the</w:t>
      </w:r>
      <w:r>
        <w:t xml:space="preserve"> </w:t>
      </w:r>
      <w:r>
        <w:rPr>
          <w:b/>
          <w:bCs/>
        </w:rPr>
        <w:t xml:space="preserve">closed-loop platform and the experimental cycle-time</w:t>
      </w:r>
      <w:r>
        <w:t xml:space="preserve"> </w:t>
      </w:r>
      <w:r>
        <w:t xml:space="preserve">improvements that make a perturbation program compounding rather than one-shot, the cycle problem we both know matters more than any single dataset.</w:t>
      </w:r>
    </w:p>
    <w:p>
      <w:pPr>
        <w:pStyle w:val="Compact"/>
        <w:numPr>
          <w:ilvl w:val="0"/>
          <w:numId w:val="1002"/>
        </w:numPr>
      </w:pPr>
      <w:r>
        <w:t xml:space="preserve">It is</w:t>
      </w:r>
      <w:r>
        <w:t xml:space="preserve"> </w:t>
      </w:r>
      <w:r>
        <w:rPr>
          <w:b/>
          <w:bCs/>
        </w:rPr>
        <w:t xml:space="preserve">open-standards and interoperability</w:t>
      </w:r>
      <w:r>
        <w:t xml:space="preserve"> </w:t>
      </w:r>
      <w:r>
        <w:t xml:space="preserve">by design, which de-risks data and protocol portability and lets a collaboration outlive any one experiment.</w:t>
      </w:r>
    </w:p>
    <w:p>
      <w:pPr>
        <w:pStyle w:val="Compact"/>
        <w:numPr>
          <w:ilvl w:val="0"/>
          <w:numId w:val="1002"/>
        </w:numPr>
      </w:pPr>
      <w:r>
        <w:t xml:space="preserve">It is a chance to demonstrate the joint-factorization thesis on</w:t>
      </w:r>
      <w:r>
        <w:t xml:space="preserve"> </w:t>
      </w:r>
      <w:r>
        <w:rPr>
          <w:b/>
          <w:bCs/>
        </w:rPr>
        <w:t xml:space="preserve">penetrant psychiatric genetics</w:t>
      </w:r>
      <w:r>
        <w:t xml:space="preserve"> </w:t>
      </w:r>
      <w:r>
        <w:t xml:space="preserve">(a clean, causal testbed), with results that generalize to Xaira’s broader programs.</w:t>
      </w:r>
    </w:p>
    <w:bookmarkEnd w:id="12"/>
    <w:bookmarkStart w:id="13" w:name="next-step"/>
    <w:p>
      <w:pPr>
        <w:pStyle w:val="Heading2"/>
      </w:pPr>
      <w:r>
        <w:t xml:space="preserve">Next step</w:t>
      </w:r>
    </w:p>
    <w:p>
      <w:pPr>
        <w:pStyle w:val="FirstParagraph"/>
      </w:pPr>
      <w:r>
        <w:t xml:space="preserve">A scientific conversation between Shahin and Ci Chu (and Bo Wang) on scope and the right form of collaboration. Solution Summary is due June 25, 2026; the full proposal in early August 2026, so the useful window is now.</w:t>
      </w:r>
      <w:r>
        <w:t xml:space="preserve"> </w:t>
      </w:r>
      <w:r>
        <w:rPr>
          <w:b/>
          <w:bCs/>
        </w:rPr>
        <w:t xml:space="preserve">Contact:</w:t>
      </w:r>
      <w:r>
        <w:t xml:space="preserve"> </w:t>
      </w:r>
      <w:r>
        <w:t xml:space="preserve">Shahin Mohammadi, mohammadi@cytognosis.org.</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2026-06-18T18:50:26Z</dcterms:created>
  <dcterms:modified xsi:type="dcterms:W3CDTF">2026-06-18T18:50:26Z</dcterms:modified>
</cp:coreProperties>
</file>

<file path=docProps/custom.xml><?xml version="1.0" encoding="utf-8"?>
<Properties xmlns="http://schemas.openxmlformats.org/officeDocument/2006/custom-properties" xmlns:vt="http://schemas.openxmlformats.org/officeDocument/2006/docPropsVTypes"/>
</file>