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2f47a3e6a10d7a5dae5a8a93ba3eff4a89262f"/>
    <w:p>
      <w:pPr>
        <w:pStyle w:val="Heading1"/>
      </w:pPr>
      <w:r>
        <w:t xml:space="preserve">IGoR teaming: SPOC Biosciences and Cytognosis/IPAI, TA4 protein-level validation</w:t>
      </w:r>
    </w:p>
    <w:p>
      <w:pPr>
        <w:pStyle w:val="FirstParagraph"/>
      </w:pPr>
      <w:r>
        <w:rPr>
          <w:b/>
          <w:bCs/>
        </w:rPr>
        <w:t xml:space="preserve">Team PsychIGoR. IPAI (Purdue) prime, with Ananth Grama as PI; Cytognosis and IPAI lead the disease-model and AI core (TA1 and TA2). Thank you for reaching out. Your cell-free protein platform is a strong orthogonal addition to our validated-laboratory side (TA4).</w:t>
      </w:r>
    </w:p>
    <w:bookmarkStart w:id="9" w:name="what-we-bring-and-have-already-built"/>
    <w:p>
      <w:pPr>
        <w:pStyle w:val="Heading2"/>
      </w:pPr>
      <w:r>
        <w:t xml:space="preserve">What we bring, and have already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causal, self-updating disease model (TA1)</w:t>
      </w:r>
      <w:r>
        <w:t xml:space="preserve"> </w:t>
      </w:r>
      <w:r>
        <w:t xml:space="preserve">for psychiatric disease, grounded in penetrant genetic forms (such as 22q11.2 deletion and high-odds-ratio SCHEMA genes) modeled in iPSC cells.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New Science Engine (TA2)</w:t>
      </w:r>
      <w:r>
        <w:t xml:space="preserve"> </w:t>
      </w:r>
      <w:r>
        <w:t xml:space="preserve">that designs the highest-value next experiment by interrogating the model; it can define the exact protein or antibody list for your platform to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Phase I experiment ready to run</w:t>
      </w:r>
      <w:r>
        <w:t xml:space="preserve"> </w:t>
      </w:r>
      <w:r>
        <w:t xml:space="preserve">across cellular readouts, where protein-level validation adds an independent, orthogonal axis of confirmation.</w:t>
      </w:r>
    </w:p>
    <w:p>
      <w:pPr>
        <w:pStyle w:val="Compact"/>
        <w:numPr>
          <w:ilvl w:val="0"/>
          <w:numId w:val="1001"/>
        </w:numPr>
      </w:pPr>
      <w:r>
        <w:t xml:space="preserve">A committed prime (IPAI/Purdue) and a single-cell and psychiatric-genetics core, with Cell Painting phenomics (Anne Carpenter) on the team.</w:t>
      </w:r>
    </w:p>
    <w:bookmarkEnd w:id="9"/>
    <w:bookmarkStart w:id="10" w:name="where-spoc-fits"/>
    <w:p>
      <w:pPr>
        <w:pStyle w:val="Heading2"/>
      </w:pPr>
      <w:r>
        <w:t xml:space="preserve">Where SPOC 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Orthogonal protein-level validation (TA4).</w:t>
      </w:r>
      <w:r>
        <w:t xml:space="preserve"> </w:t>
      </w:r>
      <w:r>
        <w:t xml:space="preserve">Cell-free expression of up to 1,152 proteins or antibodies, with SPR kinetics, Cryo-EM, and MALDI, to</w:t>
      </w:r>
      <w:r>
        <w:t xml:space="preserve"> </w:t>
      </w:r>
      <w:r>
        <w:rPr>
          <w:b/>
          <w:bCs/>
        </w:rPr>
        <w:t xml:space="preserve">confirm TA1-predicted protein-protein interactions</w:t>
      </w:r>
      <w:r>
        <w:t xml:space="preserve"> </w:t>
      </w:r>
      <w:r>
        <w:t xml:space="preserve">and resolve mechanism where cellular assays cannot.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Variant effect at amino-acid resolution.</w:t>
      </w:r>
      <w:r>
        <w:t xml:space="preserve"> </w:t>
      </w:r>
      <w:r>
        <w:t xml:space="preserve">Deep mutational scanning of our penetrant-variant panel to quantify binding and stability effects, feeding the causal model directly.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Biomarker readouts.</w:t>
      </w:r>
      <w:r>
        <w:t xml:space="preserve"> </w:t>
      </w:r>
      <w:r>
        <w:t xml:space="preserve">Plasma and CSF proteomics (autoantibodies, PTM- and isoform-specific markers) for translational endpoints.</w:t>
      </w:r>
    </w:p>
    <w:bookmarkEnd w:id="10"/>
    <w:bookmarkStart w:id="11" w:name="why-this-is-a-strong-match"/>
    <w:p>
      <w:pPr>
        <w:pStyle w:val="Heading2"/>
      </w:pPr>
      <w:r>
        <w:t xml:space="preserve">Why this is a strong match</w:t>
      </w:r>
    </w:p>
    <w:p>
      <w:pPr>
        <w:pStyle w:val="Compact"/>
        <w:numPr>
          <w:ilvl w:val="0"/>
          <w:numId w:val="1003"/>
        </w:numPr>
      </w:pPr>
      <w:r>
        <w:t xml:space="preserve">Your platform is</w:t>
      </w:r>
      <w:r>
        <w:t xml:space="preserve"> </w:t>
      </w:r>
      <w:r>
        <w:rPr>
          <w:b/>
          <w:bCs/>
        </w:rPr>
        <w:t xml:space="preserve">orthogonal to our cellular core</w:t>
      </w:r>
      <w:r>
        <w:t xml:space="preserve"> </w:t>
      </w:r>
      <w:r>
        <w:t xml:space="preserve">(imaging, scRNA-seq, calcium imaging), so it adds an independent validation axis rather than duplicating capability.</w:t>
      </w:r>
    </w:p>
    <w:p>
      <w:pPr>
        <w:pStyle w:val="Compact"/>
        <w:numPr>
          <w:ilvl w:val="0"/>
          <w:numId w:val="1003"/>
        </w:numPr>
      </w:pPr>
      <w:r>
        <w:t xml:space="preserve">A bounded, well-defined protein-validation task fits cleanly as a TA4 add-on, with the experiment list set by our TA2 engine.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phenomics (TA4)</w:t>
            </w:r>
          </w:p>
        </w:tc>
        <w:tc>
          <w:tcPr/>
          <w:p>
            <w:pPr>
              <w:pStyle w:val="Compact"/>
            </w:pPr>
            <w:r>
              <w:t xml:space="preserve">Anne Carpenter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 protein-level validation</w:t>
            </w:r>
          </w:p>
        </w:tc>
        <w:tc>
          <w:tcPr/>
          <w:p>
            <w:pPr>
              <w:pStyle w:val="Compact"/>
            </w:pPr>
            <w:r>
              <w:t xml:space="preserve">SPOC Biosciences (proposed add-on)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Let us use the call we are scheduling to scope a bounded protein-validation task.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2026-06-15T22:01:54Z</dcterms:created>
  <dcterms:modified xsi:type="dcterms:W3CDTF">2026-06-15T22:01:54Z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