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4c2157a6621034cc7d4f571e5506642c7f18a96"/>
    <w:p>
      <w:pPr>
        <w:pStyle w:val="Heading1"/>
      </w:pPr>
      <w:r>
        <w:t xml:space="preserve">ARPA-H IGoR: a self-updating causal model of psychiatric disease, with the lab loop to prove it</w:t>
      </w:r>
    </w:p>
    <w:p>
      <w:pPr>
        <w:pStyle w:val="FirstParagraph"/>
      </w:pPr>
      <w:r>
        <w:rPr>
          <w:b/>
          <w:bCs/>
        </w:rPr>
        <w:t xml:space="preserve">Team PsychIGoR. A partnership opportunity, anchored by IPAI (Purdue University) as prime with Ananth Grama as PI, and Cytognosis and IPAI leading the disease-model and AI core (TA1 and TA2). We are now assembling the experimental partners (TA3 and TA4) for a full-team proposal.</w:t>
      </w:r>
    </w:p>
    <w:p>
      <w:pPr>
        <w:pStyle w:val="BodyText"/>
      </w:pPr>
      <w:r>
        <w:t xml:space="preserve">ARPA-H’s</w:t>
      </w:r>
      <w:r>
        <w:t xml:space="preserve"> </w:t>
      </w:r>
      <w:r>
        <w:rPr>
          <w:b/>
          <w:bCs/>
        </w:rPr>
        <w:t xml:space="preserve">IGoR</w:t>
      </w:r>
      <w:r>
        <w:t xml:space="preserve"> </w:t>
      </w:r>
      <w:r>
        <w:t xml:space="preserve">program (ARPA-H-SOL-26-155) will fund about three teams to build a closed loop that produces validated biomedical knowledge at least</w:t>
      </w:r>
      <w:r>
        <w:t xml:space="preserve"> </w:t>
      </w:r>
      <w:r>
        <w:rPr>
          <w:b/>
          <w:bCs/>
        </w:rPr>
        <w:t xml:space="preserve">10x faster</w:t>
      </w:r>
      <w:r>
        <w:t xml:space="preserve">: mechanistic disease models (TA1), an AI engine that designs experiments (TA2), interoperable protocols (TA3), and a validated-laboratory marketplace (TA4). A responsive proposal must cover all four areas.</w:t>
      </w:r>
      <w:r>
        <w:t xml:space="preserve"> </w:t>
      </w:r>
      <w:r>
        <w:rPr>
          <w:b/>
          <w:bCs/>
        </w:rPr>
        <w:t xml:space="preserve">Solution Summary due June 25, 2026; full proposal in early August 2026.</w:t>
      </w:r>
    </w:p>
    <w:bookmarkStart w:id="9" w:name="the-idea"/>
    <w:p>
      <w:pPr>
        <w:pStyle w:val="Heading2"/>
      </w:pPr>
      <w:r>
        <w:t xml:space="preserve">The idea</w:t>
      </w:r>
    </w:p>
    <w:p>
      <w:pPr>
        <w:pStyle w:val="FirstParagraph"/>
      </w:pPr>
      <w:r>
        <w:t xml:space="preserve">Most AI cell models are correlational and never update. We build the opposite: a</w:t>
      </w:r>
      <w:r>
        <w:t xml:space="preserve"> </w:t>
      </w:r>
      <w:r>
        <w:rPr>
          <w:b/>
          <w:bCs/>
        </w:rPr>
        <w:t xml:space="preserve">mechanistic, multiscale, causal model of disease that updates from every new experiment</w:t>
      </w:r>
      <w:r>
        <w:t xml:space="preserve">, in which</w:t>
      </w:r>
      <w:r>
        <w:t xml:space="preserve"> </w:t>
      </w:r>
      <w:r>
        <w:rPr>
          <w:b/>
          <w:bCs/>
        </w:rPr>
        <w:t xml:space="preserve">disease-associated genetic variation is treated as the perturbation</w:t>
      </w:r>
      <w:r>
        <w:t xml:space="preserve"> </w:t>
      </w:r>
      <w:r>
        <w:t xml:space="preserve">that drives cellular biology. An AI New Science Engine reads that model, finds the most informative knowledge gap, and designs the next experiment, closing the loop with the laboratory.</w:t>
      </w:r>
    </w:p>
    <w:p>
      <w:pPr>
        <w:pStyle w:val="BodyText"/>
      </w:pPr>
      <w:r>
        <w:rPr>
          <w:b/>
          <w:bCs/>
        </w:rPr>
        <w:t xml:space="preserve">Disease focus: schizophrenia, extending to bipolar disorder.</w:t>
      </w:r>
      <w:r>
        <w:t xml:space="preserve"> </w:t>
      </w:r>
      <w:r>
        <w:t xml:space="preserve">Psychiatric disease is largely polygenic and hard to model in a dish, so we start where the genetics is</w:t>
      </w:r>
      <w:r>
        <w:t xml:space="preserve"> </w:t>
      </w:r>
      <w:r>
        <w:rPr>
          <w:b/>
          <w:bCs/>
        </w:rPr>
        <w:t xml:space="preserve">penetrant and near-Mendelian</w:t>
      </w:r>
      <w:r>
        <w:t xml:space="preserve">, namely the 22q11.2 deletion and large-effect rare-variant genes such as SETD1A and GRIN2A. This mirrors how familial Alzheimer (APP, PSEN1) and Parkinson (LRRK2, SNCA) variants made those diseases tractable in cells, then generalizes to idiopathic disease.</w:t>
      </w:r>
    </w:p>
    <w:bookmarkEnd w:id="9"/>
    <w:bookmarkStart w:id="10" w:name="what-the-anchor-team-brings-ta1-and-ta2"/>
    <w:p>
      <w:pPr>
        <w:pStyle w:val="Heading2"/>
      </w:pPr>
      <w:r>
        <w:t xml:space="preserve">What the anchor team brings (TA1 and TA2)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TA1, comprehensive disease models</w:t>
      </w:r>
      <w:r>
        <w:t xml:space="preserve"> </w:t>
      </w:r>
      <w:r>
        <w:t xml:space="preserve">(Cytognosis with IPAI): a cell-type-aware, mechanistic, multiscale causal model that turns</w:t>
      </w:r>
      <w:r>
        <w:t xml:space="preserve"> </w:t>
      </w:r>
      <w:r>
        <w:rPr>
          <w:b/>
          <w:bCs/>
        </w:rPr>
        <w:t xml:space="preserve">pretrained genomic foundation models into interpretable disease-axis factors</w:t>
      </w:r>
      <w:r>
        <w:t xml:space="preserve">, ingests single-cell atlases and perturbation data, and</w:t>
      </w:r>
      <w:r>
        <w:t xml:space="preserve"> </w:t>
      </w:r>
      <w:r>
        <w:rPr>
          <w:b/>
          <w:bCs/>
        </w:rPr>
        <w:t xml:space="preserve">updates automatically</w:t>
      </w:r>
      <w:r>
        <w:t xml:space="preserve"> </w:t>
      </w:r>
      <w:r>
        <w:t xml:space="preserve">as new results arrive, built on open standards.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TA2, the New Science Engine</w:t>
      </w:r>
      <w:r>
        <w:t xml:space="preserve"> </w:t>
      </w:r>
      <w:r>
        <w:t xml:space="preserve">(Cytognosis and IPAI): an orchestration layer that interrogates the</w:t>
      </w:r>
      <w:r>
        <w:t xml:space="preserve"> </w:t>
      </w:r>
      <w:r>
        <w:rPr>
          <w:b/>
          <w:bCs/>
        </w:rPr>
        <w:t xml:space="preserve">TA1 model itself</w:t>
      </w:r>
      <w:r>
        <w:t xml:space="preserve">, not just the literature, runs competing hypotheses, and designs the highest-value next experiment. It is explicitly</w:t>
      </w:r>
      <w:r>
        <w:t xml:space="preserve"> </w:t>
      </w:r>
      <w:r>
        <w:rPr>
          <w:b/>
          <w:bCs/>
        </w:rPr>
        <w:t xml:space="preserve">not a wrapper around a single large language model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partner-ready Phase I experiment: a phenotypic-triage screen.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isogenic iPSC pairs</w:t>
      </w:r>
      <w:r>
        <w:t xml:space="preserve"> </w:t>
      </w:r>
      <w:r>
        <w:t xml:space="preserve">(a healthy line with each variant introduced by CRISPR, the matched controls patient lines lack), we screen the penetrant-variant panel for</w:t>
      </w:r>
      <w:r>
        <w:t xml:space="preserve"> </w:t>
      </w:r>
      <w:r>
        <w:rPr>
          <w:b/>
          <w:bCs/>
        </w:rPr>
        <w:t xml:space="preserve">transcriptomic, morphological, and functional calcium-imaging</w:t>
      </w:r>
      <w:r>
        <w:t xml:space="preserve"> </w:t>
      </w:r>
      <w:r>
        <w:t xml:space="preserve">phenotypes, extending the published 22q11 Cell Painting work to more variants and readouts to select the lines that anchor the model.</w:t>
      </w:r>
    </w:p>
    <w:bookmarkEnd w:id="10"/>
    <w:bookmarkStart w:id="11" w:name="partners-we-are-assembling-ta3-and-ta4"/>
    <w:p>
      <w:pPr>
        <w:pStyle w:val="Heading2"/>
      </w:pPr>
      <w:r>
        <w:t xml:space="preserve">Partners we are assembling (TA3 and TA4)</w:t>
      </w:r>
    </w:p>
    <w:p>
      <w:pPr>
        <w:pStyle w:val="FirstParagraph"/>
      </w:pPr>
      <w:r>
        <w:t xml:space="preserve">We are in</w:t>
      </w:r>
      <w:r>
        <w:t xml:space="preserve"> </w:t>
      </w:r>
      <w:r>
        <w:rPr>
          <w:b/>
          <w:bCs/>
        </w:rPr>
        <w:t xml:space="preserve">active discussion with several leading groups</w:t>
      </w:r>
      <w:r>
        <w:t xml:space="preserve"> </w:t>
      </w:r>
      <w:r>
        <w:t xml:space="preserve">and are finalizing the experimental side of the team. We are looking for partners who bring one or more of the following: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TA3, interoperable protocols:</w:t>
      </w:r>
      <w:r>
        <w:t xml:space="preserve"> </w:t>
      </w:r>
      <w:r>
        <w:t xml:space="preserve">experience with open protocol standards and laboratory automation (for example LabOP-style declarative protocols and LinkML schemas), so an experiment transfers between labs as easily as a data file.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TA4, validated laboratories</w:t>
      </w:r>
      <w:r>
        <w:t xml:space="preserve"> </w:t>
      </w:r>
      <w:r>
        <w:t xml:space="preserve">(a team needs at least two): strengths across</w:t>
      </w:r>
      <w:r>
        <w:t xml:space="preserve"> </w:t>
      </w:r>
      <w:r>
        <w:rPr>
          <w:b/>
          <w:bCs/>
        </w:rPr>
        <w:t xml:space="preserve">live-cell imaging with same-cell single-cell RNA-seq, pooled CRISPR (Perturb-seq), high-content morphological (Cell Painting) screening, single-cell calcium-imaging neuronal activity, and multi-omics</w:t>
      </w:r>
      <w:r>
        <w:t xml:space="preserve">, with a track record of cross-laboratory reproducibility.</w:t>
      </w:r>
    </w:p>
    <w:p>
      <w:pPr>
        <w:pStyle w:val="FirstParagraph"/>
      </w:pPr>
      <w:r>
        <w:t xml:space="preserve">If your group runs any of these at scale, there is a clear, fundable role for you on this team, with real budget attached.</w:t>
      </w:r>
    </w:p>
    <w:bookmarkEnd w:id="11"/>
    <w:bookmarkStart w:id="12" w:name="team-and-roles"/>
    <w:p>
      <w:pPr>
        <w:pStyle w:val="Heading2"/>
      </w:pPr>
      <w:r>
        <w:t xml:space="preserve">Team and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 and Principal Investigator</w:t>
            </w:r>
          </w:p>
        </w:tc>
        <w:tc>
          <w:tcPr/>
          <w:p>
            <w:pPr>
              <w:pStyle w:val="Compact"/>
            </w:pPr>
            <w:r>
              <w:t xml:space="preserve">IPAI, Purdue University; Ananth Grama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TA1 and TA2 co-leads (disease models, AI engine)</w:t>
            </w:r>
          </w:p>
        </w:tc>
        <w:tc>
          <w:tcPr/>
          <w:p>
            <w:pPr>
              <w:pStyle w:val="Compact"/>
            </w:pPr>
            <w:r>
              <w:t xml:space="preserve">Cytognosis Foundation (Shahin Mohammadi, sub-awardee) and IPAI, Purdue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 academic experimental arm</w:t>
            </w:r>
          </w:p>
        </w:tc>
        <w:tc>
          <w:tcPr/>
          <w:p>
            <w:pPr>
              <w:pStyle w:val="Compact"/>
            </w:pPr>
            <w:r>
              <w:t xml:space="preserve">Matt Tegtmeyer lab, Purdue (iPSC-neuron wet-lab experiments; fixed-cell high-plex readouts: RNA ~350-plex, protein ~50-plex, Cell-Painting-style morphology, in-situ CRISPR-guide sequencing)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 industry arm</w:t>
            </w:r>
          </w:p>
        </w:tc>
        <w:tc>
          <w:tcPr/>
          <w:p>
            <w:pPr>
              <w:pStyle w:val="Compact"/>
            </w:pPr>
            <w:r>
              <w:t xml:space="preserve">Cellanome (live-cell imaging, same-cell scRNA-seq, Perturb-LINK CRISPR; advancing)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Computational morphology and imaging models</w:t>
            </w:r>
          </w:p>
        </w:tc>
        <w:tc>
          <w:tcPr/>
          <w:p>
            <w:pPr>
              <w:pStyle w:val="Compact"/>
            </w:pPr>
            <w:r>
              <w:t xml:space="preserve">Anne Carpenter (IPAI/Purdue; interpretable models; TA4 analysis layer)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and translational</w:t>
            </w:r>
          </w:p>
        </w:tc>
        <w:tc>
          <w:tcPr/>
          <w:p>
            <w:pPr>
              <w:pStyle w:val="Compact"/>
            </w:pPr>
            <w:r>
              <w:t xml:space="preserve">W. Brad Ruzicka, McLean Hospital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Patricia Purcell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and Systems Architect</w:t>
            </w:r>
          </w:p>
        </w:tc>
        <w:tc>
          <w:tcPr/>
          <w:p>
            <w:pPr>
              <w:pStyle w:val="Compact"/>
            </w:pPr>
            <w:r>
              <w:t xml:space="preserve">Elham Jebalbarezi Sarbijan, IPAI/Purdue (tentative)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TA3 interoperable protocols</w:t>
            </w:r>
          </w:p>
        </w:tc>
        <w:tc>
          <w:tcPr/>
          <w:p>
            <w:pPr>
              <w:pStyle w:val="Compact"/>
            </w:pPr>
            <w:r>
              <w:t xml:space="preserve">SIFT; Daniel Bryce (lead), Robert Goldman (advisory)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TA4.2 sequencing and bioinformatics</w:t>
            </w:r>
          </w:p>
        </w:tc>
        <w:tc>
          <w:tcPr/>
          <w:p>
            <w:pPr>
              <w:pStyle w:val="Compact"/>
            </w:pPr>
            <w:r>
              <w:t xml:space="preserve">Illumina (optional / TBD)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this team.</w:t>
      </w:r>
      <w:r>
        <w:t xml:space="preserve"> </w:t>
      </w:r>
      <w:r>
        <w:t xml:space="preserve">A causal-modeling and AI core with deep single-cell and psychiatric-genetics expertise, an open-standards and reproducibility commitment that fits the ARPA-H mandate, and a concrete Phase I experiment that an experimental partner can run from day one.</w:t>
      </w:r>
    </w:p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Solution Summary June 25, 2026; full proposal early August 2026. We are finalizing the team now and welcome a conversation this week.</w:t>
      </w:r>
    </w:p>
    <w:p>
      <w:pPr>
        <w:pStyle w:val="BodyText"/>
      </w:pPr>
      <w:r>
        <w:rPr>
          <w:b/>
          <w:bCs/>
        </w:rPr>
        <w:t xml:space="preserve">Contact.</w:t>
      </w:r>
      <w:r>
        <w:t xml:space="preserve"> </w:t>
      </w:r>
      <w:r>
        <w:t xml:space="preserve">Shahin Mohammadi, Cytognosis Foundation, mohammadi@cytognosis.org.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2026-06-19T20:09:37Z</dcterms:created>
  <dcterms:modified xsi:type="dcterms:W3CDTF">2026-06-19T20:09:37Z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