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2A8A4" w14:textId="2AFC9574" w:rsidR="072A229C" w:rsidRPr="00C751D8" w:rsidRDefault="072A229C" w:rsidP="00C751D8">
      <w:pPr>
        <w:spacing w:line="276" w:lineRule="auto"/>
        <w:jc w:val="center"/>
        <w:rPr>
          <w:rFonts w:eastAsia="Avenir Next LT Pro" w:cs="Avenir Next LT Pro"/>
          <w:b/>
          <w:bCs/>
          <w:color w:val="0070C0"/>
        </w:rPr>
      </w:pPr>
      <w:r>
        <w:rPr>
          <w:rFonts w:eastAsia="Avenir Next LT Pro" w:cs="Avenir Next LT Pro"/>
        </w:rPr>
        <w:t xml:space="preserve"> </w:t>
      </w:r>
    </w:p>
    <w:p w14:paraId="0BCCC851" w14:textId="62820C15" w:rsidR="072A229C" w:rsidRPr="00C751D8" w:rsidRDefault="072A229C" w:rsidP="00C751D8">
      <w:pPr>
        <w:spacing w:line="276" w:lineRule="auto"/>
        <w:jc w:val="center"/>
        <w:rPr>
          <w:rFonts w:eastAsia="Avenir Next LT Pro" w:cs="Avenir Next LT Pro"/>
          <w:smallCaps/>
          <w:color w:val="000000" w:themeColor="text1"/>
        </w:rPr>
      </w:pPr>
      <w:r>
        <w:rPr>
          <w:rFonts w:eastAsia="Avenir Next LT Pro" w:cs="Avenir Next LT Pro"/>
          <w:smallCaps/>
          <w:color w:val="000000" w:themeColor="text1"/>
        </w:rPr>
        <w:t xml:space="preserve"> </w:t>
      </w:r>
    </w:p>
    <w:tbl>
      <w:tblPr>
        <w:tblW w:w="0" w:type="auto"/>
        <w:tblLayout w:type="fixed"/>
        <w:tblLook w:val="04A0" w:firstRow="1" w:lastRow="0" w:firstColumn="1" w:lastColumn="0" w:noHBand="0" w:noVBand="1"/>
      </w:tblPr>
      <w:tblGrid>
        <w:gridCol w:w="3453"/>
        <w:gridCol w:w="5442"/>
      </w:tblGrid>
      <w:tr w:rsidR="5FBA8273" w:rsidRPr="00C751D8" w14:paraId="40FD2318" w14:textId="77777777" w:rsidTr="50D7FC3D">
        <w:trPr>
          <w:trHeight w:val="765"/>
        </w:trPr>
        <w:tc>
          <w:tcPr>
            <w:tcW w:w="3453"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6F23B2A1" w14:textId="63978A26" w:rsidR="5FBA8273" w:rsidRPr="00C751D8" w:rsidRDefault="5FBA8273" w:rsidP="035948A4">
            <w:pPr>
              <w:spacing w:line="276" w:lineRule="auto"/>
              <w:rPr>
                <w:rFonts w:eastAsia="Avenir Next LT Pro" w:cs="Avenir Next LT Pro"/>
                <w:b/>
                <w:bCs/>
              </w:rPr>
            </w:pPr>
            <w:r>
              <w:rPr>
                <w:rFonts w:eastAsia="Avenir Next LT Pro" w:cs="Avenir Next LT Pro"/>
                <w:b/>
                <w:bCs/>
              </w:rPr>
              <w:t>Innovative Solutions Opening Title</w:t>
            </w:r>
          </w:p>
        </w:tc>
        <w:tc>
          <w:tcPr>
            <w:tcW w:w="5442"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pPr>
              <w:spacing w:line="276" w:lineRule="auto"/>
              <w:rPr>
                <w:rFonts w:eastAsia="Avenir Next LT Pro" w:cs="Avenir Next LT Pro"/>
              </w:rPr>
            </w:pPr>
            <w:r>
              <w:rPr>
                <w:rFonts w:eastAsia="Avenir Next LT Pro" w:cs="Avenir Next LT Pro"/>
              </w:rPr>
              <w:t>ARPA-H-SOL-26-155 (Intelligent Generator of Research, IGoR), Proactive Health Office</w:t>
            </w:r>
          </w:p>
        </w:tc>
      </w:tr>
      <w:tr w:rsidR="5FBA8273" w:rsidRPr="00C751D8" w14:paraId="3E513538" w14:textId="77777777" w:rsidTr="50D7FC3D">
        <w:trPr>
          <w:trHeight w:val="795"/>
        </w:trPr>
        <w:tc>
          <w:tcPr>
            <w:tcW w:w="3453"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031E54CB" w14:textId="0736A8A5" w:rsidR="5FBA8273" w:rsidRPr="00C751D8" w:rsidRDefault="5FBA8273" w:rsidP="035948A4">
            <w:pPr>
              <w:spacing w:line="276" w:lineRule="auto"/>
              <w:rPr>
                <w:rFonts w:eastAsia="Avenir Next LT Pro" w:cs="Avenir Next LT Pro"/>
                <w:b/>
                <w:bCs/>
              </w:rPr>
            </w:pPr>
            <w:r>
              <w:rPr>
                <w:rFonts w:eastAsia="Avenir Next LT Pro" w:cs="Avenir Next LT Pro"/>
                <w:b/>
                <w:bCs/>
              </w:rPr>
              <w:t>Solution Summary Title</w:t>
            </w:r>
          </w:p>
        </w:tc>
        <w:tc>
          <w:tcPr>
            <w:tcW w:w="5442"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pPr>
              <w:spacing w:line="276" w:lineRule="auto"/>
              <w:rPr>
                <w:rFonts w:eastAsia="Avenir Next LT Pro" w:cs="Avenir Next LT Pro"/>
              </w:rPr>
            </w:pPr>
            <w:r>
              <w:rPr>
                <w:rFonts w:eastAsia="Avenir Next LT Pro" w:cs="Avenir Next LT Pro"/>
              </w:rPr>
              <w:t>PsychIGoR: Intelligence Generation of Disease Mechanisms for Psychiatric Disorders</w:t>
            </w:r>
          </w:p>
          <w:p>
            <w:pPr>
              <w:spacing w:line="276" w:lineRule="auto"/>
              <w:rPr>
                <w:rFonts w:eastAsia="Avenir Next LT Pro" w:cs="Avenir Next LT Pro"/>
              </w:rPr>
            </w:pPr>
            <w:r>
              <w:rPr>
                <w:rFonts w:eastAsia="Avenir Next LT Pro" w:cs="Avenir Next LT Pro"/>
              </w:rPr>
            </w:r>
          </w:p>
        </w:tc>
      </w:tr>
      <w:tr w:rsidR="5FBA8273" w:rsidRPr="00C751D8" w14:paraId="71552720" w14:textId="77777777" w:rsidTr="50D7FC3D">
        <w:trPr>
          <w:trHeight w:val="795"/>
        </w:trPr>
        <w:tc>
          <w:tcPr>
            <w:tcW w:w="3453"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2C78A65B" w14:textId="3216C09C" w:rsidR="5FBA8273" w:rsidRPr="00C751D8" w:rsidRDefault="0046694C" w:rsidP="035948A4">
            <w:pPr>
              <w:spacing w:line="276" w:lineRule="auto"/>
              <w:rPr>
                <w:rFonts w:eastAsia="Avenir Next LT Pro" w:cs="Avenir Next LT Pro"/>
                <w:b/>
                <w:bCs/>
              </w:rPr>
            </w:pPr>
            <w:r>
              <w:rPr>
                <w:rFonts w:eastAsia="Avenir Next LT Pro" w:cs="Avenir Next LT Pro"/>
                <w:b/>
                <w:bCs/>
              </w:rPr>
              <w:t>Prime Organization Name</w:t>
            </w:r>
          </w:p>
        </w:tc>
        <w:tc>
          <w:tcPr>
            <w:tcW w:w="5442"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pPr>
              <w:spacing w:line="276" w:lineRule="auto"/>
              <w:rPr>
                <w:rFonts w:eastAsia="Avenir Next LT Pro" w:cs="Avenir Next LT Pro"/>
              </w:rPr>
            </w:pPr>
            <w:r>
              <w:rPr>
                <w:rFonts w:eastAsia="Avenir Next LT Pro" w:cs="Avenir Next LT Pro"/>
              </w:rPr>
              <w:t>Institute for Physical AI (IPAI), Purdue University</w:t>
            </w:r>
          </w:p>
        </w:tc>
      </w:tr>
      <w:tr w:rsidR="5FBA8273" w:rsidRPr="00C751D8" w14:paraId="604B5A5E" w14:textId="77777777" w:rsidTr="50D7FC3D">
        <w:trPr>
          <w:trHeight w:val="705"/>
        </w:trPr>
        <w:tc>
          <w:tcPr>
            <w:tcW w:w="3453"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4F6E0CD0" w14:textId="46CF1FF1" w:rsidR="5FBA8273" w:rsidRPr="00C751D8" w:rsidRDefault="0046694C" w:rsidP="035948A4">
            <w:pPr>
              <w:spacing w:line="276" w:lineRule="auto"/>
              <w:rPr>
                <w:rFonts w:eastAsia="Avenir Next LT Pro" w:cs="Avenir Next LT Pro"/>
                <w:b/>
                <w:bCs/>
              </w:rPr>
            </w:pPr>
            <w:r>
              <w:rPr>
                <w:rFonts w:eastAsia="Avenir Next LT Pro" w:cs="Avenir Next LT Pro"/>
                <w:b/>
                <w:bCs/>
              </w:rPr>
              <w:t>Prime Organization Type</w:t>
            </w:r>
          </w:p>
        </w:tc>
        <w:tc>
          <w:tcPr>
            <w:tcW w:w="5442"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pPr>
              <w:spacing w:line="276" w:lineRule="auto"/>
            </w:pPr>
            <w:r>
              <w:rPr>
                <w:rFonts w:eastAsia="Avenir Next LT Pro" w:cs="Avenir Next LT Pro"/>
              </w:rPr>
              <w:t xml:space="preserve">Choose all that apply: </w:t>
            </w:r>
          </w:p>
          <w:p>
            <w:pPr>
              <w:spacing w:line="276" w:lineRule="auto"/>
            </w:pPr>
            <w:r>
              <w:rPr>
                <w:rFonts w:ascii="Segoe UI Symbol" w:eastAsia="Avenir Next LT Pro" w:hAnsi="Segoe UI Symbol" w:cs="Segoe UI Symbol"/>
              </w:rPr>
              <w:t>☐</w:t>
            </w:r>
            <w:r>
              <w:rPr>
                <w:rFonts w:eastAsia="Avenir Next LT Pro" w:cs="Avenir Next LT Pro"/>
              </w:rPr>
              <w:t xml:space="preserve"> For-Profit  </w:t>
            </w:r>
            <w:r>
              <w:rPr>
                <w:rFonts w:ascii="Segoe UI Symbol" w:eastAsia="Avenir Next LT Pro" w:hAnsi="Segoe UI Symbol" w:cs="Segoe UI Symbol"/>
              </w:rPr>
              <w:t>☐</w:t>
            </w:r>
            <w:r>
              <w:rPr>
                <w:rFonts w:eastAsia="Avenir Next LT Pro" w:cs="Avenir Next LT Pro"/>
              </w:rPr>
              <w:t xml:space="preserve"> Non-profit  </w:t>
            </w:r>
            <w:r>
              <w:rPr>
                <w:rFonts w:ascii="Segoe UI Symbol" w:eastAsia="Avenir Next LT Pro" w:hAnsi="Segoe UI Symbol" w:cs="Segoe UI Symbol"/>
              </w:rPr>
              <w:t>☑</w:t>
            </w:r>
            <w:r>
              <w:rPr>
                <w:rFonts w:eastAsia="Avenir Next LT Pro" w:cs="Avenir Next LT Pro"/>
              </w:rPr>
              <w:t xml:space="preserve"> Academia</w:t>
            </w:r>
          </w:p>
        </w:tc>
      </w:tr>
      <w:tr w:rsidR="00C7393E" w:rsidRPr="00C751D8" w14:paraId="39DE0A95" w14:textId="77777777" w:rsidTr="50D7FC3D">
        <w:trPr>
          <w:trHeight w:val="300"/>
        </w:trPr>
        <w:tc>
          <w:tcPr>
            <w:tcW w:w="3453"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5D15E565" w14:textId="0AB431AE" w:rsidR="00C7393E" w:rsidRPr="035948A4" w:rsidRDefault="00520018" w:rsidP="035948A4">
            <w:pPr>
              <w:spacing w:line="276" w:lineRule="auto"/>
              <w:rPr>
                <w:rFonts w:eastAsia="Avenir Next LT Pro" w:cs="Avenir Next LT Pro"/>
                <w:b/>
                <w:bCs/>
              </w:rPr>
            </w:pPr>
            <w:r>
              <w:rPr>
                <w:b/>
                <w:bCs/>
                <w:color w:val="000000" w:themeColor="text1"/>
              </w:rPr>
              <w:t>SAM.gov Universal Entity Identifier (UEI)</w:t>
            </w:r>
            <w:r>
              <w:rPr>
                <w:rFonts w:eastAsia="Avenir Next LT Pro" w:cs="Avenir Next LT Pro"/>
                <w:b/>
                <w:bCs/>
              </w:rPr>
              <w:t xml:space="preserve"> (If already registered, not required at Solution Summary stage)</w:t>
            </w:r>
          </w:p>
        </w:tc>
        <w:tc>
          <w:tcPr>
            <w:tcW w:w="5442"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pPr>
              <w:spacing w:line="276" w:lineRule="auto"/>
              <w:rPr>
                <w:rFonts w:eastAsia="Avenir Next LT Pro" w:cs="Avenir Next LT Pro"/>
              </w:rPr>
            </w:pPr>
            <w:r>
              <w:rPr>
                <w:rFonts w:eastAsia="Avenir Next LT Pro" w:cs="Avenir Next LT Pro"/>
              </w:rPr>
              <w:t>Not required at Solution Summary stage (prime UEI: Purdue University, to confirm)</w:t>
            </w:r>
          </w:p>
        </w:tc>
      </w:tr>
      <w:tr w:rsidR="00150063" w:rsidRPr="00C751D8" w14:paraId="50754C7D" w14:textId="77777777" w:rsidTr="50D7FC3D">
        <w:trPr>
          <w:trHeight w:val="300"/>
        </w:trPr>
        <w:tc>
          <w:tcPr>
            <w:tcW w:w="3453"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4DBB5F0A" w14:textId="60F19F1D" w:rsidR="00150063" w:rsidRPr="035948A4" w:rsidRDefault="00150063" w:rsidP="035948A4">
            <w:pPr>
              <w:spacing w:line="276" w:lineRule="auto"/>
              <w:rPr>
                <w:rFonts w:eastAsia="Avenir Next LT Pro" w:cs="Avenir Next LT Pro"/>
                <w:b/>
                <w:bCs/>
              </w:rPr>
            </w:pPr>
            <w:r>
              <w:rPr>
                <w:rFonts w:eastAsia="Avenir Next LT Pro" w:cs="Avenir Next LT Pro"/>
                <w:b/>
                <w:bCs/>
              </w:rPr>
              <w:t>Contact Address - State</w:t>
            </w:r>
          </w:p>
        </w:tc>
        <w:tc>
          <w:tcPr>
            <w:tcW w:w="5442"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pPr>
              <w:spacing w:line="276" w:lineRule="auto"/>
              <w:rPr>
                <w:rFonts w:eastAsia="Avenir Next LT Pro" w:cs="Avenir Next LT Pro"/>
              </w:rPr>
            </w:pPr>
            <w:r>
              <w:rPr>
                <w:rFonts w:eastAsia="Avenir Next LT Pro" w:cs="Avenir Next LT Pro"/>
              </w:rPr>
              <w:t>Indiana</w:t>
            </w:r>
          </w:p>
        </w:tc>
      </w:tr>
      <w:tr w:rsidR="00691B46" w:rsidRPr="00C751D8" w14:paraId="19742C0E" w14:textId="77777777" w:rsidTr="50D7FC3D">
        <w:trPr>
          <w:trHeight w:val="300"/>
        </w:trPr>
        <w:tc>
          <w:tcPr>
            <w:tcW w:w="3453"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43EBF32A" w14:textId="11CB3428" w:rsidR="00691B46" w:rsidRPr="035948A4" w:rsidRDefault="00691B46" w:rsidP="035948A4">
            <w:pPr>
              <w:spacing w:line="276" w:lineRule="auto"/>
              <w:rPr>
                <w:rFonts w:eastAsia="Avenir Next LT Pro" w:cs="Avenir Next LT Pro"/>
                <w:b/>
                <w:bCs/>
              </w:rPr>
            </w:pPr>
            <w:r>
              <w:rPr>
                <w:rFonts w:eastAsia="Avenir Next LT Pro" w:cs="Avenir Next LT Pro"/>
                <w:b/>
                <w:bCs/>
              </w:rPr>
              <w:t>Key Personnel/Staff</w:t>
            </w:r>
          </w:p>
        </w:tc>
        <w:tc>
          <w:tcPr>
            <w:tcW w:w="5442"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pPr>
              <w:spacing w:line="276" w:lineRule="auto"/>
              <w:rPr>
                <w:rFonts w:eastAsia="Avenir Next LT Pro" w:cs="Avenir Next LT Pro"/>
              </w:rPr>
            </w:pPr>
            <w:r>
              <w:rPr>
                <w:b/>
                <w:bCs/>
                <w:rFonts w:eastAsia="Avenir Next LT Pro" w:cs="Avenir Next LT Pro"/>
              </w:rPr>
              <w:t xml:space="preserve">Ananth Grama</w:t>
            </w:r>
            <w:r>
              <w:rPr>
                <w:rFonts w:eastAsia="Avenir Next LT Pro" w:cs="Avenir Next LT Pro"/>
              </w:rPr>
              <w:t xml:space="preserve"> -- Distinguished Professor of Computer Science / Director IPAI, Purdue University -- ayg@purdue.edu</w:t>
            </w:r>
          </w:p>
          <w:p>
            <w:pPr>
              <w:spacing w:line="276" w:lineRule="auto"/>
              <w:rPr>
                <w:rFonts w:eastAsia="Avenir Next LT Pro" w:cs="Avenir Next LT Pro"/>
              </w:rPr>
            </w:pPr>
            <w:r>
              <w:rPr>
                <w:b/>
                <w:bCs/>
                <w:rFonts w:eastAsia="Avenir Next LT Pro" w:cs="Avenir Next LT Pro"/>
              </w:rPr>
              <w:t xml:space="preserve">Shahin Mohammadi</w:t>
            </w:r>
            <w:r>
              <w:rPr>
                <w:rFonts w:eastAsia="Avenir Next LT Pro" w:cs="Avenir Next LT Pro"/>
              </w:rPr>
              <w:t xml:space="preserve"> -- Founder and CEO, Cytognosis Foundation -- mohammadi@cytognosis.org</w:t>
            </w:r>
          </w:p>
          <w:p>
            <w:pPr>
              <w:spacing w:line="276" w:lineRule="auto"/>
              <w:rPr>
                <w:rFonts w:eastAsia="Avenir Next LT Pro" w:cs="Avenir Next LT Pro"/>
              </w:rPr>
            </w:pPr>
            <w:r>
              <w:rPr>
                <w:b/>
                <w:bCs/>
                <w:rFonts w:eastAsia="Avenir Next LT Pro" w:cs="Avenir Next LT Pro"/>
              </w:rPr>
              <w:t xml:space="preserve">Matthew Tegtmeyer</w:t>
            </w:r>
            <w:r>
              <w:rPr>
                <w:rFonts w:eastAsia="Avenir Next LT Pro" w:cs="Avenir Next LT Pro"/>
              </w:rPr>
              <w:t xml:space="preserve"> -- Assistant Professor, Purdue University -- tegtmeyer@purdue.edu</w:t>
            </w:r>
          </w:p>
          <w:p>
            <w:pPr>
              <w:spacing w:line="276" w:lineRule="auto"/>
              <w:rPr>
                <w:rFonts w:eastAsia="Avenir Next LT Pro" w:cs="Avenir Next LT Pro"/>
              </w:rPr>
            </w:pPr>
            <w:r>
              <w:rPr>
                <w:b/>
                <w:bCs/>
                <w:rFonts w:eastAsia="Avenir Next LT Pro" w:cs="Avenir Next LT Pro"/>
              </w:rPr>
              <w:t xml:space="preserve">Anne Carpenter</w:t>
            </w:r>
            <w:r>
              <w:rPr>
                <w:rFonts w:eastAsia="Avenir Next LT Pro" w:cs="Avenir Next LT Pro"/>
              </w:rPr>
              <w:t xml:space="preserve"> -- Institute Scientist / Senior Director of Imaging Platform, Broad Institute -- anne@broadinstitute.org</w:t>
            </w:r>
          </w:p>
          <w:p>
            <w:pPr>
              <w:spacing w:line="276" w:lineRule="auto"/>
              <w:rPr>
                <w:rFonts w:eastAsia="Avenir Next LT Pro" w:cs="Avenir Next LT Pro"/>
              </w:rPr>
            </w:pPr>
            <w:r>
              <w:rPr>
                <w:b/>
                <w:bCs/>
                <w:rFonts w:eastAsia="Avenir Next LT Pro" w:cs="Avenir Next LT Pro"/>
              </w:rPr>
              <w:t xml:space="preserve">W. Brad Ruzicka</w:t>
            </w:r>
            <w:r>
              <w:rPr>
                <w:rFonts w:eastAsia="Avenir Next LT Pro" w:cs="Avenir Next LT Pro"/>
              </w:rPr>
              <w:t xml:space="preserve"> -- Assistant Professor of Psychiatry, HMS / McLean Hospital -- wruzicka@mclean.harvard.edu</w:t>
            </w:r>
          </w:p>
          <w:p>
            <w:pPr>
              <w:spacing w:line="276" w:lineRule="auto"/>
              <w:rPr>
                <w:rFonts w:eastAsia="Avenir Next LT Pro" w:cs="Avenir Next LT Pro"/>
              </w:rPr>
            </w:pPr>
            <w:r>
              <w:rPr>
                <w:b/>
                <w:bCs/>
                <w:rFonts w:eastAsia="Avenir Next LT Pro" w:cs="Avenir Next LT Pro"/>
              </w:rPr>
              <w:t xml:space="preserve">Daniel Bryce</w:t>
            </w:r>
            <w:r>
              <w:rPr>
                <w:rFonts w:eastAsia="Avenir Next LT Pro" w:cs="Avenir Next LT Pro"/>
              </w:rPr>
              <w:t xml:space="preserve"> -- Fellow, SIFT -- dbryce@sift.net</w:t>
            </w:r>
          </w:p>
        </w:tc>
      </w:tr>
      <w:tr w:rsidR="5FBA8273" w:rsidRPr="00C751D8" w14:paraId="57DEEA8D" w14:textId="77777777" w:rsidTr="50D7FC3D">
        <w:trPr>
          <w:trHeight w:val="300"/>
        </w:trPr>
        <w:tc>
          <w:tcPr>
            <w:tcW w:w="3453"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52F7B837" w14:textId="5D6E7F3D" w:rsidR="5FBA8273" w:rsidRPr="00C751D8" w:rsidRDefault="0046694C" w:rsidP="035948A4">
            <w:pPr>
              <w:spacing w:line="276" w:lineRule="auto"/>
              <w:rPr>
                <w:rFonts w:eastAsia="Avenir Next LT Pro" w:cs="Avenir Next LT Pro"/>
                <w:b/>
                <w:bCs/>
              </w:rPr>
            </w:pPr>
            <w:r>
              <w:rPr>
                <w:rFonts w:eastAsia="Avenir Next LT Pro" w:cs="Avenir Next LT Pro"/>
                <w:b/>
                <w:bCs/>
              </w:rPr>
              <w:t>Prime Technical Point of Contact (POC)</w:t>
            </w:r>
          </w:p>
        </w:tc>
        <w:tc>
          <w:tcPr>
            <w:tcW w:w="5442"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pPr>
              <w:spacing w:line="276" w:lineRule="auto"/>
              <w:rPr>
                <w:rFonts w:eastAsia="Avenir Next LT Pro" w:cs="Avenir Next LT Pro"/>
              </w:rPr>
            </w:pPr>
            <w:r>
              <w:rPr>
                <w:rFonts w:eastAsia="Avenir Next LT Pro" w:cs="Avenir Next LT Pro"/>
              </w:rPr>
              <w:t>Name: Ananth Grama</w:t>
            </w:r>
          </w:p>
          <w:p>
            <w:pPr>
              <w:spacing w:line="276" w:lineRule="auto"/>
              <w:rPr>
                <w:rFonts w:eastAsia="Avenir Next LT Pro" w:cs="Avenir Next LT Pro"/>
              </w:rPr>
            </w:pPr>
            <w:r>
              <w:rPr>
                <w:rFonts w:eastAsia="Avenir Next LT Pro" w:cs="Avenir Next LT Pro"/>
              </w:rPr>
              <w:t>Mailing Address: IPAI, Purdue University, West Lafayette, IN 47907</w:t>
            </w:r>
          </w:p>
          <w:p>
            <w:pPr>
              <w:spacing w:line="276" w:lineRule="auto"/>
              <w:rPr>
                <w:rFonts w:eastAsia="Avenir Next LT Pro" w:cs="Avenir Next LT Pro"/>
              </w:rPr>
            </w:pPr>
            <w:r>
              <w:rPr>
                <w:rFonts w:eastAsia="Avenir Next LT Pro" w:cs="Avenir Next LT Pro"/>
              </w:rPr>
              <w:t>Email: ayg@purdue.edu</w:t>
            </w:r>
          </w:p>
        </w:tc>
      </w:tr>
      <w:tr w:rsidR="5FBA8273" w:rsidRPr="00C751D8" w14:paraId="40B5A5EE" w14:textId="77777777" w:rsidTr="50D7FC3D">
        <w:trPr>
          <w:trHeight w:val="300"/>
        </w:trPr>
        <w:tc>
          <w:tcPr>
            <w:tcW w:w="3453"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2829AA86" w14:textId="1B23C94E" w:rsidR="5FBA8273" w:rsidRPr="00C751D8" w:rsidRDefault="000C64CD" w:rsidP="035948A4">
            <w:pPr>
              <w:spacing w:line="276" w:lineRule="auto"/>
              <w:rPr>
                <w:rFonts w:eastAsia="Avenir Next LT Pro" w:cs="Avenir Next LT Pro"/>
                <w:b/>
                <w:bCs/>
              </w:rPr>
            </w:pPr>
            <w:r>
              <w:rPr>
                <w:rFonts w:eastAsia="Avenir Next LT Pro" w:cs="Avenir Next LT Pro"/>
                <w:b/>
                <w:bCs/>
              </w:rPr>
              <w:t>Prime Administrative POC</w:t>
            </w:r>
          </w:p>
        </w:tc>
        <w:tc>
          <w:tcPr>
            <w:tcW w:w="5442"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pPr>
              <w:spacing w:line="276" w:lineRule="auto"/>
              <w:rPr>
                <w:rFonts w:eastAsia="Avenir Next LT Pro" w:cs="Avenir Next LT Pro"/>
              </w:rPr>
            </w:pPr>
            <w:r>
              <w:rPr>
                <w:rFonts w:eastAsia="Avenir Next LT Pro" w:cs="Avenir Next LT Pro"/>
              </w:rPr>
              <w:t>Name: Tabitha M. Cinowski, Operations Manager</w:t>
            </w:r>
          </w:p>
          <w:p>
            <w:pPr>
              <w:spacing w:line="276" w:lineRule="auto"/>
              <w:rPr>
                <w:rFonts w:eastAsia="Avenir Next LT Pro" w:cs="Avenir Next LT Pro"/>
              </w:rPr>
            </w:pPr>
            <w:r>
              <w:rPr>
                <w:rFonts w:eastAsia="Avenir Next LT Pro" w:cs="Avenir Next LT Pro"/>
              </w:rPr>
              <w:t>Mailing Address: IPAI, Purdue University, West Lafayette, IN 47907</w:t>
            </w:r>
          </w:p>
          <w:p>
            <w:pPr>
              <w:spacing w:line="276" w:lineRule="auto"/>
              <w:rPr>
                <w:rFonts w:eastAsia="Avenir Next LT Pro" w:cs="Avenir Next LT Pro"/>
              </w:rPr>
            </w:pPr>
            <w:r>
              <w:rPr>
                <w:rFonts w:eastAsia="Avenir Next LT Pro" w:cs="Avenir Next LT Pro"/>
              </w:rPr>
              <w:t>Email: cinowski@purdue.edu</w:t>
            </w:r>
          </w:p>
        </w:tc>
      </w:tr>
      <w:tr w:rsidR="5FBA8273" w:rsidRPr="00C751D8" w14:paraId="3FB17052" w14:textId="77777777" w:rsidTr="50D7FC3D">
        <w:trPr>
          <w:trHeight w:val="360"/>
        </w:trPr>
        <w:tc>
          <w:tcPr>
            <w:tcW w:w="3453"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4048CEED" w14:textId="3CDD1F87" w:rsidR="5FBA8273" w:rsidRPr="00C751D8" w:rsidRDefault="5FBA8273" w:rsidP="035948A4">
            <w:pPr>
              <w:spacing w:line="276" w:lineRule="auto"/>
              <w:rPr>
                <w:rFonts w:eastAsia="Avenir Next LT Pro" w:cs="Avenir Next LT Pro"/>
                <w:b/>
                <w:bCs/>
              </w:rPr>
            </w:pPr>
            <w:r>
              <w:rPr>
                <w:rFonts w:eastAsia="Avenir Next LT Pro" w:cs="Avenir Next LT Pro"/>
                <w:b/>
                <w:bCs/>
              </w:rPr>
              <w:t>Estimated Project Duration</w:t>
            </w:r>
          </w:p>
        </w:tc>
        <w:tc>
          <w:tcPr>
            <w:tcW w:w="5442"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pPr>
              <w:spacing w:line="276" w:lineRule="auto"/>
              <w:rPr>
                <w:rFonts w:eastAsia="Avenir Next LT Pro" w:cs="Avenir Next LT Pro"/>
              </w:rPr>
            </w:pPr>
            <w:r>
              <w:rPr>
                <w:rFonts w:eastAsia="Avenir Next LT Pro" w:cs="Avenir Next LT Pro"/>
              </w:rPr>
              <w:t>60 Months</w:t>
            </w:r>
          </w:p>
        </w:tc>
      </w:tr>
      <w:tr w:rsidR="006C6B4A" w:rsidRPr="00C751D8" w14:paraId="6CD5AC29" w14:textId="77777777" w:rsidTr="50D7FC3D">
        <w:trPr>
          <w:trHeight w:val="465"/>
        </w:trPr>
        <w:tc>
          <w:tcPr>
            <w:tcW w:w="3453"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69F2AC28" w14:textId="56743E68" w:rsidR="006C6B4A" w:rsidRPr="035948A4" w:rsidRDefault="006C6B4A" w:rsidP="035948A4">
            <w:pPr>
              <w:spacing w:line="276" w:lineRule="auto"/>
              <w:rPr>
                <w:rFonts w:eastAsia="Avenir Next LT Pro" w:cs="Avenir Next LT Pro"/>
                <w:b/>
                <w:bCs/>
              </w:rPr>
            </w:pPr>
            <w:r>
              <w:rPr>
                <w:rFonts w:eastAsia="Avenir Next LT Pro" w:cs="Avenir Next LT Pro"/>
                <w:b/>
                <w:bCs/>
              </w:rPr>
              <w:t>Animal Subjects</w:t>
            </w:r>
          </w:p>
        </w:tc>
        <w:tc>
          <w:tcPr>
            <w:tcW w:w="5442"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pPr>
              <w:spacing w:line="276" w:lineRule="auto"/>
            </w:pPr>
            <w:r>
              <w:rPr>
                <w:rFonts w:ascii="Segoe UI Symbol" w:eastAsia="Avenir Next LT Pro" w:hAnsi="Segoe UI Symbol" w:cs="Segoe UI Symbol"/>
              </w:rPr>
              <w:t>☑</w:t>
            </w:r>
            <w:r>
              <w:rPr>
                <w:rFonts w:eastAsia="Avenir Next LT Pro" w:cs="Avenir Next LT Pro"/>
              </w:rPr>
              <w:t xml:space="preserve"> No  </w:t>
            </w:r>
            <w:r>
              <w:rPr>
                <w:rFonts w:ascii="Segoe UI Symbol" w:eastAsia="Avenir Next LT Pro" w:hAnsi="Segoe UI Symbol" w:cs="Segoe UI Symbol"/>
              </w:rPr>
              <w:t>☐</w:t>
            </w:r>
            <w:r>
              <w:rPr>
                <w:rFonts w:eastAsia="Avenir Next LT Pro" w:cs="Avenir Next LT Pro"/>
              </w:rPr>
              <w:t xml:space="preserve"> Yes</w:t>
            </w:r>
          </w:p>
        </w:tc>
      </w:tr>
      <w:tr w:rsidR="006C6B4A" w:rsidRPr="00C751D8" w14:paraId="43D89F9D" w14:textId="77777777" w:rsidTr="50D7FC3D">
        <w:trPr>
          <w:trHeight w:val="465"/>
        </w:trPr>
        <w:tc>
          <w:tcPr>
            <w:tcW w:w="3453"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5C3A8A51" w14:textId="61AA1F00" w:rsidR="006C6B4A" w:rsidRPr="035948A4" w:rsidRDefault="006C6B4A" w:rsidP="035948A4">
            <w:pPr>
              <w:spacing w:line="276" w:lineRule="auto"/>
              <w:rPr>
                <w:rFonts w:eastAsia="Avenir Next LT Pro" w:cs="Avenir Next LT Pro"/>
                <w:b/>
                <w:bCs/>
              </w:rPr>
            </w:pPr>
            <w:r>
              <w:rPr>
                <w:rFonts w:eastAsia="Avenir Next LT Pro" w:cs="Avenir Next LT Pro"/>
                <w:b/>
                <w:bCs/>
              </w:rPr>
              <w:t>Human Subjects</w:t>
            </w:r>
          </w:p>
        </w:tc>
        <w:tc>
          <w:tcPr>
            <w:tcW w:w="5442"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pPr>
              <w:spacing w:line="276" w:lineRule="auto"/>
            </w:pPr>
            <w:r>
              <w:rPr>
                <w:rFonts w:ascii="Segoe UI Symbol" w:eastAsia="Avenir Next LT Pro" w:hAnsi="Segoe UI Symbol" w:cs="Segoe UI Symbol"/>
              </w:rPr>
              <w:t>☑</w:t>
            </w:r>
            <w:r>
              <w:rPr>
                <w:rFonts w:eastAsia="Avenir Next LT Pro" w:cs="Avenir Next LT Pro"/>
              </w:rPr>
              <w:t xml:space="preserve"> No  </w:t>
            </w:r>
            <w:r>
              <w:rPr>
                <w:rFonts w:ascii="Segoe UI Symbol" w:eastAsia="Avenir Next LT Pro" w:hAnsi="Segoe UI Symbol" w:cs="Segoe UI Symbol"/>
              </w:rPr>
              <w:t>☐</w:t>
            </w:r>
            <w:r>
              <w:rPr>
                <w:rFonts w:eastAsia="Avenir Next LT Pro" w:cs="Avenir Next LT Pro"/>
              </w:rPr>
              <w:t xml:space="preserve"> Yes</w:t>
            </w:r>
          </w:p>
        </w:tc>
      </w:tr>
      <w:tr w:rsidR="5FBA8273" w:rsidRPr="00C751D8" w14:paraId="144CD2D7" w14:textId="77777777" w:rsidTr="50D7FC3D">
        <w:trPr>
          <w:trHeight w:val="465"/>
        </w:trPr>
        <w:tc>
          <w:tcPr>
            <w:tcW w:w="3453"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20D1F90B" w14:textId="6638CEE8" w:rsidR="5FBA8273" w:rsidRPr="00C751D8" w:rsidRDefault="5FBA8273" w:rsidP="035948A4">
            <w:pPr>
              <w:spacing w:line="276" w:lineRule="auto"/>
              <w:rPr>
                <w:rFonts w:eastAsia="Avenir Next LT Pro" w:cs="Avenir Next LT Pro"/>
                <w:b/>
                <w:bCs/>
              </w:rPr>
            </w:pPr>
            <w:r>
              <w:rPr>
                <w:rFonts w:eastAsia="Avenir Next LT Pro" w:cs="Avenir Next LT Pro"/>
                <w:b/>
                <w:bCs/>
              </w:rPr>
              <w:t>Total Funds Requested From ARPA-H (including all phases)</w:t>
            </w:r>
          </w:p>
        </w:tc>
        <w:tc>
          <w:tcPr>
            <w:tcW w:w="5442"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commentRangeStart w:id="0"/>
          <w:p>
            <w:pPr>
              <w:spacing w:line="276" w:lineRule="auto"/>
              <w:rPr>
                <w:rFonts w:eastAsia="Avenir Next LT Pro" w:cs="Avenir Next LT Pro"/>
              </w:rPr>
            </w:pPr>
            <w:r>
              <w:rPr>
                <w:rFonts w:eastAsia="Avenir Next LT Pro" w:cs="Avenir Next LT Pro"/>
              </w:rPr>
              <w:t>~$42,900,000 (~$43M; bottom-up planning estimate, Appendix C.4 workbook controlling)</w:t>
            </w:r>
            <w:commentRangeEnd w:id="0"/>
            <w:r>
              <w:rPr>
                <w:rStyle w:val="CommentReference"/>
              </w:rPr>
              <w:commentReference w:id="0"/>
            </w:r>
          </w:p>
        </w:tc>
      </w:tr>
      <w:tr w:rsidR="5FBA8273" w:rsidRPr="00C751D8" w14:paraId="0117D69A" w14:textId="77777777" w:rsidTr="50D7FC3D">
        <w:trPr>
          <w:trHeight w:val="465"/>
        </w:trPr>
        <w:tc>
          <w:tcPr>
            <w:tcW w:w="3453"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3DC649D3" w14:textId="5F3E3B21" w:rsidR="5FBA8273" w:rsidRPr="00C751D8" w:rsidRDefault="5FBA8273" w:rsidP="035948A4">
            <w:pPr>
              <w:spacing w:line="276" w:lineRule="auto"/>
              <w:rPr>
                <w:rFonts w:eastAsia="Avenir Next LT Pro" w:cs="Avenir Next LT Pro"/>
                <w:b/>
                <w:bCs/>
              </w:rPr>
            </w:pPr>
            <w:r>
              <w:rPr>
                <w:rFonts w:eastAsia="Avenir Next LT Pro" w:cs="Avenir Next LT Pro"/>
                <w:b/>
                <w:bCs/>
              </w:rPr>
              <w:t>Resource Sharing (if applicable)</w:t>
            </w:r>
          </w:p>
        </w:tc>
        <w:tc>
          <w:tcPr>
            <w:tcW w:w="5442"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pPr>
              <w:spacing w:line="276" w:lineRule="auto"/>
              <w:rPr>
                <w:rFonts w:eastAsia="Avenir Next LT Pro" w:cs="Avenir Next LT Pro"/>
              </w:rPr>
            </w:pPr>
            <w:r>
              <w:rPr>
                <w:rFonts w:eastAsia="Avenir Next LT Pro" w:cs="Avenir Next LT Pro"/>
              </w:rPr>
              <w:t>~$2.3M Performer in-kind (IPAI/Purdue HPC compute, Purdue wet-lab facilities, Cellanome instrument and run credits); total project value ~$45.2M</w:t>
            </w:r>
          </w:p>
        </w:tc>
      </w:tr>
      <w:tr w:rsidR="5FBA8273" w:rsidRPr="00C751D8" w14:paraId="2FFEA839" w14:textId="77777777" w:rsidTr="50D7FC3D">
        <w:trPr>
          <w:trHeight w:val="975"/>
        </w:trPr>
        <w:tc>
          <w:tcPr>
            <w:tcW w:w="3453"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14:paraId="38742D37" w14:textId="065E1A6E" w:rsidR="5FBA8273" w:rsidRPr="00C751D8" w:rsidRDefault="5FBA8273" w:rsidP="035948A4">
            <w:pPr>
              <w:spacing w:line="276" w:lineRule="auto"/>
              <w:rPr>
                <w:rFonts w:eastAsia="Avenir Next LT Pro" w:cs="Avenir Next LT Pro"/>
                <w:b/>
                <w:bCs/>
              </w:rPr>
            </w:pPr>
            <w:r>
              <w:rPr>
                <w:rFonts w:eastAsia="Avenir Next LT Pro" w:cs="Avenir Next LT Pro"/>
                <w:b/>
                <w:bCs/>
              </w:rPr>
              <w:t>Place(s) of Performance</w:t>
            </w:r>
          </w:p>
        </w:tc>
        <w:tc>
          <w:tcPr>
            <w:tcW w:w="5442" w:type="dxa"/>
            <w:tcBorders>
              <w:top w:val="single" w:sz="8" w:space="0" w:color="auto"/>
              <w:left w:val="single" w:sz="8" w:space="0" w:color="auto"/>
              <w:bottom w:val="single" w:sz="8" w:space="0" w:color="auto"/>
              <w:right w:val="single" w:sz="8" w:space="0" w:color="auto"/>
            </w:tcBorders>
            <w:tcMar>
              <w:left w:w="105" w:type="dxa"/>
              <w:right w:w="105" w:type="dxa"/>
            </w:tcMar>
            <w:vAlign w:val="center"/>
          </w:tcPr>
          <w:p>
            <w:pPr>
              <w:spacing w:line="276" w:lineRule="auto"/>
              <w:rPr>
                <w:rFonts w:eastAsia="Avenir Next LT Pro" w:cs="Avenir Next LT Pro"/>
              </w:rPr>
            </w:pPr>
            <w:r>
              <w:rPr>
                <w:rFonts w:eastAsia="Avenir Next LT Pro" w:cs="Avenir Next LT Pro"/>
              </w:rPr>
              <w:t>Purdue University (IN); Cytognosis Foundation (CA); McLean Hospital (MA); additional validated laboratories</w:t>
            </w:r>
          </w:p>
        </w:tc>
      </w:tr>
    </w:tbl>
    <w:p w14:paraId="06C7D567" w14:textId="1CF55ECB" w:rsidR="00C751D8" w:rsidRDefault="00C751D8" w:rsidP="00C751D8">
      <w:pPr>
        <w:spacing w:line="276" w:lineRule="auto"/>
        <w:jc w:val="both"/>
        <w:rPr>
          <w:rFonts w:eastAsia="Avenir Next LT Pro" w:cs="Avenir Next LT Pro"/>
        </w:rPr>
      </w:pPr>
    </w:p>
    <w:p w14:paraId="295F6332" w14:textId="56B77122" w:rsidR="072A229C" w:rsidRPr="00C751D8" w:rsidRDefault="072A229C" w:rsidP="00C751D8">
      <w:pPr>
        <w:spacing w:line="276" w:lineRule="auto"/>
        <w:jc w:val="both"/>
        <w:rPr>
          <w:rFonts w:eastAsia="Avenir Next LT Pro" w:cs="Avenir Next LT Pro"/>
        </w:rPr>
      </w:pPr>
      <w:r>
        <w:rPr>
          <w:rFonts w:eastAsia="Avenir Next LT Pro" w:cs="Avenir Next LT Pro"/>
        </w:rPr>
        <w:lastRenderedPageBreak/>
        <w:t xml:space="preserve"> </w:t>
      </w:r>
    </w:p>
    <w:tbl>
      <w:tblPr>
        <w:tblW w:w="0" w:type="auto"/>
        <w:tblLayout w:type="fixed"/>
        <w:tblLook w:val="04A0" w:firstRow="1" w:lastRow="0" w:firstColumn="1" w:lastColumn="0" w:noHBand="0" w:noVBand="1"/>
      </w:tblPr>
      <w:tblGrid>
        <w:gridCol w:w="3139"/>
        <w:gridCol w:w="5756"/>
      </w:tblGrid>
      <w:tr w:rsidR="5FBA8273" w:rsidRPr="00C751D8" w14:paraId="19E9E545" w14:textId="77777777" w:rsidTr="035948A4">
        <w:trPr>
          <w:trHeight w:val="705"/>
        </w:trPr>
        <w:tc>
          <w:tcPr>
            <w:tcW w:w="8895" w:type="dxa"/>
            <w:gridSpan w:val="2"/>
            <w:tcBorders>
              <w:top w:val="single" w:sz="8" w:space="0" w:color="auto"/>
              <w:left w:val="single" w:sz="8" w:space="0" w:color="auto"/>
              <w:bottom w:val="single" w:sz="8" w:space="0" w:color="auto"/>
              <w:right w:val="single" w:sz="8" w:space="0" w:color="auto"/>
            </w:tcBorders>
            <w:shd w:val="clear" w:color="auto" w:fill="ADADAD" w:themeFill="background2" w:themeFillShade="BF"/>
            <w:tcMar>
              <w:left w:w="105" w:type="dxa"/>
              <w:right w:w="105" w:type="dxa"/>
            </w:tcMar>
            <w:vAlign w:val="center"/>
          </w:tcPr>
          <w:p w14:paraId="38D909FC" w14:textId="7B4B647E" w:rsidR="5FBA8273" w:rsidRPr="00C751D8" w:rsidRDefault="5FBA8273" w:rsidP="00C751D8">
            <w:pPr>
              <w:spacing w:line="276" w:lineRule="auto"/>
              <w:jc w:val="center"/>
              <w:rPr>
                <w:rFonts w:eastAsia="Avenir Next LT Pro" w:cs="Avenir Next LT Pro"/>
                <w:b/>
                <w:bCs/>
              </w:rPr>
            </w:pPr>
            <w:r>
              <w:rPr>
                <w:rFonts w:eastAsia="Avenir Next LT Pro" w:cs="Avenir Next LT Pro"/>
                <w:b/>
                <w:bCs/>
              </w:rPr>
              <w:t xml:space="preserve"> </w:t>
            </w:r>
          </w:p>
          <w:p w14:paraId="26A418FE" w14:textId="575591A7" w:rsidR="5FBA8273" w:rsidRPr="00C751D8" w:rsidRDefault="5FBA8273" w:rsidP="00C751D8">
            <w:pPr>
              <w:spacing w:line="276" w:lineRule="auto"/>
              <w:jc w:val="center"/>
              <w:rPr>
                <w:rFonts w:eastAsia="Avenir Next LT Pro" w:cs="Avenir Next LT Pro"/>
                <w:b/>
                <w:bCs/>
                <w:color w:val="000000" w:themeColor="text1"/>
              </w:rPr>
            </w:pPr>
            <w:r>
              <w:rPr>
                <w:rFonts w:eastAsia="Avenir Next LT Pro" w:cs="Avenir Next LT Pro"/>
                <w:b/>
                <w:bCs/>
                <w:color w:val="000000" w:themeColor="text1"/>
              </w:rPr>
              <w:t>SUB-AWARDEE AND CONSULTANT</w:t>
            </w:r>
          </w:p>
          <w:p w14:paraId="7EEF89A1" w14:textId="253E3A79" w:rsidR="5FBA8273" w:rsidRPr="00C751D8" w:rsidRDefault="5FBA8273" w:rsidP="00C751D8">
            <w:pPr>
              <w:spacing w:line="276" w:lineRule="auto"/>
              <w:jc w:val="center"/>
              <w:rPr>
                <w:rFonts w:eastAsia="Avenir Next LT Pro" w:cs="Avenir Next LT Pro"/>
                <w:b/>
                <w:bCs/>
                <w:color w:val="000000" w:themeColor="text1"/>
              </w:rPr>
            </w:pPr>
            <w:r>
              <w:rPr>
                <w:rFonts w:eastAsia="Avenir Next LT Pro" w:cs="Avenir Next LT Pro"/>
                <w:b/>
                <w:bCs/>
                <w:color w:val="000000" w:themeColor="text1"/>
              </w:rPr>
              <w:t>TEAM MEMBERS</w:t>
            </w:r>
          </w:p>
          <w:p w14:paraId="634D5486" w14:textId="24EBC303" w:rsidR="5FBA8273" w:rsidRPr="00C751D8" w:rsidRDefault="5FBA8273" w:rsidP="00C751D8">
            <w:pPr>
              <w:spacing w:line="276" w:lineRule="auto"/>
              <w:jc w:val="center"/>
              <w:rPr>
                <w:rFonts w:eastAsia="Avenir Next LT Pro" w:cs="Avenir Next LT Pro"/>
                <w:color w:val="000000" w:themeColor="text1"/>
              </w:rPr>
            </w:pPr>
            <w:r>
              <w:rPr>
                <w:rFonts w:eastAsia="Avenir Next LT Pro" w:cs="Avenir Next LT Pro"/>
                <w:color w:val="000000" w:themeColor="text1"/>
              </w:rPr>
              <w:t>(Add rows as necessary)</w:t>
            </w:r>
          </w:p>
          <w:p w14:paraId="3F201E3E" w14:textId="712A4480" w:rsidR="5FBA8273" w:rsidRPr="00C751D8" w:rsidRDefault="5FBA8273" w:rsidP="00C751D8">
            <w:pPr>
              <w:spacing w:line="276" w:lineRule="auto"/>
              <w:jc w:val="center"/>
              <w:rPr>
                <w:rFonts w:eastAsia="Avenir Next LT Pro" w:cs="Avenir Next LT Pro"/>
              </w:rPr>
            </w:pPr>
            <w:r>
              <w:rPr>
                <w:rFonts w:eastAsia="Avenir Next LT Pro" w:cs="Avenir Next LT Pro"/>
              </w:rPr>
              <w:t xml:space="preserve"> </w:t>
            </w:r>
          </w:p>
        </w:tc>
      </w:tr>
      <w:tr>
        <w:tc>
          <w:tcPr>
            <w:tcBorders>
              <w:top w:val="single" w:sz="4" w:space="0" w:color="auto"/>
              <w:left w:val="single" w:sz="4" w:space="0" w:color="auto"/>
              <w:bottom w:val="single" w:sz="4" w:space="0" w:color="auto"/>
              <w:right w:val="single" w:sz="4" w:space="0" w:color="auto"/>
            </w:tcBorders>
            <w:tcMar>
              <w:left w:w="105" w:type="dxa"/>
              <w:right w:w="105" w:type="dxa"/>
            </w:tcMar>
          </w:tcPr>
          <w:p>
            <w:pPr>
              <w:spacing w:line="276" w:lineRule="auto"/>
              <w:rPr>
                <w:rFonts w:eastAsia="Avenir Next LT Pro" w:cs="Avenir Next LT Pro"/>
              </w:rPr>
            </w:pPr>
            <w:r>
              <w:rPr>
                <w:rFonts w:eastAsia="Avenir Next LT Pro" w:cs="Avenir Next LT Pro"/>
              </w:rPr>
              <w:t>Org Name: Cytognosis Foundation</w:t>
            </w:r>
          </w:p>
        </w:tc>
        <w:tc>
          <w:tcPr>
            <w:tcBorders>
              <w:top w:val="single" w:sz="4" w:space="0" w:color="auto"/>
              <w:left w:val="single" w:sz="4" w:space="0" w:color="auto"/>
              <w:bottom w:val="single" w:sz="4" w:space="0" w:color="auto"/>
              <w:right w:val="single" w:sz="4" w:space="0" w:color="auto"/>
            </w:tcBorders>
            <w:tcMar>
              <w:left w:w="105" w:type="dxa"/>
              <w:right w:w="105" w:type="dxa"/>
            </w:tcMar>
          </w:tcPr>
          <w:p>
            <w:pPr>
              <w:spacing w:line="276" w:lineRule="auto"/>
              <w:rPr>
                <w:rFonts w:eastAsia="Avenir Next LT Pro" w:cs="Avenir Next LT Pro"/>
              </w:rPr>
            </w:pPr>
            <w:r>
              <w:rPr>
                <w:rFonts w:eastAsia="Avenir Next LT Pro" w:cs="Avenir Next LT Pro"/>
              </w:rPr>
              <w:t>Technical POC: Shahin Mohammadi | mohammadi@cytognosis.org</w:t>
            </w:r>
          </w:p>
        </w:tc>
        <w:tc>
          <w:tcPr>
            <w:tcBorders>
              <w:top w:val="single" w:sz="4" w:space="0" w:color="auto"/>
              <w:left w:val="single" w:sz="4" w:space="0" w:color="auto"/>
              <w:bottom w:val="single" w:sz="4" w:space="0" w:color="auto"/>
              <w:right w:val="single" w:sz="4" w:space="0" w:color="auto"/>
            </w:tcBorders>
            <w:tcMar>
              <w:left w:w="105" w:type="dxa"/>
              <w:right w:w="105" w:type="dxa"/>
            </w:tcMar>
          </w:tcPr>
          <w:p>
            <w:pPr>
              <w:spacing w:line="276" w:lineRule="auto"/>
              <w:rPr>
                <w:rFonts w:eastAsia="Avenir Next LT Pro" w:cs="Avenir Next LT Pro"/>
              </w:rPr>
            </w:pPr>
            <w:r>
              <w:rPr>
                <w:rFonts w:eastAsia="Avenir Next LT Pro" w:cs="Avenir Next LT Pro"/>
              </w:rPr>
              <w:t xml:space="preserve">☐ For-Profit  ☒ Non-profit  ☐ Academia</w:t>
            </w:r>
          </w:p>
        </w:tc>
      </w:tr>
      <w:tr>
        <w:tc>
          <w:tcPr>
            <w:tcBorders>
              <w:top w:val="single" w:sz="4" w:space="0" w:color="auto"/>
              <w:left w:val="single" w:sz="4" w:space="0" w:color="auto"/>
              <w:bottom w:val="single" w:sz="4" w:space="0" w:color="auto"/>
              <w:right w:val="single" w:sz="4" w:space="0" w:color="auto"/>
            </w:tcBorders>
            <w:tcMar>
              <w:left w:w="105" w:type="dxa"/>
              <w:right w:w="105" w:type="dxa"/>
            </w:tcMar>
          </w:tcPr>
          <w:p>
            <w:pPr>
              <w:spacing w:line="276" w:lineRule="auto"/>
              <w:rPr>
                <w:rFonts w:eastAsia="Avenir Next LT Pro" w:cs="Avenir Next LT Pro"/>
              </w:rPr>
            </w:pPr>
            <w:r>
              <w:rPr>
                <w:rFonts w:eastAsia="Avenir Next LT Pro" w:cs="Avenir Next LT Pro"/>
              </w:rPr>
              <w:t>Org Name: McLean Hospital / Harvard Medical School</w:t>
            </w:r>
          </w:p>
        </w:tc>
        <w:tc>
          <w:tcPr>
            <w:tcBorders>
              <w:top w:val="single" w:sz="4" w:space="0" w:color="auto"/>
              <w:left w:val="single" w:sz="4" w:space="0" w:color="auto"/>
              <w:bottom w:val="single" w:sz="4" w:space="0" w:color="auto"/>
              <w:right w:val="single" w:sz="4" w:space="0" w:color="auto"/>
            </w:tcBorders>
            <w:tcMar>
              <w:left w:w="105" w:type="dxa"/>
              <w:right w:w="105" w:type="dxa"/>
            </w:tcMar>
          </w:tcPr>
          <w:p>
            <w:pPr>
              <w:spacing w:line="276" w:lineRule="auto"/>
              <w:rPr>
                <w:rFonts w:eastAsia="Avenir Next LT Pro" w:cs="Avenir Next LT Pro"/>
              </w:rPr>
            </w:pPr>
            <w:r>
              <w:rPr>
                <w:rFonts w:eastAsia="Avenir Next LT Pro" w:cs="Avenir Next LT Pro"/>
              </w:rPr>
              <w:t>Technical POC: W. Brad Ruzicka</w:t>
            </w:r>
          </w:p>
        </w:tc>
        <w:tc>
          <w:tcPr>
            <w:tcBorders>
              <w:top w:val="single" w:sz="4" w:space="0" w:color="auto"/>
              <w:left w:val="single" w:sz="4" w:space="0" w:color="auto"/>
              <w:bottom w:val="single" w:sz="4" w:space="0" w:color="auto"/>
              <w:right w:val="single" w:sz="4" w:space="0" w:color="auto"/>
            </w:tcBorders>
            <w:tcMar>
              <w:left w:w="105" w:type="dxa"/>
              <w:right w:w="105" w:type="dxa"/>
            </w:tcMar>
          </w:tcPr>
          <w:p>
            <w:pPr>
              <w:spacing w:line="276" w:lineRule="auto"/>
              <w:rPr>
                <w:rFonts w:eastAsia="Avenir Next LT Pro" w:cs="Avenir Next LT Pro"/>
              </w:rPr>
            </w:pPr>
            <w:r>
              <w:rPr>
                <w:rFonts w:eastAsia="Avenir Next LT Pro" w:cs="Avenir Next LT Pro"/>
              </w:rPr>
              <w:t xml:space="preserve">☐ For-Profit  ☐ Non-profit  ☒ Academia</w:t>
            </w:r>
          </w:p>
        </w:tc>
      </w:tr>
      <w:tr>
        <w:tc>
          <w:tcPr>
            <w:tcBorders>
              <w:top w:val="single" w:sz="4" w:space="0" w:color="auto"/>
              <w:left w:val="single" w:sz="4" w:space="0" w:color="auto"/>
              <w:bottom w:val="single" w:sz="4" w:space="0" w:color="auto"/>
              <w:right w:val="single" w:sz="4" w:space="0" w:color="auto"/>
            </w:tcBorders>
            <w:tcMar>
              <w:left w:w="105" w:type="dxa"/>
              <w:right w:w="105" w:type="dxa"/>
            </w:tcMar>
          </w:tcPr>
          <w:p>
            <w:pPr>
              <w:spacing w:line="276" w:lineRule="auto"/>
              <w:rPr>
                <w:rFonts w:eastAsia="Avenir Next LT Pro" w:cs="Avenir Next LT Pro"/>
              </w:rPr>
            </w:pPr>
            <w:r>
              <w:rPr>
                <w:rFonts w:eastAsia="Avenir Next LT Pro" w:cs="Avenir Next LT Pro"/>
              </w:rPr>
              <w:t>Org Name: SIFT</w:t>
            </w:r>
          </w:p>
        </w:tc>
        <w:tc>
          <w:tcPr>
            <w:tcBorders>
              <w:top w:val="single" w:sz="4" w:space="0" w:color="auto"/>
              <w:left w:val="single" w:sz="4" w:space="0" w:color="auto"/>
              <w:bottom w:val="single" w:sz="4" w:space="0" w:color="auto"/>
              <w:right w:val="single" w:sz="4" w:space="0" w:color="auto"/>
            </w:tcBorders>
            <w:tcMar>
              <w:left w:w="105" w:type="dxa"/>
              <w:right w:w="105" w:type="dxa"/>
            </w:tcMar>
          </w:tcPr>
          <w:p>
            <w:pPr>
              <w:spacing w:line="276" w:lineRule="auto"/>
              <w:rPr>
                <w:rFonts w:eastAsia="Avenir Next LT Pro" w:cs="Avenir Next LT Pro"/>
              </w:rPr>
            </w:pPr>
            <w:r>
              <w:rPr>
                <w:rFonts w:eastAsia="Avenir Next LT Pro" w:cs="Avenir Next LT Pro"/>
              </w:rPr>
              <w:t>Technical POC: Daniel Bryce</w:t>
            </w:r>
          </w:p>
        </w:tc>
        <w:tc>
          <w:tcPr>
            <w:tcBorders>
              <w:top w:val="single" w:sz="4" w:space="0" w:color="auto"/>
              <w:left w:val="single" w:sz="4" w:space="0" w:color="auto"/>
              <w:bottom w:val="single" w:sz="4" w:space="0" w:color="auto"/>
              <w:right w:val="single" w:sz="4" w:space="0" w:color="auto"/>
            </w:tcBorders>
            <w:tcMar>
              <w:left w:w="105" w:type="dxa"/>
              <w:right w:w="105" w:type="dxa"/>
            </w:tcMar>
          </w:tcPr>
          <w:p>
            <w:pPr>
              <w:spacing w:line="276" w:lineRule="auto"/>
              <w:rPr>
                <w:rFonts w:eastAsia="Avenir Next LT Pro" w:cs="Avenir Next LT Pro"/>
              </w:rPr>
            </w:pPr>
            <w:r>
              <w:rPr>
                <w:rFonts w:eastAsia="Avenir Next LT Pro" w:cs="Avenir Next LT Pro"/>
              </w:rPr>
              <w:t xml:space="preserve">☒ For-Profit  ☐ Non-profit  ☐ Academia</w:t>
            </w:r>
          </w:p>
        </w:tc>
      </w:tr>
      <w:tr>
        <w:tc>
          <w:tcPr>
            <w:tcBorders>
              <w:top w:val="single" w:sz="4" w:space="0" w:color="auto"/>
              <w:left w:val="single" w:sz="4" w:space="0" w:color="auto"/>
              <w:bottom w:val="single" w:sz="4" w:space="0" w:color="auto"/>
              <w:right w:val="single" w:sz="4" w:space="0" w:color="auto"/>
            </w:tcBorders>
            <w:tcMar>
              <w:left w:w="105" w:type="dxa"/>
              <w:right w:w="105" w:type="dxa"/>
            </w:tcMar>
          </w:tcPr>
          <w:p>
            <w:pPr>
              <w:spacing w:line="276" w:lineRule="auto"/>
              <w:rPr>
                <w:rFonts w:eastAsia="Avenir Next LT Pro" w:cs="Avenir Next LT Pro"/>
              </w:rPr>
            </w:pPr>
            <w:r>
              <w:rPr>
                <w:rFonts w:eastAsia="Avenir Next LT Pro" w:cs="Avenir Next LT Pro"/>
              </w:rPr>
              <w:t>Org Name: Cellanome</w:t>
            </w:r>
          </w:p>
        </w:tc>
        <w:tc>
          <w:tcPr>
            <w:tcBorders>
              <w:top w:val="single" w:sz="4" w:space="0" w:color="auto"/>
              <w:left w:val="single" w:sz="4" w:space="0" w:color="auto"/>
              <w:bottom w:val="single" w:sz="4" w:space="0" w:color="auto"/>
              <w:right w:val="single" w:sz="4" w:space="0" w:color="auto"/>
            </w:tcBorders>
            <w:tcMar>
              <w:left w:w="105" w:type="dxa"/>
              <w:right w:w="105" w:type="dxa"/>
            </w:tcMar>
          </w:tcPr>
          <w:p>
            <w:pPr>
              <w:spacing w:line="276" w:lineRule="auto"/>
              <w:rPr>
                <w:rFonts w:eastAsia="Avenir Next LT Pro" w:cs="Avenir Next LT Pro"/>
              </w:rPr>
            </w:pPr>
            <w:r>
              <w:rPr>
                <w:rFonts w:eastAsia="Avenir Next LT Pro" w:cs="Avenir Next LT Pro"/>
              </w:rPr>
              <w:t>Technical POC: POC to confirm</w:t>
            </w:r>
          </w:p>
        </w:tc>
        <w:tc>
          <w:tcPr>
            <w:tcBorders>
              <w:top w:val="single" w:sz="4" w:space="0" w:color="auto"/>
              <w:left w:val="single" w:sz="4" w:space="0" w:color="auto"/>
              <w:bottom w:val="single" w:sz="4" w:space="0" w:color="auto"/>
              <w:right w:val="single" w:sz="4" w:space="0" w:color="auto"/>
            </w:tcBorders>
            <w:tcMar>
              <w:left w:w="105" w:type="dxa"/>
              <w:right w:w="105" w:type="dxa"/>
            </w:tcMar>
          </w:tcPr>
          <w:p>
            <w:pPr>
              <w:spacing w:line="276" w:lineRule="auto"/>
              <w:rPr>
                <w:rFonts w:eastAsia="Avenir Next LT Pro" w:cs="Avenir Next LT Pro"/>
              </w:rPr>
            </w:pPr>
            <w:r>
              <w:rPr>
                <w:rFonts w:eastAsia="Avenir Next LT Pro" w:cs="Avenir Next LT Pro"/>
              </w:rPr>
              <w:t xml:space="preserve">☒ For-Profit  ☐ Non-profit  ☐ Academia</w:t>
            </w:r>
          </w:p>
        </w:tc>
      </w:tr>
    </w:tbl>
    <w:p w14:paraId="60108C6F" w14:textId="6F1572D1" w:rsidR="00C751D8" w:rsidRDefault="072A229C" w:rsidP="00C751D8">
      <w:pPr>
        <w:spacing w:line="276" w:lineRule="auto"/>
        <w:ind w:left="360"/>
        <w:jc w:val="both"/>
        <w:rPr>
          <w:rFonts w:eastAsia="Avenir Next LT Pro" w:cs="Avenir Next LT Pro"/>
          <w:color w:val="365F91"/>
        </w:rPr>
      </w:pPr>
      <w:r>
        <w:rPr>
          <w:rFonts w:eastAsia="Avenir Next LT Pro" w:cs="Avenir Next LT Pro"/>
          <w:color w:val="365F91"/>
        </w:rPr>
        <w:t xml:space="preserve"> </w:t>
      </w:r>
    </w:p>
    <w:p w14:paraId="24E2B5D6" w14:textId="77777777" w:rsidR="00C751D8" w:rsidRDefault="00C751D8">
      <w:pPr>
        <w:widowControl/>
        <w:autoSpaceDE/>
        <w:autoSpaceDN/>
        <w:spacing w:after="160" w:line="278" w:lineRule="auto"/>
        <w:rPr>
          <w:rFonts w:eastAsia="Avenir Next LT Pro" w:cs="Avenir Next LT Pro"/>
          <w:color w:val="365F91"/>
        </w:rPr>
      </w:pPr>
      <w:r>
        <w:rPr>
          <w:rFonts w:eastAsia="Avenir Next LT Pro" w:cs="Avenir Next LT Pro"/>
          <w:color w:val="365F91"/>
        </w:rPr>
        <w:br w:type="page"/>
      </w:r>
    </w:p>
    <w:p w14:paraId="3F60E0D2" w14:textId="74A12283" w:rsidR="072A229C" w:rsidRDefault="5E9C190E" w:rsidP="00C751D8">
      <w:pPr>
        <w:spacing w:line="276" w:lineRule="auto"/>
        <w:jc w:val="both"/>
        <w:rPr>
          <w:rFonts w:eastAsia="Avenir Next LT Pro" w:cs="Avenir Next LT Pro"/>
          <w:color w:val="0070C0"/>
        </w:rPr>
      </w:pPr>
      <w:r>
        <w:rPr>
          <w:rFonts w:eastAsia="Avenir Next LT Pro" w:cs="Avenir Next LT Pro"/>
        </w:rPr>
        <w:t xml:space="preserve"> </w:t>
      </w:r>
    </w:p>
    <w:p w14:paraId="41AAEA99" w14:textId="77777777" w:rsidR="00685603" w:rsidRDefault="00685603" w:rsidP="00C751D8">
      <w:pPr>
        <w:spacing w:line="276" w:lineRule="auto"/>
        <w:jc w:val="both"/>
        <w:rPr>
          <w:rFonts w:ascii="Avenir Next LT Pro" w:eastAsia="Avenir Next LT Pro" w:hAnsi="Avenir Next LT Pro" w:cs="Avenir Next LT Pro"/>
          <w:color w:val="0070C0"/>
        </w:rPr>
      </w:pPr>
    </w:p>
    <w:p w14:paraId="53CE3DAB" w14:textId="114CB9D0" w:rsidR="072A229C" w:rsidRPr="00C751D8" w:rsidRDefault="072A229C" w:rsidP="00C751D8">
      <w:pPr>
        <w:spacing w:line="276" w:lineRule="auto"/>
        <w:ind w:left="720"/>
        <w:jc w:val="both"/>
        <w:rPr>
          <w:rFonts w:eastAsia="Avenir Next LT Pro" w:cs="Avenir Next LT Pro"/>
          <w:smallCaps/>
          <w:color w:val="365F91"/>
        </w:rPr>
      </w:pPr>
    </w:p>
    <w:p w14:paraId="119D05AD" w14:textId="11B97E1D" w:rsidR="00D53EAC" w:rsidRPr="00C751D8" w:rsidRDefault="072A229C" w:rsidP="00C751D8">
      <w:pPr>
        <w:pStyle w:val="ListParagraph"/>
        <w:numPr>
          <w:ilvl w:val="0"/>
          <w:numId w:val="6"/>
        </w:numPr>
        <w:spacing w:line="276" w:lineRule="auto"/>
        <w:ind w:hanging="720"/>
        <w:jc w:val="both"/>
        <w:rPr>
          <w:rFonts w:eastAsia="Avenir Next LT Pro" w:cs="Avenir Next LT Pro"/>
          <w:color w:val="0070C0"/>
        </w:rPr>
      </w:pPr>
      <w:r>
        <w:rPr>
          <w:rFonts w:eastAsia="Avenir Next LT Pro" w:cs="Avenir Next LT Pro"/>
          <w:b/>
          <w:bCs/>
          <w:smallCaps/>
          <w:color w:val="000000" w:themeColor="text1"/>
        </w:rPr>
        <w:t xml:space="preserve">CONCEPT SUMMARY </w:t>
      </w:r>
    </w:p>
    <w:commentRangeStart w:id="1"/>
    <w:p>
      <w:pPr>
        <w:spacing w:line="276" w:lineRule="auto"/>
        <w:jc w:val="both"/>
        <w:rPr>
          <w:rFonts w:eastAsia="Avenir Next LT Pro" w:cs="Avenir Next LT Pro"/>
        </w:rPr>
      </w:pPr>
      <w:commentRangeEnd w:id="1"/>
      <w:r>
        <w:rPr>
          <w:rFonts w:eastAsia="Avenir Next LT Pro" w:cs="Avenir Next LT Pro"/>
        </w:rPr>
        <w:t>PsychIGoR builds a self-updating, mechanistic, multiscale causal model of psychiatric disease and pairs it with an engine that designs its own validating experiments, beginning with schizophrenia in Phases I and II and extending to bipolar disorder in Phase III. Reproducible shifts in cellular processes that induce or reverse disease-associated cell states, identified jointly from causal interventions and natural genetic variation, form the foundation for hypothesis generation and experimental design. An interoperable perturbation protocol (IPP) translates each hypothesis into genetic-perturbation experiments that run in parallel across academic and industry laboratories and return model-ready data, closing the loop. Because schizophrenia is largely polygenic and hard to model in a dish, we begin from its penetrant, near-Mendelian forms (the 22q11.2 deletion syndrome and large-effect rare-variant genes), building in vitro disease models as isogenic pairs of iPSC-derived NGN2 neurons that differ only at the disease variant. One architectural decision threads through the system: a unified semantic foundation, one shared vocabulary and identifier system authored once and used at every stage, so an experiment transfers between the model, the protocol, and the laboratory without translation at the seams. Our team unites world experts in both the clinical (Mohammadi, Ruzicka) and the cellular (Tegtmeyer, Carpenter) modeling of psychiatric disease, a first-of-its-kind pairing that learns shared disease axes grounded in human genetics and verifiable in disease-relevant cellular models. Our deepest contribution is in disease-mechanism modeling, and the proposal addresses every program interest area.</w:t>
      </w:r>
    </w:p>
    <w:p w14:paraId="54C8C7AF" w14:textId="55D8F876" w:rsidR="00D53EAC" w:rsidRPr="00C751D8" w:rsidRDefault="072A229C" w:rsidP="00C751D8">
      <w:pPr>
        <w:pStyle w:val="ListParagraph"/>
        <w:numPr>
          <w:ilvl w:val="0"/>
          <w:numId w:val="6"/>
        </w:numPr>
        <w:spacing w:line="276" w:lineRule="auto"/>
        <w:ind w:hanging="720"/>
        <w:jc w:val="both"/>
        <w:rPr>
          <w:rFonts w:eastAsia="Avenir Next LT Pro" w:cs="Avenir Next LT Pro"/>
          <w:color w:val="0070C0"/>
        </w:rPr>
      </w:pPr>
      <w:r>
        <w:rPr>
          <w:rFonts w:eastAsia="Avenir Next LT Pro" w:cs="Avenir Next LT Pro"/>
          <w:b/>
          <w:bCs/>
          <w:smallCaps/>
          <w:color w:val="000000" w:themeColor="text1"/>
        </w:rPr>
        <w:t>INNOVATION AND IMPACT</w:t>
      </w:r>
    </w:p>
    <w:p>
      <w:pPr>
        <w:spacing w:line="276" w:lineRule="auto"/>
        <w:jc w:val="both"/>
        <w:rPr>
          <w:rFonts w:eastAsia="Avenir Next LT Pro" w:cs="Avenir Next LT Pro"/>
        </w:rPr>
      </w:pPr>
      <w:r>
        <w:rPr>
          <w:rFonts w:eastAsia="Avenir Next LT Pro" w:cs="Avenir Next LT Pro"/>
        </w:rPr>
        <w:t xml:space="preserve">Drug targets with human genetic support reach approval roughly twice as often as targets without it (Nelson et al. 2015), a multiplier rising to 2.6x with added evidence (Minikel et al. 2024). Yet most psychiatric signal is noncoding with ambiguous variant-to-gene mapping, and even a confirmed gene rarely yields a mechanism or a drug.</w:t>
      </w:r>
    </w:p>
    <w:p>
      <w:pPr>
        <w:spacing w:line="276" w:lineRule="auto"/>
        <w:jc w:val="both"/>
        <w:rPr>
          <w:rFonts w:eastAsia="Avenir Next LT Pro" w:cs="Avenir Next LT Pro"/>
        </w:rPr>
      </w:pPr>
      <w:r>
        <w:rPr>
          <w:rFonts w:eastAsia="Avenir Next LT Pro" w:cs="Avenir Next LT Pro"/>
        </w:rPr>
        <w:t xml:space="preserve">Foundation cell models (Geneformer, scFoundation) are correlational and static (Theodoris et al. 2023; Hao et al. 2024); perturbation predictors are narrow and single-scale (Roohani et al. 2024); agentic-science systems wrap a language model around a literature search (Boiko et al. 2023; Swanson et al. 2025). None combine multiscale causal inference with self-updating from new experiments, and none separate therapeutic effect from side effect.</w:t>
      </w:r>
    </w:p>
    <w:p>
      <w:pPr>
        <w:spacing w:line="276" w:lineRule="auto"/>
        <w:jc w:val="both"/>
        <w:rPr>
          <w:rFonts w:eastAsia="Avenir Next LT Pro" w:cs="Avenir Next LT Pro"/>
        </w:rPr>
      </w:pPr>
      <w:r>
        <w:rPr>
          <w:rFonts w:eastAsia="Avenir Next LT Pro" w:cs="Avenir Next LT Pro"/>
        </w:rPr>
        <w:t xml:space="preserve">Our five innovations: (1) Dual grounding — isogenic iPSC pairs give known causal interventions; population genetics gives population-scale causal evidence; each covers the other's blind spot (genomic factorization, pathway-PRS lineage; novelty claimed against PRSet precedent, Choi et al. 2020). (2) Disease as causal perturbation operator — disease-associated variation acts as a soft intervention on a latent causal model with identifiability guarantees (Scholkopf et al. 2021; Zhang et al. 2023). (3) A three-latent structural causal model separating basal state, disease effect, and treatment effect, making therapeutic versus side-effect prediction testable. (4) A self-updating, multiscale, mechanistic model grounded in human genetics and clinical cohorts, not a static foundation model. (5) An Internet-style protocol stack extending LabOP (Bartley et al. 2023) and SiLA 2 (Juchli 2022) with evidence-based parameter governance.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Pr>
      <w:tblGrid>
        <w:gridCol w:w="1700"/>
        <w:gridCol w:w="1700"/>
        <w:gridCol w:w="1700"/>
        <w:gridCol w:w="1700"/>
        <w:gridCol w:w="1700"/>
      </w:tblGrid>
      <w:tr>
        <w:tc>
          <w:tcPr>
            <w:tcBorders>
              <w:top w:val="single" w:sz="4" w:space="0" w:color="auto"/>
              <w:left w:val="single" w:sz="4" w:space="0" w:color="auto"/>
              <w:bottom w:val="single" w:sz="4" w:space="0" w:color="auto"/>
              <w:right w:val="single" w:sz="4" w:space="0" w:color="auto"/>
            </w:tcBorders>
            <w:tcMar>
              <w:left w:w="105" w:type="dxa"/>
              <w:right w:w="105" w:type="dxa"/>
            </w:tcMar>
          </w:tcPr>
          <w:p>
            <w:pPr>
              <w:spacing w:line="276" w:lineRule="auto"/>
              <w:rPr>
                <w:rFonts w:eastAsia="Avenir Next LT Pro" w:cs="Avenir Next LT Pro"/>
                <w:b/>
                <w:bCs/>
              </w:rPr>
            </w:pPr>
            <w:r>
              <w:rPr>
                <w:rFonts w:eastAsia="Avenir Next LT Pro" w:cs="Avenir Next LT Pro"/>
                <w:b/>
                <w:bCs/>
              </w:rPr>
              <w:t>Metric</w:t>
            </w:r>
          </w:p>
        </w:tc>
        <w:tc>
          <w:tcPr>
            <w:tcBorders>
              <w:top w:val="single" w:sz="4" w:space="0" w:color="auto"/>
              <w:left w:val="single" w:sz="4" w:space="0" w:color="auto"/>
              <w:bottom w:val="single" w:sz="4" w:space="0" w:color="auto"/>
              <w:right w:val="single" w:sz="4" w:space="0" w:color="auto"/>
            </w:tcBorders>
            <w:tcMar>
              <w:left w:w="105" w:type="dxa"/>
              <w:right w:w="105" w:type="dxa"/>
            </w:tcMar>
          </w:tcPr>
          <w:p>
            <w:pPr>
              <w:spacing w:line="276" w:lineRule="auto"/>
              <w:rPr>
                <w:rFonts w:eastAsia="Avenir Next LT Pro" w:cs="Avenir Next LT Pro"/>
                <w:b/>
                <w:bCs/>
              </w:rPr>
            </w:pPr>
            <w:r>
              <w:rPr>
                <w:rFonts w:eastAsia="Avenir Next LT Pro" w:cs="Avenir Next LT Pro"/>
                <w:b/>
                <w:bCs/>
              </w:rPr>
              <w:t>SOTA baseline today</w:t>
            </w:r>
          </w:p>
        </w:tc>
        <w:tc>
          <w:tcPr>
            <w:tcBorders>
              <w:top w:val="single" w:sz="4" w:space="0" w:color="auto"/>
              <w:left w:val="single" w:sz="4" w:space="0" w:color="auto"/>
              <w:bottom w:val="single" w:sz="4" w:space="0" w:color="auto"/>
              <w:right w:val="single" w:sz="4" w:space="0" w:color="auto"/>
            </w:tcBorders>
            <w:tcMar>
              <w:left w:w="105" w:type="dxa"/>
              <w:right w:w="105" w:type="dxa"/>
            </w:tcMar>
          </w:tcPr>
          <w:p>
            <w:pPr>
              <w:spacing w:line="276" w:lineRule="auto"/>
              <w:rPr>
                <w:rFonts w:eastAsia="Avenir Next LT Pro" w:cs="Avenir Next LT Pro"/>
                <w:b/>
                <w:bCs/>
              </w:rPr>
            </w:pPr>
            <w:r>
              <w:rPr>
                <w:rFonts w:eastAsia="Avenir Next LT Pro" w:cs="Avenir Next LT Pro"/>
                <w:b/>
                <w:bCs/>
              </w:rPr>
              <w:t>Phase I target</w:t>
            </w:r>
          </w:p>
        </w:tc>
        <w:tc>
          <w:tcPr>
            <w:tcBorders>
              <w:top w:val="single" w:sz="4" w:space="0" w:color="auto"/>
              <w:left w:val="single" w:sz="4" w:space="0" w:color="auto"/>
              <w:bottom w:val="single" w:sz="4" w:space="0" w:color="auto"/>
              <w:right w:val="single" w:sz="4" w:space="0" w:color="auto"/>
            </w:tcBorders>
            <w:tcMar>
              <w:left w:w="105" w:type="dxa"/>
              <w:right w:w="105" w:type="dxa"/>
            </w:tcMar>
          </w:tcPr>
          <w:p>
            <w:pPr>
              <w:spacing w:line="276" w:lineRule="auto"/>
              <w:rPr>
                <w:rFonts w:eastAsia="Avenir Next LT Pro" w:cs="Avenir Next LT Pro"/>
                <w:b/>
                <w:bCs/>
              </w:rPr>
            </w:pPr>
            <w:r>
              <w:rPr>
                <w:rFonts w:eastAsia="Avenir Next LT Pro" w:cs="Avenir Next LT Pro"/>
                <w:b/>
                <w:bCs/>
              </w:rPr>
              <w:t>Phase II target</w:t>
            </w:r>
          </w:p>
        </w:tc>
        <w:tc>
          <w:tcPr>
            <w:tcBorders>
              <w:top w:val="single" w:sz="4" w:space="0" w:color="auto"/>
              <w:left w:val="single" w:sz="4" w:space="0" w:color="auto"/>
              <w:bottom w:val="single" w:sz="4" w:space="0" w:color="auto"/>
              <w:right w:val="single" w:sz="4" w:space="0" w:color="auto"/>
            </w:tcBorders>
            <w:tcMar>
              <w:left w:w="105" w:type="dxa"/>
              <w:right w:w="105" w:type="dxa"/>
            </w:tcMar>
          </w:tcPr>
          <w:p>
            <w:pPr>
              <w:spacing w:line="276" w:lineRule="auto"/>
              <w:rPr>
                <w:rFonts w:eastAsia="Avenir Next LT Pro" w:cs="Avenir Next LT Pro"/>
                <w:b/>
                <w:bCs/>
              </w:rPr>
            </w:pPr>
            <w:r>
              <w:rPr>
                <w:rFonts w:eastAsia="Avenir Next LT Pro" w:cs="Avenir Next LT Pro"/>
                <w:b/>
                <w:bCs/>
              </w:rPr>
              <w:t>Phase III target</w:t>
            </w:r>
          </w:p>
        </w:tc>
      </w:tr>
      <w:tr>
        <w:tc>
          <w:tcPr>
            <w:tcW w:w="0" w:type="dxa"/>
          </w:tcPr>
          <w:p>
            <w:r>
              <w:t xml:space="preserve">Hypothesis-to-validated-knowledge cycle time</w:t>
            </w:r>
          </w:p>
        </w:tc>
        <w:tc>
          <w:tcPr>
            <w:tcW w:w="0" w:type="dxa"/>
          </w:tcPr>
          <w:p>
            <w:r>
              <w:t xml:space="preserve">6-18 months, manual per lab</w:t>
            </w:r>
          </w:p>
        </w:tc>
        <w:tc>
          <w:tcPr>
            <w:tcW w:w="0" w:type="dxa"/>
          </w:tcPr>
          <w:p>
            <w:r>
              <w:t xml:space="preserve">baseline + 1 full automated cycle</w:t>
            </w:r>
          </w:p>
        </w:tc>
        <w:tc>
          <w:tcPr>
            <w:tcW w:w="0" w:type="dxa"/>
          </w:tcPr>
          <w:p>
            <w:r>
              <w:t xml:space="preserve">≤6 weeks (≥4x faster)</w:t>
            </w:r>
          </w:p>
        </w:tc>
        <w:tc>
          <w:tcPr>
            <w:tcW w:w="0" w:type="dxa"/>
          </w:tcPr>
          <w:p>
            <w:r>
              <w:t xml:space="preserve">≤1-2 weeks (≥10x faster)</w:t>
            </w:r>
          </w:p>
        </w:tc>
      </w:tr>
      <w:tr>
        <w:tc>
          <w:tcPr>
            <w:tcW w:w="0" w:type="dxa"/>
          </w:tcPr>
          <w:p>
            <w:r>
              <w:t xml:space="preserve">Cross-laboratory reproducibility of perturbation effects</w:t>
            </w:r>
          </w:p>
        </w:tc>
        <w:tc>
          <w:tcPr>
            <w:tcW w:w="0" w:type="dxa"/>
          </w:tcPr>
          <w:p>
            <w:r>
              <w:t xml:space="preserve">typically &lt;50%, rarely measured</w:t>
            </w:r>
          </w:p>
        </w:tc>
        <w:tc>
          <w:tcPr>
            <w:tcW w:w="0" w:type="dxa"/>
          </w:tcPr>
          <w:p>
            <w:r>
              <w:t xml:space="preserve">≥80% (2 labs)</w:t>
            </w:r>
          </w:p>
        </w:tc>
        <w:tc>
          <w:tcPr>
            <w:tcW w:w="0" w:type="dxa"/>
          </w:tcPr>
          <w:p>
            <w:r>
              <w:t xml:space="preserve">≥90% (cross-team)</w:t>
            </w:r>
          </w:p>
        </w:tc>
        <w:tc>
          <w:tcPr>
            <w:tcW w:w="0" w:type="dxa"/>
          </w:tcPr>
          <w:p>
            <w:r>
              <w:t xml:space="preserve">≥90% (marketplace)</w:t>
            </w:r>
          </w:p>
        </w:tc>
      </w:tr>
      <w:tr>
        <w:tc>
          <w:tcPr>
            <w:tcW w:w="0" w:type="dxa"/>
          </w:tcPr>
          <w:p>
            <w:r>
              <w:t xml:space="preserve">Disease-axis variance explained, 22q11.2 cell-type shifts</w:t>
            </w:r>
          </w:p>
        </w:tc>
        <w:tc>
          <w:tcPr>
            <w:tcW w:w="0" w:type="dxa"/>
          </w:tcPr>
          <w:p>
            <w:r>
              <w:t xml:space="preserve">none (no causal model)</w:t>
            </w:r>
          </w:p>
        </w:tc>
        <w:tc>
          <w:tcPr>
            <w:tcW w:w="0" w:type="dxa"/>
          </w:tcPr>
          <w:p>
            <w:r>
              <w:t xml:space="preserve">≥30%</w:t>
            </w:r>
          </w:p>
        </w:tc>
        <w:tc>
          <w:tcPr>
            <w:tcW w:w="0" w:type="dxa"/>
          </w:tcPr>
          <w:p>
            <w:r>
              <w:t xml:space="preserve">≥50%</w:t>
            </w:r>
          </w:p>
        </w:tc>
        <w:tc>
          <w:tcPr>
            <w:tcW w:w="0" w:type="dxa"/>
          </w:tcPr>
          <w:p>
            <w:r>
              <w:t xml:space="preserve">≥60% (≥2x Phase I)</w:t>
            </w:r>
          </w:p>
        </w:tc>
      </w:tr>
      <w:tr>
        <w:tc>
          <w:tcPr>
            <w:tcW w:w="0" w:type="dxa"/>
          </w:tcPr>
          <w:p>
            <w:r>
              <w:t xml:space="preserve">Model update latency (new data to refreshed model)</w:t>
            </w:r>
          </w:p>
        </w:tc>
        <w:tc>
          <w:tcPr>
            <w:tcW w:w="0" w:type="dxa"/>
          </w:tcPr>
          <w:p>
            <w:r>
              <w:t xml:space="preserve">not possible (static models)</w:t>
            </w:r>
          </w:p>
        </w:tc>
        <w:tc>
          <w:tcPr>
            <w:tcW w:w="0" w:type="dxa"/>
          </w:tcPr>
          <w:p>
            <w:r>
              <w:t xml:space="preserve">&lt;7 days</w:t>
            </w:r>
          </w:p>
        </w:tc>
        <w:tc>
          <w:tcPr>
            <w:tcW w:w="0" w:type="dxa"/>
          </w:tcPr>
          <w:p>
            <w:r>
              <w:t xml:space="preserve">&lt;24 hours</w:t>
            </w:r>
          </w:p>
        </w:tc>
        <w:tc>
          <w:tcPr>
            <w:tcW w:w="0" w:type="dxa"/>
          </w:tcPr>
          <w:p>
            <w:r>
              <w:t xml:space="preserve">&lt;4 hours</w:t>
            </w:r>
          </w:p>
        </w:tc>
      </w:tr>
      <w:tr>
        <w:tc>
          <w:tcPr>
            <w:tcW w:w="0" w:type="dxa"/>
          </w:tcPr>
          <w:p>
            <w:r>
              <w:t xml:space="preserve">Engine-designed experiments rated high-value by expert panel</w:t>
            </w:r>
          </w:p>
        </w:tc>
        <w:tc>
          <w:tcPr>
            <w:tcW w:w="0" w:type="dxa"/>
          </w:tcPr>
          <w:p>
            <w:r>
              <w:t xml:space="preserve">n/a (no such engine)</w:t>
            </w:r>
          </w:p>
        </w:tc>
        <w:tc>
          <w:tcPr>
            <w:tcW w:w="0" w:type="dxa"/>
          </w:tcPr>
          <w:p>
            <w:r>
              <w:t xml:space="preserve">≥50%</w:t>
            </w:r>
          </w:p>
        </w:tc>
        <w:tc>
          <w:tcPr>
            <w:tcW w:w="0" w:type="dxa"/>
          </w:tcPr>
          <w:p>
            <w:r>
              <w:t xml:space="preserve">≥75%</w:t>
            </w:r>
          </w:p>
        </w:tc>
        <w:tc>
          <w:tcPr>
            <w:tcW w:w="0" w:type="dxa"/>
          </w:tcPr>
          <w:p>
            <w:r>
              <w:t xml:space="preserve">≥85%</w:t>
            </w:r>
          </w:p>
        </w:tc>
      </w:tr>
      <w:tr>
        <w:tc>
          <w:tcPr>
            <w:tcW w:w="0" w:type="dxa"/>
          </w:tcPr>
          <w:p>
            <w:r>
              <w:t xml:space="preserve">Mechanistic predictions experimentally confirmed</w:t>
            </w:r>
          </w:p>
        </w:tc>
        <w:tc>
          <w:tcPr>
            <w:tcW w:w="0" w:type="dxa"/>
          </w:tcPr>
          <w:p>
            <w:r>
              <w:t xml:space="preserve">rare, post hoc</w:t>
            </w:r>
          </w:p>
        </w:tc>
        <w:tc>
          <w:tcPr>
            <w:tcW w:w="0" w:type="dxa"/>
          </w:tcPr>
          <w:p>
            <w:r>
              <w:t xml:space="preserve">≥1 designed and tested</w:t>
            </w:r>
          </w:p>
        </w:tc>
        <w:tc>
          <w:tcPr>
            <w:tcW w:w="0" w:type="dxa"/>
          </w:tcPr>
          <w:p>
            <w:r>
              <w:t xml:space="preserve">≥3 confirmed</w:t>
            </w:r>
          </w:p>
        </w:tc>
        <w:tc>
          <w:tcPr>
            <w:tcW w:w="0" w:type="dxa"/>
          </w:tcPr>
          <w:p>
            <w:r>
              <w:t xml:space="preserve">≥10 confirmed across both diseases</w:t>
            </w:r>
          </w:p>
        </w:tc>
      </w:tr>
      <w:tr>
        <w:tc>
          <w:tcPr>
            <w:tcW w:w="0" w:type="dxa"/>
          </w:tcPr>
          <w:p>
            <w:r>
              <w:t xml:space="preserve">Diseases in one self-updating model</w:t>
            </w:r>
          </w:p>
        </w:tc>
        <w:tc>
          <w:tcPr>
            <w:tcW w:w="0" w:type="dxa"/>
          </w:tcPr>
          <w:p>
            <w:r>
              <w:t xml:space="preserve">1, siloed</w:t>
            </w:r>
          </w:p>
        </w:tc>
        <w:tc>
          <w:tcPr>
            <w:tcW w:w="0" w:type="dxa"/>
          </w:tcPr>
          <w:p>
            <w:r>
              <w:t xml:space="preserve">1 (schizophrenia)</w:t>
            </w:r>
          </w:p>
        </w:tc>
        <w:tc>
          <w:tcPr>
            <w:tcW w:w="0" w:type="dxa"/>
          </w:tcPr>
          <w:p>
            <w:r>
              <w:t xml:space="preserve">1 + transfer test</w:t>
            </w:r>
          </w:p>
        </w:tc>
        <w:tc>
          <w:tcPr>
            <w:tcW w:w="0" w:type="dxa"/>
          </w:tcPr>
          <w:p>
            <w:r>
              <w:t xml:space="preserve">2 (schizophrenia + bipolar)</w:t>
            </w:r>
          </w:p>
        </w:tc>
      </w:tr>
    </w:tbl>
    <w:commentRangeStart w:id="4"/>
    <w:p>
      <w:pPr>
        <w:spacing w:line="276" w:lineRule="auto"/>
        <w:jc w:val="both"/>
        <w:rPr>
          <w:rFonts w:eastAsia="Avenir Next LT Pro" w:cs="Avenir Next LT Pro"/>
        </w:rPr>
      </w:pPr>
      <w:r>
        <w:rPr>
          <w:rFonts w:eastAsia="Avenir Next LT Pro" w:cs="Avenir Next LT Pro"/>
        </w:rPr>
        <w:t xml:space="preserve">The marquee outcome is at least 10x faster validated knowledge by Phase III, with the model, protocol stack, and marketplace interfaces deposited openly so the same infrastructure accelerates discovery across many diseases.</w:t>
      </w:r>
      <w:commentRangeEnd w:id="4"/>
      <w:r>
        <w:rPr>
          <w:rStyle w:val="CommentReference"/>
        </w:rPr>
        <w:commentReference w:id="4"/>
      </w:r>
    </w:p>
    <w:p w14:paraId="3316DF8C" w14:textId="7D97C957" w:rsidR="00D53EAC" w:rsidRPr="00C751D8" w:rsidRDefault="072A229C" w:rsidP="00C751D8">
      <w:pPr>
        <w:pStyle w:val="ListParagraph"/>
        <w:numPr>
          <w:ilvl w:val="0"/>
          <w:numId w:val="6"/>
        </w:numPr>
        <w:spacing w:line="276" w:lineRule="auto"/>
        <w:ind w:hanging="720"/>
        <w:jc w:val="both"/>
        <w:rPr>
          <w:rFonts w:eastAsia="Avenir Next LT Pro" w:cs="Avenir Next LT Pro"/>
          <w:color w:val="0070C0"/>
        </w:rPr>
      </w:pPr>
      <w:r>
        <w:rPr>
          <w:rFonts w:eastAsia="Avenir Next LT Pro" w:cs="Avenir Next LT Pro"/>
          <w:b/>
          <w:bCs/>
          <w:smallCaps/>
          <w:color w:val="000000" w:themeColor="text1"/>
        </w:rPr>
        <w:t xml:space="preserve">PROPOSED WORK </w:t>
      </w:r>
    </w:p>
    <w:p>
      <w:pPr>
        <w:spacing w:line="276" w:lineRule="auto"/>
        <w:jc w:val="both"/>
        <w:rPr>
          <w:rFonts w:eastAsia="Avenir Next LT Pro" w:cs="Avenir Next LT Pro"/>
        </w:rPr>
      </w:pPr>
      <w:r>
        <w:rPr>
          <w:rFonts w:eastAsia="Avenir Next LT Pro" w:cs="Avenir Next LT Pro"/>
        </w:rPr>
        <w:t xml:space="preserve">Final deliverable: a closed-loop IGoR system demonstrated on schizophrenia and extended to bipolar disorder — a self-updating causal disease-mechanism model, an experiment-design engine, and an interoperable protocol stack with validated laboratories reaching the 10x cycle-time target. The task structure mirrors Appendix C.2 and is cross-walked to Appendix C.3.</w:t>
      </w:r>
    </w:p>
    <w:p>
      <w:pPr>
        <w:spacing w:line="276" w:lineRule="auto"/>
        <w:jc w:val="both"/>
        <w:rPr>
          <w:rFonts w:eastAsia="Avenir Next LT Pro" w:cs="Avenir Next LT Pro"/>
        </w:rPr>
      </w:pPr>
      <w:r>
        <w:rPr>
          <w:rFonts w:eastAsia="Avenir Next LT Pro" w:cs="Avenir Next LT Pro"/>
        </w:rPr>
        <w:t xml:space="preserve">Disease-mechanism modeling (primary contribution; co-led by Cytognosis and IPAI). We represent isogenic iPSC pairs and patient clinical cohorts in a shared pathway-space model, align disease axes by optimal transport so cellular and clinical evidence constrain the same axes, and factor the result into sparse, transdiagnostic disease-axis factors (novelty claimed against PRSet, Choi et al. 2020). A three-latent structural causal model separates basal state, disease effect, and treatment effect (Zhang et al. 2023). The Phase I anchor is a phenotypic-triage screen across the penetrant-variant panel (22q11.2, TBX1, SETD1A, GRIN2A, GRIA3; Singh et al. 2022) as isogenic pairs with transcriptomic, morphological, and calcium-imaging readouts, triaged to the 5-10 genes with the most robust phenotypic shifts.</w:t>
      </w:r>
    </w:p>
    <w:p>
      <w:pPr>
        <w:spacing w:line="276" w:lineRule="auto"/>
        <w:jc w:val="both"/>
        <w:rPr>
          <w:rFonts w:eastAsia="Avenir Next LT Pro" w:cs="Avenir Next LT Pro"/>
        </w:rPr>
      </w:pPr>
      <w:r>
        <w:rPr>
          <w:rFonts w:eastAsia="Avenir Next LT Pro" w:cs="Avenir Next LT Pro"/>
        </w:rPr>
        <w:t xml:space="preserve">Experiment-design engine and hypothesis generation (co-led by IPAI and Cytognosis). A non-LLM-wrapper engine interrogates the disease model's own uncertain parameters to choose the highest-value experiment, through a hypothesis tournament with adversarial critics, mechanism-grounded retrieval, and lightweight pre-screening simulations; SIFT contributes a scoped value-of-information planning layer.</w:t>
      </w:r>
    </w:p>
    <w:p>
      <w:pPr>
        <w:spacing w:line="276" w:lineRule="auto"/>
        <w:jc w:val="both"/>
        <w:rPr>
          <w:rFonts w:eastAsia="Avenir Next LT Pro" w:cs="Avenir Next LT Pro"/>
        </w:rPr>
      </w:pPr>
      <w:r>
        <w:rPr>
          <w:rFonts w:eastAsia="Avenir Next LT Pro" w:cs="Avenir Next LT Pro"/>
        </w:rPr>
        <w:t xml:space="preserve">Interoperable perturbation protocols (SIFT lead): a layered stack (intent, process, calibration, hardware) with one LinkML/Biolink semantic foundation authored once across all focus areas, LabOP extended to three phases each with a quantitative quality-control gate. Experimental execution: the academic arm (Tegtmeyer lab, Purdue) runs iPSC-derived NGN2 neuron disease models with multi-modal readouts; the industry arm (Cellanome) contributes live-cell imaging, same-cell scRNA-seq, and Perturb-seq on the R3200 with Phase I functional readout by single-cell calcium imaging; Anne Carpenter (IPAI/Purdue) provides the common computational morphology layer.</w:t>
      </w:r>
    </w:p>
    <w:p>
      <w:pPr>
        <w:spacing w:line="276" w:lineRule="auto"/>
        <w:jc w:val="both"/>
        <w:rPr>
          <w:rFonts w:eastAsia="Avenir Next LT Pro" w:cs="Avenir Next LT Pro"/>
        </w:rPr>
      </w:pPr>
      <w:r>
        <w:rPr>
          <w:rFonts w:eastAsia="Avenir Next LT Pro" w:cs="Avenir Next LT Pro"/>
        </w:rPr>
        <w:t xml:space="preserve">Alternatives and risk: a foundation-model-only approach was rejected as correlational and non-updating; patient lines alone were rejected for lacking matched controls, which is why we engineer isogenic pairs. The central risk (polygenic disease resisting in-dish modeling) is mitigated by starting from penetrant forms and the phenotypic-triage screen; cross-laboratory concordance is mitigated by the calibration layer, reference materials, IV&amp;V artifacts, and RFC governance.</w:t>
      </w:r>
    </w:p>
    <w:p w14:paraId="2443AC1B" w14:textId="3EBED4D8" w:rsidR="072A229C" w:rsidRPr="00C751D8" w:rsidRDefault="072A229C" w:rsidP="00C751D8">
      <w:pPr>
        <w:pStyle w:val="ListParagraph"/>
        <w:numPr>
          <w:ilvl w:val="0"/>
          <w:numId w:val="6"/>
        </w:numPr>
        <w:spacing w:line="276" w:lineRule="auto"/>
        <w:ind w:hanging="720"/>
        <w:jc w:val="both"/>
        <w:rPr>
          <w:rFonts w:eastAsia="Avenir Next LT Pro" w:cs="Avenir Next LT Pro"/>
          <w:b/>
          <w:bCs/>
          <w:smallCaps/>
          <w:color w:val="000000" w:themeColor="text1"/>
        </w:rPr>
      </w:pPr>
      <w:r>
        <w:rPr>
          <w:rFonts w:eastAsia="Avenir Next LT Pro" w:cs="Avenir Next LT Pro"/>
          <w:b/>
          <w:bCs/>
          <w:smallCaps/>
          <w:color w:val="000000" w:themeColor="text1"/>
        </w:rPr>
        <w:t xml:space="preserve">TEAM ORGANIZATION AND CAPABILITIES: </w:t>
      </w:r>
    </w:p>
    <w:p>
      <w:pPr>
        <w:spacing w:line="276" w:lineRule="auto"/>
        <w:jc w:val="both"/>
        <w:rPr>
          <w:rFonts w:eastAsia="Avenir Next LT Pro" w:cs="Avenir Next LT Pro"/>
        </w:rPr>
      </w:pPr>
      <w:r>
        <w:rPr>
          <w:b/>
          <w:bCs/>
          <w:rFonts w:eastAsia="Avenir Next LT Pro" w:cs="Avenir Next LT Pro"/>
        </w:rPr>
        <w:t xml:space="preserve">4.1 Organizational roles and responsibilities.</w:t>
      </w:r>
      <w:r>
        <w:rPr>
          <w:rFonts w:eastAsia="Avenir Next LT Pro" w:cs="Avenir Next LT Pro"/>
        </w:rPr>
        <w:t xml:space="preserve"> Purdue/IPAI is the prime (PI Ananth Grama), leading TA1 disease modeling, the TA2 experiment-design engine, and hosting the Tegtmeyer academic execution laboratory; Cytognosis (Shahin Mohammadi) co-leads TA1 disease modeling, TA1-to-TA2 hypothesis generation, and the semantic foundation; SIFT (Daniel Bryce) leads the TA2-TA3 interface, TA3 interoperable protocols, and TA3-TA4, and co-leads the semantic foundation; the validated-laboratory marketplace runs through Tegtmeyer's academic arm (Purdue) and Cellanome's industry arm; McLean/HMS (Ruzicka) provides clinical and translational grounding and data governance. A project manager (Patricia Purcell, hired via Cytognosis) and a software/systems architect (distinct from the PI, as required) support delivery across all focus areas.</w:t>
      </w:r>
    </w:p>
    <w:p>
      <w:pPr>
        <w:spacing w:line="276" w:lineRule="auto"/>
        <w:jc w:val="both"/>
        <w:rPr>
          <w:rFonts w:eastAsia="Avenir Next LT Pro" w:cs="Avenir Next LT Pro"/>
        </w:rPr>
      </w:pPr>
      <w:r>
        <w:rPr>
          <w:b/>
          <w:bCs/>
          <w:rFonts w:eastAsia="Avenir Next LT Pro" w:cs="Avenir Next LT Pro"/>
        </w:rPr>
        <w:t xml:space="preserve">4.2 Key personnel.</w:t>
      </w:r>
    </w:p>
    <w:p>
      <w:pPr>
        <w:spacing w:line="276" w:lineRule="auto"/>
        <w:jc w:val="both"/>
        <w:rPr>
          <w:rFonts w:eastAsia="Avenir Next LT Pro" w:cs="Avenir Next LT Pro"/>
        </w:rPr>
      </w:pPr>
      <w:r>
        <w:rPr>
          <w:b/>
          <w:bCs/>
          <w:rFonts w:eastAsia="Avenir Next LT Pro" w:cs="Avenir Next LT Pro"/>
        </w:rPr>
        <w:t xml:space="preserve">Ananth Grama</w:t>
      </w:r>
      <w:r>
        <w:rPr>
          <w:rFonts w:eastAsia="Avenir Next LT Pro" w:cs="Avenir Next LT Pro"/>
        </w:rPr>
        <w:t xml:space="preserve"> -- Samuel D. Conte Distinguished Professor of Computer Science; Director, Institute for Physical AI (IPAI), Purdue University. Expert in parallel and distributed computing, large-scale data analytics, and AI; leads the IPAI program bridging AI with physical sciences including drug development and systems biology.</w:t>
      </w:r>
    </w:p>
    <w:p>
      <w:pPr>
        <w:spacing w:line="276" w:lineRule="auto"/>
        <w:jc w:val="both"/>
        <w:rPr>
          <w:rFonts w:eastAsia="Avenir Next LT Pro" w:cs="Avenir Next LT Pro"/>
        </w:rPr>
      </w:pPr>
      <w:r>
        <w:rPr>
          <w:b/>
          <w:bCs/>
          <w:rFonts w:eastAsia="Avenir Next LT Pro" w:cs="Avenir Next LT Pro"/>
        </w:rPr>
        <w:t xml:space="preserve">Shahin Mohammadi</w:t>
      </w:r>
      <w:r>
        <w:rPr>
          <w:rFonts w:eastAsia="Avenir Next LT Pro" w:cs="Avenir Next LT Pro"/>
        </w:rPr>
        <w:t xml:space="preserve"> -- Founder and CEO, Cytognosis Foundation. Computational biologist with expertise in single-cell genomics, causal and perturbation modeling, and psychiatric genetics; co-senior author of the McLean/Mount Sinai schizophrenia single-cell atlas (Ruzicka et al., Science 2024).</w:t>
      </w:r>
    </w:p>
    <w:p>
      <w:pPr>
        <w:spacing w:line="276" w:lineRule="auto"/>
        <w:jc w:val="both"/>
        <w:rPr>
          <w:rFonts w:eastAsia="Avenir Next LT Pro" w:cs="Avenir Next LT Pro"/>
        </w:rPr>
      </w:pPr>
      <w:r>
        <w:rPr>
          <w:b/>
          <w:bCs/>
          <w:rFonts w:eastAsia="Avenir Next LT Pro" w:cs="Avenir Next LT Pro"/>
        </w:rPr>
        <w:t xml:space="preserve">Matthew Tegtmeyer</w:t>
      </w:r>
      <w:r>
        <w:rPr>
          <w:rFonts w:eastAsia="Avenir Next LT Pro" w:cs="Avenir Next LT Pro"/>
        </w:rPr>
        <w:t xml:space="preserve"> -- Assistant Professor of Biological Sciences, Purdue University. Developer of NeuroPainting; his laboratory uses multimodal phenomics (high-content morphology and scRNA-seq) to study genetic variants in iPSC-derived neural models, with specific focus on the 22q11.2 deletion and schizophrenia mechanisms.</w:t>
      </w:r>
    </w:p>
    <w:p>
      <w:pPr>
        <w:spacing w:line="276" w:lineRule="auto"/>
        <w:jc w:val="both"/>
        <w:rPr>
          <w:rFonts w:eastAsia="Avenir Next LT Pro" w:cs="Avenir Next LT Pro"/>
        </w:rPr>
      </w:pPr>
      <w:r>
        <w:rPr>
          <w:b/>
          <w:bCs/>
          <w:rFonts w:eastAsia="Avenir Next LT Pro" w:cs="Avenir Next LT Pro"/>
        </w:rPr>
        <w:t xml:space="preserve">Anne Carpenter</w:t>
      </w:r>
      <w:r>
        <w:rPr>
          <w:rFonts w:eastAsia="Avenir Next LT Pro" w:cs="Avenir Next LT Pro"/>
        </w:rPr>
        <w:t xml:space="preserve"> -- Institute Scientist and Senior Director of the Imaging Platform, Broad Institute of MIT and Harvard. Inventor of CellProfiler and co-inventor of the Cell Painting assay; leads image-based cell profiling at scale for high-throughput biological discovery.</w:t>
      </w:r>
    </w:p>
    <w:p>
      <w:pPr>
        <w:spacing w:line="276" w:lineRule="auto"/>
        <w:jc w:val="both"/>
        <w:rPr>
          <w:rFonts w:eastAsia="Avenir Next LT Pro" w:cs="Avenir Next LT Pro"/>
        </w:rPr>
      </w:pPr>
      <w:r>
        <w:rPr>
          <w:b/>
          <w:bCs/>
          <w:rFonts w:eastAsia="Avenir Next LT Pro" w:cs="Avenir Next LT Pro"/>
        </w:rPr>
        <w:t xml:space="preserve">W. Brad Ruzicka</w:t>
      </w:r>
      <w:r>
        <w:rPr>
          <w:rFonts w:eastAsia="Avenir Next LT Pro" w:cs="Avenir Next LT Pro"/>
        </w:rPr>
        <w:t xml:space="preserve"> -- Assistant Professor of Psychiatry, Harvard Medical School; Director, Laboratory for Epigenomics in Human Psychopathology, McLean Hospital. Leads psychiatric single-cell genomics within PsychENCODE; co-senior author of the schizophrenia single-cell atlas (Ruzicka et al., Science 2024).</w:t>
      </w:r>
    </w:p>
    <w:p>
      <w:pPr>
        <w:spacing w:line="276" w:lineRule="auto"/>
        <w:jc w:val="both"/>
        <w:rPr>
          <w:rFonts w:eastAsia="Avenir Next LT Pro" w:cs="Avenir Next LT Pro"/>
        </w:rPr>
      </w:pPr>
      <w:r>
        <w:rPr>
          <w:b/>
          <w:bCs/>
          <w:rFonts w:eastAsia="Avenir Next LT Pro" w:cs="Avenir Next LT Pro"/>
        </w:rPr>
        <w:t xml:space="preserve">Daniel Bryce</w:t>
      </w:r>
      <w:r>
        <w:rPr>
          <w:rFonts w:eastAsia="Avenir Next LT Pro" w:cs="Avenir Next LT Pro"/>
        </w:rPr>
        <w:t xml:space="preserve"> -- Fellow, Smart Information Flow Technologies (SIFT). Automated planning and AI for scientific discovery; PI for DARPA XPlan and LabOP Open Datasets, co-developer of the LabOP protocol language under DARPA SD2.</w:t>
      </w:r>
    </w:p>
    <w:p w14:paraId="146845C6" w14:textId="708149E7" w:rsidR="072A229C" w:rsidRPr="00C751D8" w:rsidRDefault="072A229C" w:rsidP="00C751D8">
      <w:pPr>
        <w:pStyle w:val="ListParagraph"/>
        <w:numPr>
          <w:ilvl w:val="0"/>
          <w:numId w:val="6"/>
        </w:numPr>
        <w:spacing w:line="276" w:lineRule="auto"/>
        <w:ind w:hanging="720"/>
        <w:jc w:val="both"/>
        <w:rPr>
          <w:rFonts w:eastAsia="Avenir Next LT Pro" w:cs="Avenir Next LT Pro"/>
          <w:b/>
          <w:bCs/>
          <w:smallCaps/>
          <w:color w:val="000000" w:themeColor="text1"/>
        </w:rPr>
      </w:pPr>
      <w:r>
        <w:rPr>
          <w:rFonts w:eastAsia="Avenir Next LT Pro" w:cs="Avenir Next LT Pro"/>
          <w:b/>
          <w:bCs/>
          <w:smallCaps/>
          <w:color w:val="000000" w:themeColor="text1"/>
        </w:rPr>
        <w:t>BASIS OF ESTIMATE (BOE) - Not Included in The Page Limit:</w:t>
      </w:r>
    </w:p>
    <w:p w14:paraId="403DBCD7" w14:textId="7AC9DBF9" w:rsidR="072A229C" w:rsidRPr="00C751D8" w:rsidRDefault="072A229C" w:rsidP="00C751D8">
      <w:pPr>
        <w:spacing w:line="276" w:lineRule="auto"/>
        <w:ind w:left="720"/>
        <w:jc w:val="both"/>
        <w:rPr>
          <w:rFonts w:eastAsia="Avenir Next LT Pro" w:cs="Avenir Next LT Pro"/>
          <w:color w:val="000000" w:themeColor="text1"/>
        </w:rPr>
      </w:pPr>
    </w:p>
    <w:p w14:paraId="71875E81" w14:textId="77777777" w:rsidR="00333979" w:rsidRPr="00C751D8" w:rsidRDefault="00333979" w:rsidP="00C751D8">
      <w:pPr>
        <w:pStyle w:val="ListParagraph"/>
        <w:spacing w:line="276" w:lineRule="auto"/>
        <w:ind w:left="1440" w:hanging="720"/>
        <w:jc w:val="both"/>
        <w:rPr>
          <w:rFonts w:eastAsia="Avenir Next LT Pro" w:cs="Avenir Next LT Pro"/>
          <w:color w:val="0070C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Pr>
      <w:tblGrid>
        <w:gridCol w:w="1700"/>
        <w:gridCol w:w="1700"/>
        <w:gridCol w:w="1700"/>
        <w:gridCol w:w="1700"/>
        <w:gridCol w:w="1700"/>
      </w:tblGrid>
      <w:tr>
        <w:tc>
          <w:tcPr>
            <w:tcBorders>
              <w:top w:val="single" w:sz="4" w:space="0" w:color="auto"/>
              <w:left w:val="single" w:sz="4" w:space="0" w:color="auto"/>
              <w:bottom w:val="single" w:sz="4" w:space="0" w:color="auto"/>
              <w:right w:val="single" w:sz="4" w:space="0" w:color="auto"/>
            </w:tcBorders>
            <w:tcMar>
              <w:left w:w="105" w:type="dxa"/>
              <w:right w:w="105" w:type="dxa"/>
            </w:tcMar>
          </w:tcPr>
          <w:p>
            <w:pPr>
              <w:spacing w:line="276" w:lineRule="auto"/>
              <w:rPr>
                <w:rFonts w:eastAsia="Avenir Next LT Pro" w:cs="Avenir Next LT Pro"/>
                <w:b/>
                <w:bCs/>
              </w:rPr>
            </w:pPr>
            <w:r>
              <w:rPr>
                <w:rFonts w:eastAsia="Avenir Next LT Pro" w:cs="Avenir Next LT Pro"/>
                <w:b/>
                <w:bCs/>
              </w:rPr>
              <w:t>Performer</w:t>
            </w:r>
          </w:p>
        </w:tc>
        <w:tc>
          <w:tcPr>
            <w:tcBorders>
              <w:top w:val="single" w:sz="4" w:space="0" w:color="auto"/>
              <w:left w:val="single" w:sz="4" w:space="0" w:color="auto"/>
              <w:bottom w:val="single" w:sz="4" w:space="0" w:color="auto"/>
              <w:right w:val="single" w:sz="4" w:space="0" w:color="auto"/>
            </w:tcBorders>
            <w:tcMar>
              <w:left w:w="105" w:type="dxa"/>
              <w:right w:w="105" w:type="dxa"/>
            </w:tcMar>
          </w:tcPr>
          <w:p>
            <w:pPr>
              <w:spacing w:line="276" w:lineRule="auto"/>
              <w:rPr>
                <w:rFonts w:eastAsia="Avenir Next LT Pro" w:cs="Avenir Next LT Pro"/>
                <w:b/>
                <w:bCs/>
              </w:rPr>
            </w:pPr>
            <w:r>
              <w:rPr>
                <w:rFonts w:eastAsia="Avenir Next LT Pro" w:cs="Avenir Next LT Pro"/>
                <w:b/>
                <w:bCs/>
              </w:rPr>
              <w:t>Role / focus</w:t>
            </w:r>
          </w:p>
        </w:tc>
        <w:tc>
          <w:tcPr>
            <w:tcBorders>
              <w:top w:val="single" w:sz="4" w:space="0" w:color="auto"/>
              <w:left w:val="single" w:sz="4" w:space="0" w:color="auto"/>
              <w:bottom w:val="single" w:sz="4" w:space="0" w:color="auto"/>
              <w:right w:val="single" w:sz="4" w:space="0" w:color="auto"/>
            </w:tcBorders>
            <w:tcMar>
              <w:left w:w="105" w:type="dxa"/>
              <w:right w:w="105" w:type="dxa"/>
            </w:tcMar>
          </w:tcPr>
          <w:p>
            <w:pPr>
              <w:spacing w:line="276" w:lineRule="auto"/>
              <w:rPr>
                <w:rFonts w:eastAsia="Avenir Next LT Pro" w:cs="Avenir Next LT Pro"/>
                <w:b/>
                <w:bCs/>
              </w:rPr>
            </w:pPr>
            <w:r>
              <w:rPr>
                <w:rFonts w:eastAsia="Avenir Next LT Pro" w:cs="Avenir Next LT Pro"/>
                <w:b/>
                <w:bCs/>
              </w:rPr>
              <w:t>5-yr total</w:t>
            </w:r>
          </w:p>
        </w:tc>
        <w:tc>
          <w:tcPr>
            <w:tcBorders>
              <w:top w:val="single" w:sz="4" w:space="0" w:color="auto"/>
              <w:left w:val="single" w:sz="4" w:space="0" w:color="auto"/>
              <w:bottom w:val="single" w:sz="4" w:space="0" w:color="auto"/>
              <w:right w:val="single" w:sz="4" w:space="0" w:color="auto"/>
            </w:tcBorders>
            <w:tcMar>
              <w:left w:w="105" w:type="dxa"/>
              <w:right w:w="105" w:type="dxa"/>
            </w:tcMar>
          </w:tcPr>
          <w:p>
            <w:pPr>
              <w:spacing w:line="276" w:lineRule="auto"/>
              <w:rPr>
                <w:rFonts w:eastAsia="Avenir Next LT Pro" w:cs="Avenir Next LT Pro"/>
                <w:b/>
                <w:bCs/>
              </w:rPr>
            </w:pPr>
            <w:r>
              <w:rPr>
                <w:rFonts w:eastAsia="Avenir Next LT Pro" w:cs="Avenir Next LT Pro"/>
                <w:b/>
                <w:bCs/>
              </w:rPr>
              <w:t>Phase I</w:t>
            </w:r>
          </w:p>
        </w:tc>
        <w:tc>
          <w:tcPr>
            <w:tcBorders>
              <w:top w:val="single" w:sz="4" w:space="0" w:color="auto"/>
              <w:left w:val="single" w:sz="4" w:space="0" w:color="auto"/>
              <w:bottom w:val="single" w:sz="4" w:space="0" w:color="auto"/>
              <w:right w:val="single" w:sz="4" w:space="0" w:color="auto"/>
            </w:tcBorders>
            <w:tcMar>
              <w:left w:w="105" w:type="dxa"/>
              <w:right w:w="105" w:type="dxa"/>
            </w:tcMar>
          </w:tcPr>
          <w:p>
            <w:pPr>
              <w:spacing w:line="276" w:lineRule="auto"/>
              <w:rPr>
                <w:rFonts w:eastAsia="Avenir Next LT Pro" w:cs="Avenir Next LT Pro"/>
                <w:b/>
                <w:bCs/>
              </w:rPr>
            </w:pPr>
            <w:r>
              <w:rPr>
                <w:rFonts w:eastAsia="Avenir Next LT Pro" w:cs="Avenir Next LT Pro"/>
                <w:b/>
                <w:bCs/>
              </w:rPr>
              <w:t>Phase II/III</w:t>
            </w:r>
          </w:p>
        </w:tc>
      </w:tr>
      <w:tr>
        <w:tc>
          <w:tcPr>
            <w:tcBorders>
              <w:top w:val="single" w:sz="4" w:space="0" w:color="auto"/>
              <w:left w:val="single" w:sz="4" w:space="0" w:color="auto"/>
              <w:bottom w:val="single" w:sz="4" w:space="0" w:color="auto"/>
              <w:right w:val="single" w:sz="4" w:space="0" w:color="auto"/>
            </w:tcBorders>
            <w:tcMar>
              <w:left w:w="105" w:type="dxa"/>
              <w:right w:w="105" w:type="dxa"/>
            </w:tcMar>
          </w:tcPr>
          <w:p>
            <w:pPr>
              <w:spacing w:line="276" w:lineRule="auto"/>
              <w:rPr>
                <w:rFonts w:eastAsia="Avenir Next LT Pro" w:cs="Avenir Next LT Pro"/>
              </w:rPr>
            </w:pPr>
            <w:r>
              <w:rPr>
                <w:rFonts w:eastAsia="Avenir Next LT Pro" w:cs="Avenir Next LT Pro"/>
              </w:rPr>
              <w:t>Purdue/IPAI, computational (Prime)</w:t>
            </w:r>
          </w:p>
        </w:tc>
        <w:tc>
          <w:tcPr>
            <w:tcBorders>
              <w:top w:val="single" w:sz="4" w:space="0" w:color="auto"/>
              <w:left w:val="single" w:sz="4" w:space="0" w:color="auto"/>
              <w:bottom w:val="single" w:sz="4" w:space="0" w:color="auto"/>
              <w:right w:val="single" w:sz="4" w:space="0" w:color="auto"/>
            </w:tcBorders>
            <w:tcMar>
              <w:left w:w="105" w:type="dxa"/>
              <w:right w:w="105" w:type="dxa"/>
            </w:tcMar>
          </w:tcPr>
          <w:p>
            <w:pPr>
              <w:spacing w:line="276" w:lineRule="auto"/>
              <w:rPr>
                <w:rFonts w:eastAsia="Avenir Next LT Pro" w:cs="Avenir Next LT Pro"/>
              </w:rPr>
            </w:pPr>
            <w:r>
              <w:rPr>
                <w:rFonts w:eastAsia="Avenir Next LT Pro" w:cs="Avenir Next LT Pro"/>
              </w:rPr>
              <w:t>PI Grama; TA1/TA2 co-lead; Carpenter computational morphology</w:t>
            </w:r>
          </w:p>
        </w:tc>
        <w:tc>
          <w:tcPr>
            <w:tcBorders>
              <w:top w:val="single" w:sz="4" w:space="0" w:color="auto"/>
              <w:left w:val="single" w:sz="4" w:space="0" w:color="auto"/>
              <w:bottom w:val="single" w:sz="4" w:space="0" w:color="auto"/>
              <w:right w:val="single" w:sz="4" w:space="0" w:color="auto"/>
            </w:tcBorders>
            <w:tcMar>
              <w:left w:w="105" w:type="dxa"/>
              <w:right w:w="105" w:type="dxa"/>
            </w:tcMar>
          </w:tcPr>
          <w:p>
            <w:pPr>
              <w:spacing w:line="276" w:lineRule="auto"/>
              <w:rPr>
                <w:rFonts w:eastAsia="Avenir Next LT Pro" w:cs="Avenir Next LT Pro"/>
              </w:rPr>
            </w:pPr>
            <w:r>
              <w:rPr>
                <w:rFonts w:eastAsia="Avenir Next LT Pro" w:cs="Avenir Next LT Pro"/>
              </w:rPr>
              <w:t>$6.5M</w:t>
            </w:r>
          </w:p>
        </w:tc>
        <w:tc>
          <w:tcPr>
            <w:tcBorders>
              <w:top w:val="single" w:sz="4" w:space="0" w:color="auto"/>
              <w:left w:val="single" w:sz="4" w:space="0" w:color="auto"/>
              <w:bottom w:val="single" w:sz="4" w:space="0" w:color="auto"/>
              <w:right w:val="single" w:sz="4" w:space="0" w:color="auto"/>
            </w:tcBorders>
            <w:tcMar>
              <w:left w:w="105" w:type="dxa"/>
              <w:right w:w="105" w:type="dxa"/>
            </w:tcMar>
          </w:tcPr>
          <w:p>
            <w:pPr>
              <w:spacing w:line="276" w:lineRule="auto"/>
              <w:rPr>
                <w:rFonts w:eastAsia="Avenir Next LT Pro" w:cs="Avenir Next LT Pro"/>
              </w:rPr>
            </w:pPr>
            <w:r>
              <w:rPr>
                <w:rFonts w:eastAsia="Avenir Next LT Pro" w:cs="Avenir Next LT Pro"/>
              </w:rPr>
              <w:t>$1.8M</w:t>
            </w:r>
          </w:p>
        </w:tc>
        <w:tc>
          <w:tcPr>
            <w:tcBorders>
              <w:top w:val="single" w:sz="4" w:space="0" w:color="auto"/>
              <w:left w:val="single" w:sz="4" w:space="0" w:color="auto"/>
              <w:bottom w:val="single" w:sz="4" w:space="0" w:color="auto"/>
              <w:right w:val="single" w:sz="4" w:space="0" w:color="auto"/>
            </w:tcBorders>
            <w:tcMar>
              <w:left w:w="105" w:type="dxa"/>
              <w:right w:w="105" w:type="dxa"/>
            </w:tcMar>
          </w:tcPr>
          <w:p>
            <w:pPr>
              <w:spacing w:line="276" w:lineRule="auto"/>
              <w:rPr>
                <w:rFonts w:eastAsia="Avenir Next LT Pro" w:cs="Avenir Next LT Pro"/>
              </w:rPr>
            </w:pPr>
            <w:r>
              <w:rPr>
                <w:rFonts w:eastAsia="Avenir Next LT Pro" w:cs="Avenir Next LT Pro"/>
              </w:rPr>
              <w:t>$2.0M / $2.7M</w:t>
            </w:r>
          </w:p>
        </w:tc>
      </w:tr>
      <w:tr>
        <w:tc>
          <w:tcPr>
            <w:tcBorders>
              <w:top w:val="single" w:sz="4" w:space="0" w:color="auto"/>
              <w:left w:val="single" w:sz="4" w:space="0" w:color="auto"/>
              <w:bottom w:val="single" w:sz="4" w:space="0" w:color="auto"/>
              <w:right w:val="single" w:sz="4" w:space="0" w:color="auto"/>
            </w:tcBorders>
            <w:tcMar>
              <w:left w:w="105" w:type="dxa"/>
              <w:right w:w="105" w:type="dxa"/>
            </w:tcMar>
          </w:tcPr>
          <w:p>
            <w:pPr>
              <w:spacing w:line="276" w:lineRule="auto"/>
              <w:rPr>
                <w:rFonts w:eastAsia="Avenir Next LT Pro" w:cs="Avenir Next LT Pro"/>
              </w:rPr>
            </w:pPr>
            <w:r>
              <w:rPr>
                <w:rFonts w:eastAsia="Avenir Next LT Pro" w:cs="Avenir Next LT Pro"/>
              </w:rPr>
              <w:t>Purdue, Tegtmeyer lab</w:t>
            </w:r>
          </w:p>
        </w:tc>
        <w:tc>
          <w:tcPr>
            <w:tcBorders>
              <w:top w:val="single" w:sz="4" w:space="0" w:color="auto"/>
              <w:left w:val="single" w:sz="4" w:space="0" w:color="auto"/>
              <w:bottom w:val="single" w:sz="4" w:space="0" w:color="auto"/>
              <w:right w:val="single" w:sz="4" w:space="0" w:color="auto"/>
            </w:tcBorders>
            <w:tcMar>
              <w:left w:w="105" w:type="dxa"/>
              <w:right w:w="105" w:type="dxa"/>
            </w:tcMar>
          </w:tcPr>
          <w:p>
            <w:pPr>
              <w:spacing w:line="276" w:lineRule="auto"/>
              <w:rPr>
                <w:rFonts w:eastAsia="Avenir Next LT Pro" w:cs="Avenir Next LT Pro"/>
              </w:rPr>
            </w:pPr>
            <w:r>
              <w:rPr>
                <w:rFonts w:eastAsia="Avenir Next LT Pro" w:cs="Avenir Next LT Pro"/>
              </w:rPr>
              <w:t>TA4 academic wet-lab; TA1 contributor; Phase I equipment</w:t>
            </w:r>
          </w:p>
        </w:tc>
        <w:tc>
          <w:tcPr>
            <w:tcBorders>
              <w:top w:val="single" w:sz="4" w:space="0" w:color="auto"/>
              <w:left w:val="single" w:sz="4" w:space="0" w:color="auto"/>
              <w:bottom w:val="single" w:sz="4" w:space="0" w:color="auto"/>
              <w:right w:val="single" w:sz="4" w:space="0" w:color="auto"/>
            </w:tcBorders>
            <w:tcMar>
              <w:left w:w="105" w:type="dxa"/>
              <w:right w:w="105" w:type="dxa"/>
            </w:tcMar>
          </w:tcPr>
          <w:p>
            <w:pPr>
              <w:spacing w:line="276" w:lineRule="auto"/>
              <w:rPr>
                <w:rFonts w:eastAsia="Avenir Next LT Pro" w:cs="Avenir Next LT Pro"/>
              </w:rPr>
            </w:pPr>
            <w:r>
              <w:rPr>
                <w:rFonts w:eastAsia="Avenir Next LT Pro" w:cs="Avenir Next LT Pro"/>
              </w:rPr>
              <w:t>$6.0M</w:t>
            </w:r>
          </w:p>
        </w:tc>
        <w:tc>
          <w:tcPr>
            <w:tcBorders>
              <w:top w:val="single" w:sz="4" w:space="0" w:color="auto"/>
              <w:left w:val="single" w:sz="4" w:space="0" w:color="auto"/>
              <w:bottom w:val="single" w:sz="4" w:space="0" w:color="auto"/>
              <w:right w:val="single" w:sz="4" w:space="0" w:color="auto"/>
            </w:tcBorders>
            <w:tcMar>
              <w:left w:w="105" w:type="dxa"/>
              <w:right w:w="105" w:type="dxa"/>
            </w:tcMar>
          </w:tcPr>
          <w:p>
            <w:pPr>
              <w:spacing w:line="276" w:lineRule="auto"/>
              <w:rPr>
                <w:rFonts w:eastAsia="Avenir Next LT Pro" w:cs="Avenir Next LT Pro"/>
              </w:rPr>
            </w:pPr>
            <w:r>
              <w:rPr>
                <w:rFonts w:eastAsia="Avenir Next LT Pro" w:cs="Avenir Next LT Pro"/>
              </w:rPr>
              <w:t>$2.0M</w:t>
            </w:r>
          </w:p>
        </w:tc>
        <w:tc>
          <w:tcPr>
            <w:tcBorders>
              <w:top w:val="single" w:sz="4" w:space="0" w:color="auto"/>
              <w:left w:val="single" w:sz="4" w:space="0" w:color="auto"/>
              <w:bottom w:val="single" w:sz="4" w:space="0" w:color="auto"/>
              <w:right w:val="single" w:sz="4" w:space="0" w:color="auto"/>
            </w:tcBorders>
            <w:tcMar>
              <w:left w:w="105" w:type="dxa"/>
              <w:right w:w="105" w:type="dxa"/>
            </w:tcMar>
          </w:tcPr>
          <w:p>
            <w:pPr>
              <w:spacing w:line="276" w:lineRule="auto"/>
              <w:rPr>
                <w:rFonts w:eastAsia="Avenir Next LT Pro" w:cs="Avenir Next LT Pro"/>
              </w:rPr>
            </w:pPr>
            <w:r>
              <w:rPr>
                <w:rFonts w:eastAsia="Avenir Next LT Pro" w:cs="Avenir Next LT Pro"/>
              </w:rPr>
              <w:t>$1.7M / $2.3M</w:t>
            </w:r>
          </w:p>
        </w:tc>
      </w:tr>
      <w:tr>
        <w:tc>
          <w:tcPr>
            <w:tcBorders>
              <w:top w:val="single" w:sz="4" w:space="0" w:color="auto"/>
              <w:left w:val="single" w:sz="4" w:space="0" w:color="auto"/>
              <w:bottom w:val="single" w:sz="4" w:space="0" w:color="auto"/>
              <w:right w:val="single" w:sz="4" w:space="0" w:color="auto"/>
            </w:tcBorders>
            <w:tcMar>
              <w:left w:w="105" w:type="dxa"/>
              <w:right w:w="105" w:type="dxa"/>
            </w:tcMar>
          </w:tcPr>
          <w:p>
            <w:pPr>
              <w:spacing w:line="276" w:lineRule="auto"/>
              <w:rPr>
                <w:rFonts w:eastAsia="Avenir Next LT Pro" w:cs="Avenir Next LT Pro"/>
              </w:rPr>
            </w:pPr>
            <w:r>
              <w:rPr>
                <w:rFonts w:eastAsia="Avenir Next LT Pro" w:cs="Avenir Next LT Pro"/>
              </w:rPr>
              <w:t>Cytognosis (sub)</w:t>
            </w:r>
          </w:p>
        </w:tc>
        <w:tc>
          <w:tcPr>
            <w:tcBorders>
              <w:top w:val="single" w:sz="4" w:space="0" w:color="auto"/>
              <w:left w:val="single" w:sz="4" w:space="0" w:color="auto"/>
              <w:bottom w:val="single" w:sz="4" w:space="0" w:color="auto"/>
              <w:right w:val="single" w:sz="4" w:space="0" w:color="auto"/>
            </w:tcBorders>
            <w:tcMar>
              <w:left w:w="105" w:type="dxa"/>
              <w:right w:w="105" w:type="dxa"/>
            </w:tcMar>
          </w:tcPr>
          <w:p>
            <w:pPr>
              <w:spacing w:line="276" w:lineRule="auto"/>
              <w:rPr>
                <w:rFonts w:eastAsia="Avenir Next LT Pro" w:cs="Avenir Next LT Pro"/>
              </w:rPr>
            </w:pPr>
            <w:r>
              <w:rPr>
                <w:rFonts w:eastAsia="Avenir Next LT Pro" w:cs="Avenir Next LT Pro"/>
              </w:rPr>
              <w:t>TA1 disease-model lead; TA2 co-lead; semantic foundation co-lead</w:t>
            </w:r>
          </w:p>
        </w:tc>
        <w:tc>
          <w:tcPr>
            <w:tcBorders>
              <w:top w:val="single" w:sz="4" w:space="0" w:color="auto"/>
              <w:left w:val="single" w:sz="4" w:space="0" w:color="auto"/>
              <w:bottom w:val="single" w:sz="4" w:space="0" w:color="auto"/>
              <w:right w:val="single" w:sz="4" w:space="0" w:color="auto"/>
            </w:tcBorders>
            <w:tcMar>
              <w:left w:w="105" w:type="dxa"/>
              <w:right w:w="105" w:type="dxa"/>
            </w:tcMar>
          </w:tcPr>
          <w:p>
            <w:pPr>
              <w:spacing w:line="276" w:lineRule="auto"/>
              <w:rPr>
                <w:rFonts w:eastAsia="Avenir Next LT Pro" w:cs="Avenir Next LT Pro"/>
              </w:rPr>
            </w:pPr>
            <w:r>
              <w:rPr>
                <w:rFonts w:eastAsia="Avenir Next LT Pro" w:cs="Avenir Next LT Pro"/>
              </w:rPr>
              <w:t>$9.5M</w:t>
            </w:r>
          </w:p>
        </w:tc>
        <w:tc>
          <w:tcPr>
            <w:tcBorders>
              <w:top w:val="single" w:sz="4" w:space="0" w:color="auto"/>
              <w:left w:val="single" w:sz="4" w:space="0" w:color="auto"/>
              <w:bottom w:val="single" w:sz="4" w:space="0" w:color="auto"/>
              <w:right w:val="single" w:sz="4" w:space="0" w:color="auto"/>
            </w:tcBorders>
            <w:tcMar>
              <w:left w:w="105" w:type="dxa"/>
              <w:right w:w="105" w:type="dxa"/>
            </w:tcMar>
          </w:tcPr>
          <w:p>
            <w:pPr>
              <w:spacing w:line="276" w:lineRule="auto"/>
              <w:rPr>
                <w:rFonts w:eastAsia="Avenir Next LT Pro" w:cs="Avenir Next LT Pro"/>
              </w:rPr>
            </w:pPr>
            <w:r>
              <w:rPr>
                <w:rFonts w:eastAsia="Avenir Next LT Pro" w:cs="Avenir Next LT Pro"/>
              </w:rPr>
              <w:t>$2.4M</w:t>
            </w:r>
          </w:p>
        </w:tc>
        <w:tc>
          <w:tcPr>
            <w:tcBorders>
              <w:top w:val="single" w:sz="4" w:space="0" w:color="auto"/>
              <w:left w:val="single" w:sz="4" w:space="0" w:color="auto"/>
              <w:bottom w:val="single" w:sz="4" w:space="0" w:color="auto"/>
              <w:right w:val="single" w:sz="4" w:space="0" w:color="auto"/>
            </w:tcBorders>
            <w:tcMar>
              <w:left w:w="105" w:type="dxa"/>
              <w:right w:w="105" w:type="dxa"/>
            </w:tcMar>
          </w:tcPr>
          <w:p>
            <w:pPr>
              <w:spacing w:line="276" w:lineRule="auto"/>
              <w:rPr>
                <w:rFonts w:eastAsia="Avenir Next LT Pro" w:cs="Avenir Next LT Pro"/>
              </w:rPr>
            </w:pPr>
            <w:r>
              <w:rPr>
                <w:rFonts w:eastAsia="Avenir Next LT Pro" w:cs="Avenir Next LT Pro"/>
              </w:rPr>
              <w:t>$2.9M / $4.2M</w:t>
            </w:r>
          </w:p>
        </w:tc>
      </w:tr>
      <w:tr>
        <w:tc>
          <w:tcPr>
            <w:tcBorders>
              <w:top w:val="single" w:sz="4" w:space="0" w:color="auto"/>
              <w:left w:val="single" w:sz="4" w:space="0" w:color="auto"/>
              <w:bottom w:val="single" w:sz="4" w:space="0" w:color="auto"/>
              <w:right w:val="single" w:sz="4" w:space="0" w:color="auto"/>
            </w:tcBorders>
            <w:tcMar>
              <w:left w:w="105" w:type="dxa"/>
              <w:right w:w="105" w:type="dxa"/>
            </w:tcMar>
          </w:tcPr>
          <w:p>
            <w:pPr>
              <w:spacing w:line="276" w:lineRule="auto"/>
              <w:rPr>
                <w:rFonts w:eastAsia="Avenir Next LT Pro" w:cs="Avenir Next LT Pro"/>
              </w:rPr>
            </w:pPr>
            <w:r>
              <w:rPr>
                <w:rFonts w:eastAsia="Avenir Next LT Pro" w:cs="Avenir Next LT Pro"/>
              </w:rPr>
              <w:t>SIFT (sub)</w:t>
            </w:r>
          </w:p>
        </w:tc>
        <w:tc>
          <w:tcPr>
            <w:tcBorders>
              <w:top w:val="single" w:sz="4" w:space="0" w:color="auto"/>
              <w:left w:val="single" w:sz="4" w:space="0" w:color="auto"/>
              <w:bottom w:val="single" w:sz="4" w:space="0" w:color="auto"/>
              <w:right w:val="single" w:sz="4" w:space="0" w:color="auto"/>
            </w:tcBorders>
            <w:tcMar>
              <w:left w:w="105" w:type="dxa"/>
              <w:right w:w="105" w:type="dxa"/>
            </w:tcMar>
          </w:tcPr>
          <w:p>
            <w:pPr>
              <w:spacing w:line="276" w:lineRule="auto"/>
              <w:rPr>
                <w:rFonts w:eastAsia="Avenir Next LT Pro" w:cs="Avenir Next LT Pro"/>
              </w:rPr>
            </w:pPr>
            <w:r>
              <w:rPr>
                <w:rFonts w:eastAsia="Avenir Next LT Pro" w:cs="Avenir Next LT Pro"/>
              </w:rPr>
              <w:t>TA2-TA3 interoperable protocols; VOI layer</w:t>
            </w:r>
          </w:p>
        </w:tc>
        <w:tc>
          <w:tcPr>
            <w:tcBorders>
              <w:top w:val="single" w:sz="4" w:space="0" w:color="auto"/>
              <w:left w:val="single" w:sz="4" w:space="0" w:color="auto"/>
              <w:bottom w:val="single" w:sz="4" w:space="0" w:color="auto"/>
              <w:right w:val="single" w:sz="4" w:space="0" w:color="auto"/>
            </w:tcBorders>
            <w:tcMar>
              <w:left w:w="105" w:type="dxa"/>
              <w:right w:w="105" w:type="dxa"/>
            </w:tcMar>
          </w:tcPr>
          <w:p>
            <w:pPr>
              <w:spacing w:line="276" w:lineRule="auto"/>
              <w:rPr>
                <w:rFonts w:eastAsia="Avenir Next LT Pro" w:cs="Avenir Next LT Pro"/>
              </w:rPr>
            </w:pPr>
            <w:r>
              <w:rPr>
                <w:rFonts w:eastAsia="Avenir Next LT Pro" w:cs="Avenir Next LT Pro"/>
              </w:rPr>
              <w:t>$7.0M</w:t>
            </w:r>
          </w:p>
        </w:tc>
        <w:tc>
          <w:tcPr>
            <w:tcBorders>
              <w:top w:val="single" w:sz="4" w:space="0" w:color="auto"/>
              <w:left w:val="single" w:sz="4" w:space="0" w:color="auto"/>
              <w:bottom w:val="single" w:sz="4" w:space="0" w:color="auto"/>
              <w:right w:val="single" w:sz="4" w:space="0" w:color="auto"/>
            </w:tcBorders>
            <w:tcMar>
              <w:left w:w="105" w:type="dxa"/>
              <w:right w:w="105" w:type="dxa"/>
            </w:tcMar>
          </w:tcPr>
          <w:p>
            <w:pPr>
              <w:spacing w:line="276" w:lineRule="auto"/>
              <w:rPr>
                <w:rFonts w:eastAsia="Avenir Next LT Pro" w:cs="Avenir Next LT Pro"/>
              </w:rPr>
            </w:pPr>
            <w:r>
              <w:rPr>
                <w:rFonts w:eastAsia="Avenir Next LT Pro" w:cs="Avenir Next LT Pro"/>
              </w:rPr>
              <w:t>$2.0M</w:t>
            </w:r>
          </w:p>
        </w:tc>
        <w:tc>
          <w:tcPr>
            <w:tcBorders>
              <w:top w:val="single" w:sz="4" w:space="0" w:color="auto"/>
              <w:left w:val="single" w:sz="4" w:space="0" w:color="auto"/>
              <w:bottom w:val="single" w:sz="4" w:space="0" w:color="auto"/>
              <w:right w:val="single" w:sz="4" w:space="0" w:color="auto"/>
            </w:tcBorders>
            <w:tcMar>
              <w:left w:w="105" w:type="dxa"/>
              <w:right w:w="105" w:type="dxa"/>
            </w:tcMar>
          </w:tcPr>
          <w:p>
            <w:pPr>
              <w:spacing w:line="276" w:lineRule="auto"/>
              <w:rPr>
                <w:rFonts w:eastAsia="Avenir Next LT Pro" w:cs="Avenir Next LT Pro"/>
              </w:rPr>
            </w:pPr>
            <w:r>
              <w:rPr>
                <w:rFonts w:eastAsia="Avenir Next LT Pro" w:cs="Avenir Next LT Pro"/>
              </w:rPr>
              <w:t>$2.2M / $2.8M</w:t>
            </w:r>
          </w:p>
        </w:tc>
      </w:tr>
      <w:tr>
        <w:tc>
          <w:tcPr>
            <w:tcBorders>
              <w:top w:val="single" w:sz="4" w:space="0" w:color="auto"/>
              <w:left w:val="single" w:sz="4" w:space="0" w:color="auto"/>
              <w:bottom w:val="single" w:sz="4" w:space="0" w:color="auto"/>
              <w:right w:val="single" w:sz="4" w:space="0" w:color="auto"/>
            </w:tcBorders>
            <w:tcMar>
              <w:left w:w="105" w:type="dxa"/>
              <w:right w:w="105" w:type="dxa"/>
            </w:tcMar>
          </w:tcPr>
          <w:p>
            <w:pPr>
              <w:spacing w:line="276" w:lineRule="auto"/>
              <w:rPr>
                <w:rFonts w:eastAsia="Avenir Next LT Pro" w:cs="Avenir Next LT Pro"/>
              </w:rPr>
            </w:pPr>
            <w:r>
              <w:rPr>
                <w:rFonts w:eastAsia="Avenir Next LT Pro" w:cs="Avenir Next LT Pro"/>
              </w:rPr>
              <w:t>Cellanome (sub)</w:t>
            </w:r>
          </w:p>
        </w:tc>
        <w:tc>
          <w:tcPr>
            <w:tcBorders>
              <w:top w:val="single" w:sz="4" w:space="0" w:color="auto"/>
              <w:left w:val="single" w:sz="4" w:space="0" w:color="auto"/>
              <w:bottom w:val="single" w:sz="4" w:space="0" w:color="auto"/>
              <w:right w:val="single" w:sz="4" w:space="0" w:color="auto"/>
            </w:tcBorders>
            <w:tcMar>
              <w:left w:w="105" w:type="dxa"/>
              <w:right w:w="105" w:type="dxa"/>
            </w:tcMar>
          </w:tcPr>
          <w:p>
            <w:pPr>
              <w:spacing w:line="276" w:lineRule="auto"/>
              <w:rPr>
                <w:rFonts w:eastAsia="Avenir Next LT Pro" w:cs="Avenir Next LT Pro"/>
              </w:rPr>
            </w:pPr>
            <w:r>
              <w:rPr>
                <w:rFonts w:eastAsia="Avenir Next LT Pro" w:cs="Avenir Next LT Pro"/>
              </w:rPr>
              <w:t>TA4 industry execution arm: live-cell imaging, same-cell scRNA-seq, Perturb-seq (R3200)</w:t>
            </w:r>
          </w:p>
        </w:tc>
        <w:tc>
          <w:tcPr>
            <w:tcBorders>
              <w:top w:val="single" w:sz="4" w:space="0" w:color="auto"/>
              <w:left w:val="single" w:sz="4" w:space="0" w:color="auto"/>
              <w:bottom w:val="single" w:sz="4" w:space="0" w:color="auto"/>
              <w:right w:val="single" w:sz="4" w:space="0" w:color="auto"/>
            </w:tcBorders>
            <w:tcMar>
              <w:left w:w="105" w:type="dxa"/>
              <w:right w:w="105" w:type="dxa"/>
            </w:tcMar>
          </w:tcPr>
          <w:p>
            <w:pPr>
              <w:spacing w:line="276" w:lineRule="auto"/>
              <w:rPr>
                <w:rFonts w:eastAsia="Avenir Next LT Pro" w:cs="Avenir Next LT Pro"/>
              </w:rPr>
            </w:pPr>
            <w:r>
              <w:rPr>
                <w:rFonts w:eastAsia="Avenir Next LT Pro" w:cs="Avenir Next LT Pro"/>
              </w:rPr>
              <w:t>$6.0M</w:t>
            </w:r>
          </w:p>
        </w:tc>
        <w:tc>
          <w:tcPr>
            <w:tcBorders>
              <w:top w:val="single" w:sz="4" w:space="0" w:color="auto"/>
              <w:left w:val="single" w:sz="4" w:space="0" w:color="auto"/>
              <w:bottom w:val="single" w:sz="4" w:space="0" w:color="auto"/>
              <w:right w:val="single" w:sz="4" w:space="0" w:color="auto"/>
            </w:tcBorders>
            <w:tcMar>
              <w:left w:w="105" w:type="dxa"/>
              <w:right w:w="105" w:type="dxa"/>
            </w:tcMar>
          </w:tcPr>
          <w:p>
            <w:pPr>
              <w:spacing w:line="276" w:lineRule="auto"/>
              <w:rPr>
                <w:rFonts w:eastAsia="Avenir Next LT Pro" w:cs="Avenir Next LT Pro"/>
              </w:rPr>
            </w:pPr>
            <w:r>
              <w:rPr>
                <w:rFonts w:eastAsia="Avenir Next LT Pro" w:cs="Avenir Next LT Pro"/>
              </w:rPr>
              <w:t>$1.4M</w:t>
            </w:r>
          </w:p>
        </w:tc>
        <w:tc>
          <w:tcPr>
            <w:tcBorders>
              <w:top w:val="single" w:sz="4" w:space="0" w:color="auto"/>
              <w:left w:val="single" w:sz="4" w:space="0" w:color="auto"/>
              <w:bottom w:val="single" w:sz="4" w:space="0" w:color="auto"/>
              <w:right w:val="single" w:sz="4" w:space="0" w:color="auto"/>
            </w:tcBorders>
            <w:tcMar>
              <w:left w:w="105" w:type="dxa"/>
              <w:right w:w="105" w:type="dxa"/>
            </w:tcMar>
          </w:tcPr>
          <w:p>
            <w:pPr>
              <w:spacing w:line="276" w:lineRule="auto"/>
              <w:rPr>
                <w:rFonts w:eastAsia="Avenir Next LT Pro" w:cs="Avenir Next LT Pro"/>
              </w:rPr>
            </w:pPr>
            <w:r>
              <w:rPr>
                <w:rFonts w:eastAsia="Avenir Next LT Pro" w:cs="Avenir Next LT Pro"/>
              </w:rPr>
              <w:t>$1.8M / $2.8M</w:t>
            </w:r>
          </w:p>
        </w:tc>
      </w:tr>
      <w:tr>
        <w:tc>
          <w:tcPr>
            <w:tcBorders>
              <w:top w:val="single" w:sz="4" w:space="0" w:color="auto"/>
              <w:left w:val="single" w:sz="4" w:space="0" w:color="auto"/>
              <w:bottom w:val="single" w:sz="4" w:space="0" w:color="auto"/>
              <w:right w:val="single" w:sz="4" w:space="0" w:color="auto"/>
            </w:tcBorders>
            <w:tcMar>
              <w:left w:w="105" w:type="dxa"/>
              <w:right w:w="105" w:type="dxa"/>
            </w:tcMar>
          </w:tcPr>
          <w:p>
            <w:pPr>
              <w:spacing w:line="276" w:lineRule="auto"/>
              <w:rPr>
                <w:rFonts w:eastAsia="Avenir Next LT Pro" w:cs="Avenir Next LT Pro"/>
              </w:rPr>
            </w:pPr>
            <w:r>
              <w:rPr>
                <w:rFonts w:eastAsia="Avenir Next LT Pro" w:cs="Avenir Next LT Pro"/>
              </w:rPr>
              <w:t>Shared program compute</w:t>
            </w:r>
          </w:p>
        </w:tc>
        <w:tc>
          <w:tcPr>
            <w:tcBorders>
              <w:top w:val="single" w:sz="4" w:space="0" w:color="auto"/>
              <w:left w:val="single" w:sz="4" w:space="0" w:color="auto"/>
              <w:bottom w:val="single" w:sz="4" w:space="0" w:color="auto"/>
              <w:right w:val="single" w:sz="4" w:space="0" w:color="auto"/>
            </w:tcBorders>
            <w:tcMar>
              <w:left w:w="105" w:type="dxa"/>
              <w:right w:w="105" w:type="dxa"/>
            </w:tcMar>
          </w:tcPr>
          <w:p>
            <w:pPr>
              <w:spacing w:line="276" w:lineRule="auto"/>
              <w:rPr>
                <w:rFonts w:eastAsia="Avenir Next LT Pro" w:cs="Avenir Next LT Pro"/>
              </w:rPr>
            </w:pPr>
            <w:r>
              <w:rPr>
                <w:rFonts w:eastAsia="Avenir Next LT Pro" w:cs="Avenir Next LT Pro"/>
              </w:rPr>
              <w:t>GPU and cloud for model training and engine inference</w:t>
            </w:r>
          </w:p>
        </w:tc>
        <w:tc>
          <w:tcPr>
            <w:tcBorders>
              <w:top w:val="single" w:sz="4" w:space="0" w:color="auto"/>
              <w:left w:val="single" w:sz="4" w:space="0" w:color="auto"/>
              <w:bottom w:val="single" w:sz="4" w:space="0" w:color="auto"/>
              <w:right w:val="single" w:sz="4" w:space="0" w:color="auto"/>
            </w:tcBorders>
            <w:tcMar>
              <w:left w:w="105" w:type="dxa"/>
              <w:right w:w="105" w:type="dxa"/>
            </w:tcMar>
          </w:tcPr>
          <w:p>
            <w:pPr>
              <w:spacing w:line="276" w:lineRule="auto"/>
              <w:rPr>
                <w:rFonts w:eastAsia="Avenir Next LT Pro" w:cs="Avenir Next LT Pro"/>
              </w:rPr>
            </w:pPr>
            <w:r>
              <w:rPr>
                <w:rFonts w:eastAsia="Avenir Next LT Pro" w:cs="Avenir Next LT Pro"/>
              </w:rPr>
              <w:t>$2.5M</w:t>
            </w:r>
          </w:p>
        </w:tc>
        <w:tc>
          <w:tcPr>
            <w:tcBorders>
              <w:top w:val="single" w:sz="4" w:space="0" w:color="auto"/>
              <w:left w:val="single" w:sz="4" w:space="0" w:color="auto"/>
              <w:bottom w:val="single" w:sz="4" w:space="0" w:color="auto"/>
              <w:right w:val="single" w:sz="4" w:space="0" w:color="auto"/>
            </w:tcBorders>
            <w:tcMar>
              <w:left w:w="105" w:type="dxa"/>
              <w:right w:w="105" w:type="dxa"/>
            </w:tcMar>
          </w:tcPr>
          <w:p>
            <w:pPr>
              <w:spacing w:line="276" w:lineRule="auto"/>
              <w:rPr>
                <w:rFonts w:eastAsia="Avenir Next LT Pro" w:cs="Avenir Next LT Pro"/>
              </w:rPr>
            </w:pPr>
            <w:r>
              <w:rPr>
                <w:rFonts w:eastAsia="Avenir Next LT Pro" w:cs="Avenir Next LT Pro"/>
              </w:rPr>
              <w:t>$0.6M</w:t>
            </w:r>
          </w:p>
        </w:tc>
        <w:tc>
          <w:tcPr>
            <w:tcBorders>
              <w:top w:val="single" w:sz="4" w:space="0" w:color="auto"/>
              <w:left w:val="single" w:sz="4" w:space="0" w:color="auto"/>
              <w:bottom w:val="single" w:sz="4" w:space="0" w:color="auto"/>
              <w:right w:val="single" w:sz="4" w:space="0" w:color="auto"/>
            </w:tcBorders>
            <w:tcMar>
              <w:left w:w="105" w:type="dxa"/>
              <w:right w:w="105" w:type="dxa"/>
            </w:tcMar>
          </w:tcPr>
          <w:p>
            <w:pPr>
              <w:spacing w:line="276" w:lineRule="auto"/>
              <w:rPr>
                <w:rFonts w:eastAsia="Avenir Next LT Pro" w:cs="Avenir Next LT Pro"/>
              </w:rPr>
            </w:pPr>
            <w:r>
              <w:rPr>
                <w:rFonts w:eastAsia="Avenir Next LT Pro" w:cs="Avenir Next LT Pro"/>
              </w:rPr>
              <w:t>$0.8M / $1.1M</w:t>
            </w:r>
          </w:p>
        </w:tc>
      </w:tr>
      <w:tr>
        <w:tc>
          <w:tcPr>
            <w:tcBorders>
              <w:top w:val="single" w:sz="4" w:space="0" w:color="auto"/>
              <w:left w:val="single" w:sz="4" w:space="0" w:color="auto"/>
              <w:bottom w:val="single" w:sz="4" w:space="0" w:color="auto"/>
              <w:right w:val="single" w:sz="4" w:space="0" w:color="auto"/>
            </w:tcBorders>
            <w:tcMar>
              <w:left w:w="105" w:type="dxa"/>
              <w:right w:w="105" w:type="dxa"/>
            </w:tcMar>
          </w:tcPr>
          <w:p>
            <w:pPr>
              <w:spacing w:line="276" w:lineRule="auto"/>
              <w:rPr>
                <w:rFonts w:eastAsia="Avenir Next LT Pro" w:cs="Avenir Next LT Pro"/>
              </w:rPr>
            </w:pPr>
            <w:r>
              <w:rPr>
                <w:rFonts w:eastAsia="Avenir Next LT Pro" w:cs="Avenir Next LT Pro"/>
              </w:rPr>
              <w:t>TA4 sequencing (service/CRO)</w:t>
            </w:r>
          </w:p>
        </w:tc>
        <w:tc>
          <w:tcPr>
            <w:tcBorders>
              <w:top w:val="single" w:sz="4" w:space="0" w:color="auto"/>
              <w:left w:val="single" w:sz="4" w:space="0" w:color="auto"/>
              <w:bottom w:val="single" w:sz="4" w:space="0" w:color="auto"/>
              <w:right w:val="single" w:sz="4" w:space="0" w:color="auto"/>
            </w:tcBorders>
            <w:tcMar>
              <w:left w:w="105" w:type="dxa"/>
              <w:right w:w="105" w:type="dxa"/>
            </w:tcMar>
          </w:tcPr>
          <w:p>
            <w:pPr>
              <w:spacing w:line="276" w:lineRule="auto"/>
              <w:rPr>
                <w:rFonts w:eastAsia="Avenir Next LT Pro" w:cs="Avenir Next LT Pro"/>
              </w:rPr>
            </w:pPr>
            <w:r>
              <w:rPr>
                <w:rFonts w:eastAsia="Avenir Next LT Pro" w:cs="Avenir Next LT Pro"/>
              </w:rPr>
              <w:t>scRNA-seq and Perturb-seq sequencing</w:t>
            </w:r>
          </w:p>
        </w:tc>
        <w:tc>
          <w:tcPr>
            <w:tcBorders>
              <w:top w:val="single" w:sz="4" w:space="0" w:color="auto"/>
              <w:left w:val="single" w:sz="4" w:space="0" w:color="auto"/>
              <w:bottom w:val="single" w:sz="4" w:space="0" w:color="auto"/>
              <w:right w:val="single" w:sz="4" w:space="0" w:color="auto"/>
            </w:tcBorders>
            <w:tcMar>
              <w:left w:w="105" w:type="dxa"/>
              <w:right w:w="105" w:type="dxa"/>
            </w:tcMar>
          </w:tcPr>
          <w:p>
            <w:pPr>
              <w:spacing w:line="276" w:lineRule="auto"/>
              <w:rPr>
                <w:rFonts w:eastAsia="Avenir Next LT Pro" w:cs="Avenir Next LT Pro"/>
              </w:rPr>
            </w:pPr>
            <w:r>
              <w:rPr>
                <w:rFonts w:eastAsia="Avenir Next LT Pro" w:cs="Avenir Next LT Pro"/>
              </w:rPr>
              <w:t>$2.0M</w:t>
            </w:r>
          </w:p>
        </w:tc>
        <w:tc>
          <w:tcPr>
            <w:tcBorders>
              <w:top w:val="single" w:sz="4" w:space="0" w:color="auto"/>
              <w:left w:val="single" w:sz="4" w:space="0" w:color="auto"/>
              <w:bottom w:val="single" w:sz="4" w:space="0" w:color="auto"/>
              <w:right w:val="single" w:sz="4" w:space="0" w:color="auto"/>
            </w:tcBorders>
            <w:tcMar>
              <w:left w:w="105" w:type="dxa"/>
              <w:right w:w="105" w:type="dxa"/>
            </w:tcMar>
          </w:tcPr>
          <w:p>
            <w:pPr>
              <w:spacing w:line="276" w:lineRule="auto"/>
              <w:rPr>
                <w:rFonts w:eastAsia="Avenir Next LT Pro" w:cs="Avenir Next LT Pro"/>
              </w:rPr>
            </w:pPr>
            <w:r>
              <w:rPr>
                <w:rFonts w:eastAsia="Avenir Next LT Pro" w:cs="Avenir Next LT Pro"/>
              </w:rPr>
              <w:t>$0.4M</w:t>
            </w:r>
          </w:p>
        </w:tc>
        <w:tc>
          <w:tcPr>
            <w:tcBorders>
              <w:top w:val="single" w:sz="4" w:space="0" w:color="auto"/>
              <w:left w:val="single" w:sz="4" w:space="0" w:color="auto"/>
              <w:bottom w:val="single" w:sz="4" w:space="0" w:color="auto"/>
              <w:right w:val="single" w:sz="4" w:space="0" w:color="auto"/>
            </w:tcBorders>
            <w:tcMar>
              <w:left w:w="105" w:type="dxa"/>
              <w:right w:w="105" w:type="dxa"/>
            </w:tcMar>
          </w:tcPr>
          <w:p>
            <w:pPr>
              <w:spacing w:line="276" w:lineRule="auto"/>
              <w:rPr>
                <w:rFonts w:eastAsia="Avenir Next LT Pro" w:cs="Avenir Next LT Pro"/>
              </w:rPr>
            </w:pPr>
            <w:r>
              <w:rPr>
                <w:rFonts w:eastAsia="Avenir Next LT Pro" w:cs="Avenir Next LT Pro"/>
              </w:rPr>
              <w:t>$0.6M / $1.0M</w:t>
            </w:r>
          </w:p>
        </w:tc>
      </w:tr>
      <w:tr>
        <w:tc>
          <w:tcPr>
            <w:tcBorders>
              <w:top w:val="single" w:sz="4" w:space="0" w:color="auto"/>
              <w:left w:val="single" w:sz="4" w:space="0" w:color="auto"/>
              <w:bottom w:val="single" w:sz="4" w:space="0" w:color="auto"/>
              <w:right w:val="single" w:sz="4" w:space="0" w:color="auto"/>
            </w:tcBorders>
            <w:tcMar>
              <w:left w:w="105" w:type="dxa"/>
              <w:right w:w="105" w:type="dxa"/>
            </w:tcMar>
          </w:tcPr>
          <w:p>
            <w:pPr>
              <w:spacing w:line="276" w:lineRule="auto"/>
              <w:rPr>
                <w:rFonts w:eastAsia="Avenir Next LT Pro" w:cs="Avenir Next LT Pro"/>
              </w:rPr>
            </w:pPr>
            <w:r>
              <w:rPr>
                <w:rFonts w:eastAsia="Avenir Next LT Pro" w:cs="Avenir Next LT Pro"/>
              </w:rPr>
              <w:t>McLean/HMS (sub)</w:t>
            </w:r>
          </w:p>
        </w:tc>
        <w:tc>
          <w:tcPr>
            <w:tcBorders>
              <w:top w:val="single" w:sz="4" w:space="0" w:color="auto"/>
              <w:left w:val="single" w:sz="4" w:space="0" w:color="auto"/>
              <w:bottom w:val="single" w:sz="4" w:space="0" w:color="auto"/>
              <w:right w:val="single" w:sz="4" w:space="0" w:color="auto"/>
            </w:tcBorders>
            <w:tcMar>
              <w:left w:w="105" w:type="dxa"/>
              <w:right w:w="105" w:type="dxa"/>
            </w:tcMar>
          </w:tcPr>
          <w:p>
            <w:pPr>
              <w:spacing w:line="276" w:lineRule="auto"/>
              <w:rPr>
                <w:rFonts w:eastAsia="Avenir Next LT Pro" w:cs="Avenir Next LT Pro"/>
              </w:rPr>
            </w:pPr>
            <w:r>
              <w:rPr>
                <w:rFonts w:eastAsia="Avenir Next LT Pro" w:cs="Avenir Next LT Pro"/>
              </w:rPr>
              <w:t>Clinical and cohort interpretation; data governance</w:t>
            </w:r>
          </w:p>
        </w:tc>
        <w:tc>
          <w:tcPr>
            <w:tcBorders>
              <w:top w:val="single" w:sz="4" w:space="0" w:color="auto"/>
              <w:left w:val="single" w:sz="4" w:space="0" w:color="auto"/>
              <w:bottom w:val="single" w:sz="4" w:space="0" w:color="auto"/>
              <w:right w:val="single" w:sz="4" w:space="0" w:color="auto"/>
            </w:tcBorders>
            <w:tcMar>
              <w:left w:w="105" w:type="dxa"/>
              <w:right w:w="105" w:type="dxa"/>
            </w:tcMar>
          </w:tcPr>
          <w:p>
            <w:pPr>
              <w:spacing w:line="276" w:lineRule="auto"/>
              <w:rPr>
                <w:rFonts w:eastAsia="Avenir Next LT Pro" w:cs="Avenir Next LT Pro"/>
              </w:rPr>
            </w:pPr>
            <w:r>
              <w:rPr>
                <w:rFonts w:eastAsia="Avenir Next LT Pro" w:cs="Avenir Next LT Pro"/>
              </w:rPr>
              <w:t>$0.7M</w:t>
            </w:r>
          </w:p>
        </w:tc>
        <w:tc>
          <w:tcPr>
            <w:tcBorders>
              <w:top w:val="single" w:sz="4" w:space="0" w:color="auto"/>
              <w:left w:val="single" w:sz="4" w:space="0" w:color="auto"/>
              <w:bottom w:val="single" w:sz="4" w:space="0" w:color="auto"/>
              <w:right w:val="single" w:sz="4" w:space="0" w:color="auto"/>
            </w:tcBorders>
            <w:tcMar>
              <w:left w:w="105" w:type="dxa"/>
              <w:right w:w="105" w:type="dxa"/>
            </w:tcMar>
          </w:tcPr>
          <w:p>
            <w:pPr>
              <w:spacing w:line="276" w:lineRule="auto"/>
              <w:rPr>
                <w:rFonts w:eastAsia="Avenir Next LT Pro" w:cs="Avenir Next LT Pro"/>
              </w:rPr>
            </w:pPr>
            <w:r>
              <w:rPr>
                <w:rFonts w:eastAsia="Avenir Next LT Pro" w:cs="Avenir Next LT Pro"/>
              </w:rPr>
              <w:t>$0.2M</w:t>
            </w:r>
          </w:p>
        </w:tc>
        <w:tc>
          <w:tcPr>
            <w:tcBorders>
              <w:top w:val="single" w:sz="4" w:space="0" w:color="auto"/>
              <w:left w:val="single" w:sz="4" w:space="0" w:color="auto"/>
              <w:bottom w:val="single" w:sz="4" w:space="0" w:color="auto"/>
              <w:right w:val="single" w:sz="4" w:space="0" w:color="auto"/>
            </w:tcBorders>
            <w:tcMar>
              <w:left w:w="105" w:type="dxa"/>
              <w:right w:w="105" w:type="dxa"/>
            </w:tcMar>
          </w:tcPr>
          <w:p>
            <w:pPr>
              <w:spacing w:line="276" w:lineRule="auto"/>
              <w:rPr>
                <w:rFonts w:eastAsia="Avenir Next LT Pro" w:cs="Avenir Next LT Pro"/>
              </w:rPr>
            </w:pPr>
            <w:r>
              <w:rPr>
                <w:rFonts w:eastAsia="Avenir Next LT Pro" w:cs="Avenir Next LT Pro"/>
              </w:rPr>
              <w:t>$0.2M / $0.3M</w:t>
            </w:r>
          </w:p>
        </w:tc>
      </w:tr>
      <w:tr>
        <w:tc>
          <w:tcPr>
            <w:tcBorders>
              <w:top w:val="single" w:sz="4" w:space="0" w:color="auto"/>
              <w:left w:val="single" w:sz="4" w:space="0" w:color="auto"/>
              <w:bottom w:val="single" w:sz="4" w:space="0" w:color="auto"/>
              <w:right w:val="single" w:sz="4" w:space="0" w:color="auto"/>
            </w:tcBorders>
            <w:tcMar>
              <w:left w:w="105" w:type="dxa"/>
              <w:right w:w="105" w:type="dxa"/>
            </w:tcMar>
          </w:tcPr>
          <w:p>
            <w:pPr>
              <w:spacing w:line="276" w:lineRule="auto"/>
              <w:rPr>
                <w:rFonts w:eastAsia="Avenir Next LT Pro" w:cs="Avenir Next LT Pro"/>
              </w:rPr>
            </w:pPr>
            <w:r>
              <w:rPr>
                <w:rFonts w:eastAsia="Avenir Next LT Pro" w:cs="Avenir Next LT Pro"/>
              </w:rPr>
              <w:t>Duane Valz, legal/IP</w:t>
            </w:r>
          </w:p>
        </w:tc>
        <w:tc>
          <w:tcPr>
            <w:tcBorders>
              <w:top w:val="single" w:sz="4" w:space="0" w:color="auto"/>
              <w:left w:val="single" w:sz="4" w:space="0" w:color="auto"/>
              <w:bottom w:val="single" w:sz="4" w:space="0" w:color="auto"/>
              <w:right w:val="single" w:sz="4" w:space="0" w:color="auto"/>
            </w:tcBorders>
            <w:tcMar>
              <w:left w:w="105" w:type="dxa"/>
              <w:right w:w="105" w:type="dxa"/>
            </w:tcMar>
          </w:tcPr>
          <w:p>
            <w:pPr>
              <w:spacing w:line="276" w:lineRule="auto"/>
              <w:rPr>
                <w:rFonts w:eastAsia="Avenir Next LT Pro" w:cs="Avenir Next LT Pro"/>
              </w:rPr>
            </w:pPr>
            <w:r>
              <w:rPr>
                <w:rFonts w:eastAsia="Avenir Next LT Pro" w:cs="Avenir Next LT Pro"/>
              </w:rPr>
              <w:t>OT agreement, IP and field-of-use strategy</w:t>
            </w:r>
          </w:p>
        </w:tc>
        <w:tc>
          <w:tcPr>
            <w:tcBorders>
              <w:top w:val="single" w:sz="4" w:space="0" w:color="auto"/>
              <w:left w:val="single" w:sz="4" w:space="0" w:color="auto"/>
              <w:bottom w:val="single" w:sz="4" w:space="0" w:color="auto"/>
              <w:right w:val="single" w:sz="4" w:space="0" w:color="auto"/>
            </w:tcBorders>
            <w:tcMar>
              <w:left w:w="105" w:type="dxa"/>
              <w:right w:w="105" w:type="dxa"/>
            </w:tcMar>
          </w:tcPr>
          <w:p>
            <w:pPr>
              <w:spacing w:line="276" w:lineRule="auto"/>
              <w:rPr>
                <w:rFonts w:eastAsia="Avenir Next LT Pro" w:cs="Avenir Next LT Pro"/>
              </w:rPr>
            </w:pPr>
            <w:r>
              <w:rPr>
                <w:rFonts w:eastAsia="Avenir Next LT Pro" w:cs="Avenir Next LT Pro"/>
              </w:rPr>
              <w:t>$0.2M</w:t>
            </w:r>
          </w:p>
        </w:tc>
        <w:tc>
          <w:tcPr>
            <w:tcBorders>
              <w:top w:val="single" w:sz="4" w:space="0" w:color="auto"/>
              <w:left w:val="single" w:sz="4" w:space="0" w:color="auto"/>
              <w:bottom w:val="single" w:sz="4" w:space="0" w:color="auto"/>
              <w:right w:val="single" w:sz="4" w:space="0" w:color="auto"/>
            </w:tcBorders>
            <w:tcMar>
              <w:left w:w="105" w:type="dxa"/>
              <w:right w:w="105" w:type="dxa"/>
            </w:tcMar>
          </w:tcPr>
          <w:p>
            <w:pPr>
              <w:spacing w:line="276" w:lineRule="auto"/>
              <w:rPr>
                <w:rFonts w:eastAsia="Avenir Next LT Pro" w:cs="Avenir Next LT Pro"/>
              </w:rPr>
            </w:pPr>
            <w:r>
              <w:rPr>
                <w:rFonts w:eastAsia="Avenir Next LT Pro" w:cs="Avenir Next LT Pro"/>
              </w:rPr>
              <w:t>$0.08M</w:t>
            </w:r>
          </w:p>
        </w:tc>
        <w:tc>
          <w:tcPr>
            <w:tcBorders>
              <w:top w:val="single" w:sz="4" w:space="0" w:color="auto"/>
              <w:left w:val="single" w:sz="4" w:space="0" w:color="auto"/>
              <w:bottom w:val="single" w:sz="4" w:space="0" w:color="auto"/>
              <w:right w:val="single" w:sz="4" w:space="0" w:color="auto"/>
            </w:tcBorders>
            <w:tcMar>
              <w:left w:w="105" w:type="dxa"/>
              <w:right w:w="105" w:type="dxa"/>
            </w:tcMar>
          </w:tcPr>
          <w:p>
            <w:pPr>
              <w:spacing w:line="276" w:lineRule="auto"/>
              <w:rPr>
                <w:rFonts w:eastAsia="Avenir Next LT Pro" w:cs="Avenir Next LT Pro"/>
              </w:rPr>
            </w:pPr>
            <w:r>
              <w:rPr>
                <w:rFonts w:eastAsia="Avenir Next LT Pro" w:cs="Avenir Next LT Pro"/>
              </w:rPr>
              <w:t>$0.06M / $0.06M</w:t>
            </w:r>
          </w:p>
        </w:tc>
      </w:tr>
      <w:tr>
        <w:tc>
          <w:tcPr>
            <w:tcBorders>
              <w:top w:val="single" w:sz="4" w:space="0" w:color="auto"/>
              <w:left w:val="single" w:sz="4" w:space="0" w:color="auto"/>
              <w:bottom w:val="single" w:sz="4" w:space="0" w:color="auto"/>
              <w:right w:val="single" w:sz="4" w:space="0" w:color="auto"/>
            </w:tcBorders>
            <w:tcMar>
              <w:left w:w="105" w:type="dxa"/>
              <w:right w:w="105" w:type="dxa"/>
            </w:tcMar>
          </w:tcPr>
          <w:p>
            <w:pPr>
              <w:spacing w:line="276" w:lineRule="auto"/>
              <w:rPr>
                <w:rFonts w:eastAsia="Avenir Next LT Pro" w:cs="Avenir Next LT Pro"/>
              </w:rPr>
            </w:pPr>
            <w:r>
              <w:rPr>
                <w:rFonts w:eastAsia="Avenir Next LT Pro" w:cs="Avenir Next LT Pro"/>
              </w:rPr>
              <w:t>Cross-team, integration, reserve</w:t>
            </w:r>
          </w:p>
        </w:tc>
        <w:tc>
          <w:tcPr>
            <w:tcBorders>
              <w:top w:val="single" w:sz="4" w:space="0" w:color="auto"/>
              <w:left w:val="single" w:sz="4" w:space="0" w:color="auto"/>
              <w:bottom w:val="single" w:sz="4" w:space="0" w:color="auto"/>
              <w:right w:val="single" w:sz="4" w:space="0" w:color="auto"/>
            </w:tcBorders>
            <w:tcMar>
              <w:left w:w="105" w:type="dxa"/>
              <w:right w:w="105" w:type="dxa"/>
            </w:tcMar>
          </w:tcPr>
          <w:p>
            <w:pPr>
              <w:spacing w:line="276" w:lineRule="auto"/>
              <w:rPr>
                <w:rFonts w:eastAsia="Avenir Next LT Pro" w:cs="Avenir Next LT Pro"/>
              </w:rPr>
            </w:pPr>
            <w:r>
              <w:rPr>
                <w:rFonts w:eastAsia="Avenir Next LT Pro" w:cs="Avenir Next LT Pro"/>
              </w:rPr>
              <w:t>DDD workshop, bake-offs, connect-a-thon, reserve</w:t>
            </w:r>
          </w:p>
        </w:tc>
        <w:tc>
          <w:tcPr>
            <w:tcBorders>
              <w:top w:val="single" w:sz="4" w:space="0" w:color="auto"/>
              <w:left w:val="single" w:sz="4" w:space="0" w:color="auto"/>
              <w:bottom w:val="single" w:sz="4" w:space="0" w:color="auto"/>
              <w:right w:val="single" w:sz="4" w:space="0" w:color="auto"/>
            </w:tcBorders>
            <w:tcMar>
              <w:left w:w="105" w:type="dxa"/>
              <w:right w:w="105" w:type="dxa"/>
            </w:tcMar>
          </w:tcPr>
          <w:p>
            <w:pPr>
              <w:spacing w:line="276" w:lineRule="auto"/>
              <w:rPr>
                <w:rFonts w:eastAsia="Avenir Next LT Pro" w:cs="Avenir Next LT Pro"/>
              </w:rPr>
            </w:pPr>
            <w:r>
              <w:rPr>
                <w:rFonts w:eastAsia="Avenir Next LT Pro" w:cs="Avenir Next LT Pro"/>
              </w:rPr>
              <w:t>$2.5M</w:t>
            </w:r>
          </w:p>
        </w:tc>
        <w:tc>
          <w:tcPr>
            <w:tcBorders>
              <w:top w:val="single" w:sz="4" w:space="0" w:color="auto"/>
              <w:left w:val="single" w:sz="4" w:space="0" w:color="auto"/>
              <w:bottom w:val="single" w:sz="4" w:space="0" w:color="auto"/>
              <w:right w:val="single" w:sz="4" w:space="0" w:color="auto"/>
            </w:tcBorders>
            <w:tcMar>
              <w:left w:w="105" w:type="dxa"/>
              <w:right w:w="105" w:type="dxa"/>
            </w:tcMar>
          </w:tcPr>
          <w:p>
            <w:pPr>
              <w:spacing w:line="276" w:lineRule="auto"/>
              <w:rPr>
                <w:rFonts w:eastAsia="Avenir Next LT Pro" w:cs="Avenir Next LT Pro"/>
              </w:rPr>
            </w:pPr>
            <w:r>
              <w:rPr>
                <w:rFonts w:eastAsia="Avenir Next LT Pro" w:cs="Avenir Next LT Pro"/>
              </w:rPr>
              <w:t>$0.6M</w:t>
            </w:r>
          </w:p>
        </w:tc>
        <w:tc>
          <w:tcPr>
            <w:tcBorders>
              <w:top w:val="single" w:sz="4" w:space="0" w:color="auto"/>
              <w:left w:val="single" w:sz="4" w:space="0" w:color="auto"/>
              <w:bottom w:val="single" w:sz="4" w:space="0" w:color="auto"/>
              <w:right w:val="single" w:sz="4" w:space="0" w:color="auto"/>
            </w:tcBorders>
            <w:tcMar>
              <w:left w:w="105" w:type="dxa"/>
              <w:right w:w="105" w:type="dxa"/>
            </w:tcMar>
          </w:tcPr>
          <w:p>
            <w:pPr>
              <w:spacing w:line="276" w:lineRule="auto"/>
              <w:rPr>
                <w:rFonts w:eastAsia="Avenir Next LT Pro" w:cs="Avenir Next LT Pro"/>
              </w:rPr>
            </w:pPr>
            <w:r>
              <w:rPr>
                <w:rFonts w:eastAsia="Avenir Next LT Pro" w:cs="Avenir Next LT Pro"/>
              </w:rPr>
              <w:t>$0.8M / $1.1M</w:t>
            </w:r>
          </w:p>
        </w:tc>
      </w:tr>
      <w:tr>
        <w:tc>
          <w:tcPr>
            <w:tcBorders>
              <w:top w:val="single" w:sz="4" w:space="0" w:color="auto"/>
              <w:left w:val="single" w:sz="4" w:space="0" w:color="auto"/>
              <w:bottom w:val="single" w:sz="4" w:space="0" w:color="auto"/>
              <w:right w:val="single" w:sz="4" w:space="0" w:color="auto"/>
            </w:tcBorders>
            <w:tcMar>
              <w:left w:w="105" w:type="dxa"/>
              <w:right w:w="105" w:type="dxa"/>
            </w:tcMar>
          </w:tcPr>
          <w:commentRangeStart w:id="3"/>
          <w:p>
            <w:pPr>
              <w:spacing w:line="276" w:lineRule="auto"/>
              <w:rPr>
                <w:rFonts w:eastAsia="Avenir Next LT Pro" w:cs="Avenir Next LT Pro"/>
              </w:rPr>
            </w:pPr>
            <w:r>
              <w:rPr>
                <w:rFonts w:eastAsia="Avenir Next LT Pro" w:cs="Avenir Next LT Pro"/>
              </w:rPr>
              <w:t>Total ARPA-H request</w:t>
            </w:r>
            <w:commentRangeEnd w:id="3"/>
            <w:r>
              <w:rPr>
                <w:rStyle w:val="CommentReference"/>
              </w:rPr>
              <w:commentReference w:id="3"/>
            </w:r>
          </w:p>
        </w:tc>
        <w:tc>
          <w:tcPr>
            <w:tcBorders>
              <w:top w:val="single" w:sz="4" w:space="0" w:color="auto"/>
              <w:left w:val="single" w:sz="4" w:space="0" w:color="auto"/>
              <w:bottom w:val="single" w:sz="4" w:space="0" w:color="auto"/>
              <w:right w:val="single" w:sz="4" w:space="0" w:color="auto"/>
            </w:tcBorders>
            <w:tcMar>
              <w:left w:w="105" w:type="dxa"/>
              <w:right w:w="105" w:type="dxa"/>
            </w:tcMar>
          </w:tcPr>
          <w:p>
            <w:pPr>
              <w:spacing w:line="276" w:lineRule="auto"/>
              <w:rPr>
                <w:rFonts w:eastAsia="Avenir Next LT Pro" w:cs="Avenir Next LT Pro"/>
              </w:rPr>
            </w:pPr>
            <w:r>
              <w:rPr>
                <w:rFonts w:eastAsia="Avenir Next LT Pro" w:cs="Avenir Next LT Pro"/>
              </w:rPr>
              <w:t/>
            </w:r>
          </w:p>
        </w:tc>
        <w:tc>
          <w:tcPr>
            <w:tcBorders>
              <w:top w:val="single" w:sz="4" w:space="0" w:color="auto"/>
              <w:left w:val="single" w:sz="4" w:space="0" w:color="auto"/>
              <w:bottom w:val="single" w:sz="4" w:space="0" w:color="auto"/>
              <w:right w:val="single" w:sz="4" w:space="0" w:color="auto"/>
            </w:tcBorders>
            <w:tcMar>
              <w:left w:w="105" w:type="dxa"/>
              <w:right w:w="105" w:type="dxa"/>
            </w:tcMar>
          </w:tcPr>
          <w:p>
            <w:pPr>
              <w:spacing w:line="276" w:lineRule="auto"/>
              <w:rPr>
                <w:rFonts w:eastAsia="Avenir Next LT Pro" w:cs="Avenir Next LT Pro"/>
              </w:rPr>
            </w:pPr>
            <w:r>
              <w:rPr>
                <w:rFonts w:eastAsia="Avenir Next LT Pro" w:cs="Avenir Next LT Pro"/>
              </w:rPr>
              <w:t>~$42.9M</w:t>
            </w:r>
          </w:p>
        </w:tc>
        <w:tc>
          <w:tcPr>
            <w:tcBorders>
              <w:top w:val="single" w:sz="4" w:space="0" w:color="auto"/>
              <w:left w:val="single" w:sz="4" w:space="0" w:color="auto"/>
              <w:bottom w:val="single" w:sz="4" w:space="0" w:color="auto"/>
              <w:right w:val="single" w:sz="4" w:space="0" w:color="auto"/>
            </w:tcBorders>
            <w:tcMar>
              <w:left w:w="105" w:type="dxa"/>
              <w:right w:w="105" w:type="dxa"/>
            </w:tcMar>
          </w:tcPr>
          <w:p>
            <w:pPr>
              <w:spacing w:line="276" w:lineRule="auto"/>
              <w:rPr>
                <w:rFonts w:eastAsia="Avenir Next LT Pro" w:cs="Avenir Next LT Pro"/>
              </w:rPr>
            </w:pPr>
            <w:r>
              <w:rPr>
                <w:rFonts w:eastAsia="Avenir Next LT Pro" w:cs="Avenir Next LT Pro"/>
              </w:rPr>
              <w:t>~$11.5M</w:t>
            </w:r>
          </w:p>
        </w:tc>
        <w:tc>
          <w:tcPr>
            <w:tcBorders>
              <w:top w:val="single" w:sz="4" w:space="0" w:color="auto"/>
              <w:left w:val="single" w:sz="4" w:space="0" w:color="auto"/>
              <w:bottom w:val="single" w:sz="4" w:space="0" w:color="auto"/>
              <w:right w:val="single" w:sz="4" w:space="0" w:color="auto"/>
            </w:tcBorders>
            <w:tcMar>
              <w:left w:w="105" w:type="dxa"/>
              <w:right w:w="105" w:type="dxa"/>
            </w:tcMar>
          </w:tcPr>
          <w:p>
            <w:pPr>
              <w:spacing w:line="276" w:lineRule="auto"/>
              <w:rPr>
                <w:rFonts w:eastAsia="Avenir Next LT Pro" w:cs="Avenir Next LT Pro"/>
              </w:rPr>
            </w:pPr>
            <w:r>
              <w:rPr>
                <w:rFonts w:eastAsia="Avenir Next LT Pro" w:cs="Avenir Next LT Pro"/>
              </w:rPr>
              <w:t>~$13.1M / ~$18.4M</w:t>
            </w:r>
          </w:p>
        </w:tc>
      </w:tr>
    </w:tbl>
    <w:p>
      <w:pPr>
        <w:spacing w:line="276" w:lineRule="auto"/>
        <w:rPr>
          <w:rFonts w:eastAsia="Avenir Next LT Pro" w:cs="Avenir Next LT Pro"/>
        </w:rPr>
      </w:pPr>
    </w:p>
    <w:p>
      <w:pPr>
        <w:spacing w:line="276" w:lineRule="auto"/>
        <w:jc w:val="both"/>
        <w:rPr>
          <w:rFonts w:eastAsia="Avenir Next LT Pro" w:cs="Avenir Next LT Pro"/>
        </w:rPr>
      </w:pPr>
      <w:r>
        <w:rPr>
          <w:rFonts w:eastAsia="Avenir Next LT Pro" w:cs="Avenir Next LT Pro"/>
        </w:rPr>
        <w:t>Salary rates. PI and senior personnel rates conform to NIH salary cap guidelines (~$228K annual equivalent FY2026). Cytognosis senior personnel rate is set at market median for computational biology at the Bay Area non-profit rate tier (BLS/OEWS locality index); rate pending comp finalization. Cross-org rate parity applied by experience level and locality.</w:t>
      </w:r>
    </w:p>
    <w:p>
      <w:pPr>
        <w:spacing w:line="276" w:lineRule="auto"/>
        <w:rPr>
          <w:rFonts w:eastAsia="Avenir Next LT Pro" w:cs="Avenir Next LT Pro"/>
        </w:rPr>
      </w:pPr>
    </w:p>
    <w:p>
      <w:pPr>
        <w:spacing w:line="276" w:lineRule="auto"/>
        <w:jc w:val="both"/>
        <w:rPr>
          <w:rFonts w:eastAsia="Avenir Next LT Pro" w:cs="Avenir Next LT Pro"/>
        </w:rPr>
      </w:pPr>
      <w:r>
        <w:rPr>
          <w:rFonts w:eastAsia="Avenir Next LT Pro" w:cs="Avenir Next LT Pro"/>
        </w:rPr>
        <w:t>Equipment and space. Major equipment items (iPSC culture stations, high-content imagers, GPU compute nodes) are itemized in Appendix C.4. Purdue wet-lab space and IPAI HPC cluster are performer in-kind; not charged to ARPA-H.</w:t>
      </w:r>
    </w:p>
    <w:p>
      <w:pPr>
        <w:spacing w:line="276" w:lineRule="auto"/>
        <w:rPr>
          <w:rFonts w:eastAsia="Avenir Next LT Pro" w:cs="Avenir Next LT Pro"/>
        </w:rPr>
      </w:pPr>
    </w:p>
    <w:p>
      <w:pPr>
        <w:spacing w:line="276" w:lineRule="auto"/>
        <w:jc w:val="both"/>
        <w:rPr>
          <w:rFonts w:eastAsia="Avenir Next LT Pro" w:cs="Avenir Next LT Pro"/>
        </w:rPr>
      </w:pPr>
      <w:r>
        <w:rPr>
          <w:rFonts w:eastAsia="Avenir Next LT Pro" w:cs="Avenir Next LT Pro"/>
        </w:rPr>
        <w:t>Taxpayer value. The open model, open protocol stack, and marketplace interfaces are delivered as public goods. The disease-mechanism knowledge generated by the closed loop directly informs drug target selection and de-risks clinical translation, with a documented 2-3x improvement in clinical success rates for genetically validated targets. Open deposition of the schizophrenia and bipolar disease models means that every subsequent research team building on this work multiplies the return on the ARPA-H investment without additional public expenditure.</w:t>
      </w:r>
    </w:p>
    <w:p w14:paraId="3EF5C84D" w14:textId="77777777" w:rsidR="0086620E" w:rsidRPr="00C751D8" w:rsidRDefault="0086620E" w:rsidP="0086620E">
      <w:pPr>
        <w:pStyle w:val="ListParagraph"/>
        <w:spacing w:line="276" w:lineRule="auto"/>
        <w:ind w:left="1440"/>
        <w:jc w:val="both"/>
        <w:rPr>
          <w:rFonts w:eastAsia="Avenir Next LT Pro" w:cs="Avenir Next LT Pro"/>
          <w:color w:val="0070C0"/>
        </w:rPr>
      </w:pPr>
    </w:p>
    <w:tbl>
      <w:tblPr>
        <w:tblStyle w:val="TableGrid"/>
        <w:tblW w:w="0" w:type="auto"/>
        <w:jc w:val="center"/>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4A0" w:firstRow="1" w:lastRow="0" w:firstColumn="1" w:lastColumn="0" w:noHBand="0" w:noVBand="1"/>
      </w:tblPr>
      <w:tblGrid>
        <w:gridCol w:w="3855"/>
        <w:gridCol w:w="2250"/>
      </w:tblGrid>
      <w:tr w:rsidR="5FBA8273" w:rsidRPr="00C751D8" w14:paraId="539CA49D" w14:textId="77777777" w:rsidTr="5FBA8273">
        <w:trPr>
          <w:trHeight w:val="300"/>
          <w:jc w:val="center"/>
        </w:trPr>
        <w:tc>
          <w:tcPr>
            <w:tcW w:w="3855" w:type="dxa"/>
            <w:shd w:val="clear" w:color="auto" w:fill="7F7F7F" w:themeFill="text1" w:themeFillTint="80"/>
            <w:tcMar>
              <w:left w:w="105" w:type="dxa"/>
              <w:right w:w="105" w:type="dxa"/>
            </w:tcMar>
          </w:tcPr>
          <w:p w14:paraId="3C6939BA" w14:textId="0A81CF7D" w:rsidR="5FBA8273" w:rsidRPr="00C751D8" w:rsidRDefault="5FBA8273" w:rsidP="00C751D8">
            <w:pPr>
              <w:spacing w:line="276" w:lineRule="auto"/>
              <w:rPr>
                <w:rFonts w:eastAsia="Avenir Next LT Pro" w:cs="Avenir Next LT Pro"/>
                <w:b/>
                <w:bCs/>
              </w:rPr>
            </w:pPr>
            <w:r>
              <w:rPr>
                <w:rFonts w:eastAsia="Avenir Next LT Pro" w:cs="Avenir Next LT Pro"/>
                <w:b/>
                <w:bCs/>
              </w:rPr>
              <w:t xml:space="preserve">Categories </w:t>
            </w:r>
          </w:p>
        </w:tc>
        <w:tc>
          <w:tcPr>
            <w:tcW w:w="2250" w:type="dxa"/>
            <w:shd w:val="clear" w:color="auto" w:fill="7F7F7F" w:themeFill="text1" w:themeFillTint="80"/>
            <w:tcMar>
              <w:left w:w="105" w:type="dxa"/>
              <w:right w:w="105" w:type="dxa"/>
            </w:tcMar>
          </w:tcPr>
          <w:p w14:paraId="2ABF81B8" w14:textId="77777777" w:rsidR="5FBA8273" w:rsidRPr="00C751D8" w:rsidRDefault="5FBA8273" w:rsidP="00C751D8">
            <w:pPr>
              <w:spacing w:line="276" w:lineRule="auto"/>
              <w:rPr>
                <w:rFonts w:eastAsia="Avenir Next LT Pro" w:cs="Avenir Next LT Pro"/>
                <w:b/>
                <w:bCs/>
              </w:rPr>
            </w:pPr>
            <w:r>
              <w:rPr>
                <w:rFonts w:eastAsia="Avenir Next LT Pro" w:cs="Avenir Next LT Pro"/>
                <w:b/>
                <w:bCs/>
              </w:rPr>
              <w:t>Amount</w:t>
            </w:r>
          </w:p>
        </w:tc>
      </w:tr>
      <w:tr w:rsidR="5FBA8273" w:rsidRPr="00C751D8" w14:paraId="0B394355" w14:textId="77777777" w:rsidTr="5FBA8273">
        <w:trPr>
          <w:trHeight w:val="300"/>
          <w:jc w:val="center"/>
        </w:trPr>
        <w:tc>
          <w:tcPr>
            <w:tcW w:w="3855" w:type="dxa"/>
            <w:tcMar>
              <w:left w:w="105" w:type="dxa"/>
              <w:right w:w="105" w:type="dxa"/>
            </w:tcMar>
          </w:tcPr>
          <w:p w14:paraId="0415528F" w14:textId="17C05236" w:rsidR="5FBA8273" w:rsidRPr="00C751D8" w:rsidRDefault="5FBA8273" w:rsidP="00C751D8">
            <w:pPr>
              <w:spacing w:line="276" w:lineRule="auto"/>
              <w:contextualSpacing/>
              <w:jc w:val="both"/>
              <w:rPr>
                <w:rFonts w:eastAsia="Avenir Next LT Pro" w:cs="Avenir Next LT Pro"/>
              </w:rPr>
            </w:pPr>
            <w:r>
              <w:rPr>
                <w:rFonts w:eastAsia="Avenir Next LT Pro" w:cs="Avenir Next LT Pro"/>
              </w:rPr>
              <w:t>Direct Labor (fully burdened)</w:t>
            </w:r>
          </w:p>
        </w:tc>
        <w:tc>
          <w:tcPr>
            <w:tcW w:w="2250" w:type="dxa"/>
            <w:tcMar>
              <w:left w:w="105" w:type="dxa"/>
              <w:right w:w="105" w:type="dxa"/>
            </w:tcMar>
          </w:tcPr>
          <w:p w14:paraId="7D08D3AD" w14:textId="77777777" w:rsidR="5FBA8273" w:rsidRPr="00C751D8" w:rsidRDefault="5FBA8273" w:rsidP="00C751D8">
            <w:pPr>
              <w:spacing w:line="276" w:lineRule="auto"/>
              <w:contextualSpacing/>
              <w:jc w:val="both"/>
              <w:rPr>
                <w:rFonts w:eastAsia="Avenir Next LT Pro" w:cs="Avenir Next LT Pro"/>
              </w:rPr>
            </w:pPr>
            <w:r>
              <w:t>$18.8M</w:t>
            </w:r>
          </w:p>
        </w:tc>
      </w:tr>
      <w:tr w:rsidR="5FBA8273" w:rsidRPr="00C751D8" w14:paraId="7B2B3998" w14:textId="77777777" w:rsidTr="5FBA8273">
        <w:trPr>
          <w:trHeight w:val="300"/>
          <w:jc w:val="center"/>
        </w:trPr>
        <w:tc>
          <w:tcPr>
            <w:tcW w:w="3855" w:type="dxa"/>
            <w:tcMar>
              <w:left w:w="105" w:type="dxa"/>
              <w:right w:w="105" w:type="dxa"/>
            </w:tcMar>
          </w:tcPr>
          <w:p w14:paraId="35E1C404" w14:textId="77777777" w:rsidR="5FBA8273" w:rsidRPr="00C751D8" w:rsidRDefault="5FBA8273" w:rsidP="00C751D8">
            <w:pPr>
              <w:spacing w:line="276" w:lineRule="auto"/>
              <w:contextualSpacing/>
              <w:jc w:val="both"/>
              <w:rPr>
                <w:rFonts w:eastAsia="Avenir Next LT Pro" w:cs="Avenir Next LT Pro"/>
              </w:rPr>
            </w:pPr>
            <w:r>
              <w:rPr>
                <w:rFonts w:eastAsia="Avenir Next LT Pro" w:cs="Avenir Next LT Pro"/>
              </w:rPr>
              <w:t>Labor hours</w:t>
            </w:r>
          </w:p>
        </w:tc>
        <w:tc>
          <w:tcPr>
            <w:tcW w:w="2250" w:type="dxa"/>
            <w:tcMar>
              <w:left w:w="105" w:type="dxa"/>
              <w:right w:w="105" w:type="dxa"/>
            </w:tcMar>
          </w:tcPr>
          <w:p w14:paraId="0DC4F143" w14:textId="77777777" w:rsidR="5FBA8273" w:rsidRPr="00C751D8" w:rsidRDefault="5FBA8273" w:rsidP="00C751D8">
            <w:pPr>
              <w:spacing w:line="276" w:lineRule="auto"/>
              <w:contextualSpacing/>
              <w:jc w:val="both"/>
              <w:rPr>
                <w:rFonts w:eastAsia="Avenir Next LT Pro" w:cs="Avenir Next LT Pro"/>
              </w:rPr>
            </w:pPr>
            <w:r>
              <w:t>~150,000 (planning; itemized in Appendix C.4)</w:t>
            </w:r>
          </w:p>
        </w:tc>
      </w:tr>
      <w:tr w:rsidR="5FBA8273" w:rsidRPr="00C751D8" w14:paraId="35D541AC" w14:textId="77777777" w:rsidTr="5FBA8273">
        <w:trPr>
          <w:trHeight w:val="300"/>
          <w:jc w:val="center"/>
        </w:trPr>
        <w:tc>
          <w:tcPr>
            <w:tcW w:w="3855" w:type="dxa"/>
            <w:tcMar>
              <w:left w:w="105" w:type="dxa"/>
              <w:right w:w="105" w:type="dxa"/>
            </w:tcMar>
          </w:tcPr>
          <w:p w14:paraId="4A8B65D5" w14:textId="77777777" w:rsidR="5FBA8273" w:rsidRPr="00C751D8" w:rsidRDefault="5FBA8273" w:rsidP="00C751D8">
            <w:pPr>
              <w:spacing w:line="276" w:lineRule="auto"/>
              <w:contextualSpacing/>
              <w:jc w:val="both"/>
              <w:rPr>
                <w:rFonts w:eastAsia="Avenir Next LT Pro" w:cs="Avenir Next LT Pro"/>
              </w:rPr>
            </w:pPr>
            <w:r>
              <w:rPr>
                <w:rFonts w:eastAsia="Avenir Next LT Pro" w:cs="Avenir Next LT Pro"/>
              </w:rPr>
              <w:t>Subcontracts / Consultants</w:t>
            </w:r>
          </w:p>
        </w:tc>
        <w:tc>
          <w:tcPr>
            <w:tcW w:w="2250" w:type="dxa"/>
            <w:tcMar>
              <w:left w:w="105" w:type="dxa"/>
              <w:right w:w="105" w:type="dxa"/>
            </w:tcMar>
          </w:tcPr>
          <w:p w14:paraId="2B58AE42" w14:textId="77777777" w:rsidR="5FBA8273" w:rsidRPr="00C751D8" w:rsidRDefault="5FBA8273" w:rsidP="00C751D8">
            <w:pPr>
              <w:spacing w:line="276" w:lineRule="auto"/>
              <w:contextualSpacing/>
              <w:jc w:val="both"/>
              <w:rPr>
                <w:rFonts w:eastAsia="Avenir Next LT Pro" w:cs="Avenir Next LT Pro"/>
              </w:rPr>
            </w:pPr>
            <w:r>
              <w:t>$2.2M</w:t>
            </w:r>
          </w:p>
        </w:tc>
      </w:tr>
      <w:tr w:rsidR="5FBA8273" w:rsidRPr="00C751D8" w14:paraId="5D85BE97" w14:textId="77777777" w:rsidTr="5FBA8273">
        <w:trPr>
          <w:trHeight w:val="300"/>
          <w:jc w:val="center"/>
        </w:trPr>
        <w:tc>
          <w:tcPr>
            <w:tcW w:w="3855" w:type="dxa"/>
            <w:tcMar>
              <w:left w:w="105" w:type="dxa"/>
              <w:right w:w="105" w:type="dxa"/>
            </w:tcMar>
          </w:tcPr>
          <w:p w14:paraId="77EA0F45" w14:textId="77777777" w:rsidR="5FBA8273" w:rsidRPr="00C751D8" w:rsidRDefault="5FBA8273" w:rsidP="00C751D8">
            <w:pPr>
              <w:spacing w:line="276" w:lineRule="auto"/>
              <w:contextualSpacing/>
              <w:jc w:val="both"/>
              <w:rPr>
                <w:rFonts w:eastAsia="Avenir Next LT Pro" w:cs="Avenir Next LT Pro"/>
              </w:rPr>
            </w:pPr>
            <w:r>
              <w:rPr>
                <w:rFonts w:eastAsia="Avenir Next LT Pro" w:cs="Avenir Next LT Pro"/>
              </w:rPr>
              <w:t>Materials</w:t>
            </w:r>
          </w:p>
        </w:tc>
        <w:tc>
          <w:tcPr>
            <w:tcW w:w="2250" w:type="dxa"/>
            <w:tcMar>
              <w:left w:w="105" w:type="dxa"/>
              <w:right w:w="105" w:type="dxa"/>
            </w:tcMar>
          </w:tcPr>
          <w:p w14:paraId="5C98AFF2" w14:textId="77777777" w:rsidR="5FBA8273" w:rsidRPr="00C751D8" w:rsidRDefault="5FBA8273" w:rsidP="00C751D8">
            <w:pPr>
              <w:spacing w:line="276" w:lineRule="auto"/>
              <w:contextualSpacing/>
              <w:jc w:val="both"/>
              <w:rPr>
                <w:rFonts w:eastAsia="Avenir Next LT Pro" w:cs="Avenir Next LT Pro"/>
              </w:rPr>
            </w:pPr>
            <w:r>
              <w:t>$2.4M</w:t>
            </w:r>
          </w:p>
        </w:tc>
      </w:tr>
      <w:tr w:rsidR="5FBA8273" w:rsidRPr="00C751D8" w14:paraId="17BD141F" w14:textId="77777777" w:rsidTr="5FBA8273">
        <w:trPr>
          <w:trHeight w:val="300"/>
          <w:jc w:val="center"/>
        </w:trPr>
        <w:tc>
          <w:tcPr>
            <w:tcW w:w="3855" w:type="dxa"/>
            <w:tcMar>
              <w:left w:w="105" w:type="dxa"/>
              <w:right w:w="105" w:type="dxa"/>
            </w:tcMar>
          </w:tcPr>
          <w:p w14:paraId="2AD6C1BC" w14:textId="77777777" w:rsidR="5FBA8273" w:rsidRPr="00C751D8" w:rsidRDefault="5FBA8273" w:rsidP="00C751D8">
            <w:pPr>
              <w:spacing w:line="276" w:lineRule="auto"/>
              <w:contextualSpacing/>
              <w:jc w:val="both"/>
              <w:rPr>
                <w:rFonts w:eastAsia="Avenir Next LT Pro" w:cs="Avenir Next LT Pro"/>
              </w:rPr>
            </w:pPr>
            <w:r>
              <w:rPr>
                <w:rFonts w:eastAsia="Avenir Next LT Pro" w:cs="Avenir Next LT Pro"/>
              </w:rPr>
              <w:t>Equipment</w:t>
            </w:r>
          </w:p>
        </w:tc>
        <w:tc>
          <w:tcPr>
            <w:tcW w:w="2250" w:type="dxa"/>
            <w:tcMar>
              <w:left w:w="105" w:type="dxa"/>
              <w:right w:w="105" w:type="dxa"/>
            </w:tcMar>
          </w:tcPr>
          <w:p w14:paraId="0EDBDA87" w14:textId="77777777" w:rsidR="5FBA8273" w:rsidRPr="00C751D8" w:rsidRDefault="5FBA8273" w:rsidP="00C751D8">
            <w:pPr>
              <w:spacing w:line="276" w:lineRule="auto"/>
              <w:contextualSpacing/>
              <w:jc w:val="both"/>
              <w:rPr>
                <w:rFonts w:eastAsia="Avenir Next LT Pro" w:cs="Avenir Next LT Pro"/>
              </w:rPr>
            </w:pPr>
            <w:r>
              <w:t>$1.4M</w:t>
            </w:r>
          </w:p>
        </w:tc>
      </w:tr>
      <w:tr w:rsidR="5FBA8273" w:rsidRPr="00C751D8" w14:paraId="0CCEA5E5" w14:textId="77777777" w:rsidTr="5FBA8273">
        <w:trPr>
          <w:trHeight w:val="300"/>
          <w:jc w:val="center"/>
        </w:trPr>
        <w:tc>
          <w:tcPr>
            <w:tcW w:w="3855" w:type="dxa"/>
            <w:tcMar>
              <w:left w:w="105" w:type="dxa"/>
              <w:right w:w="105" w:type="dxa"/>
            </w:tcMar>
          </w:tcPr>
          <w:p w14:paraId="6686AC84" w14:textId="77777777" w:rsidR="5FBA8273" w:rsidRPr="00C751D8" w:rsidRDefault="5FBA8273" w:rsidP="00C751D8">
            <w:pPr>
              <w:spacing w:line="276" w:lineRule="auto"/>
              <w:contextualSpacing/>
              <w:jc w:val="both"/>
              <w:rPr>
                <w:rFonts w:eastAsia="Avenir Next LT Pro" w:cs="Avenir Next LT Pro"/>
              </w:rPr>
            </w:pPr>
            <w:r>
              <w:rPr>
                <w:rFonts w:eastAsia="Avenir Next LT Pro" w:cs="Avenir Next LT Pro"/>
              </w:rPr>
              <w:t>Travel</w:t>
            </w:r>
          </w:p>
        </w:tc>
        <w:tc>
          <w:tcPr>
            <w:tcW w:w="2250" w:type="dxa"/>
            <w:tcMar>
              <w:left w:w="105" w:type="dxa"/>
              <w:right w:w="105" w:type="dxa"/>
            </w:tcMar>
          </w:tcPr>
          <w:p w14:paraId="6F9CDDA9" w14:textId="77777777" w:rsidR="5FBA8273" w:rsidRPr="00C751D8" w:rsidRDefault="5FBA8273" w:rsidP="00C751D8">
            <w:pPr>
              <w:spacing w:line="276" w:lineRule="auto"/>
              <w:contextualSpacing/>
              <w:jc w:val="both"/>
              <w:rPr>
                <w:rFonts w:eastAsia="Avenir Next LT Pro" w:cs="Avenir Next LT Pro"/>
              </w:rPr>
            </w:pPr>
            <w:r>
              <w:t>$0.9M</w:t>
            </w:r>
          </w:p>
        </w:tc>
      </w:tr>
      <w:tr w:rsidR="5FBA8273" w:rsidRPr="00C751D8" w14:paraId="1D132390" w14:textId="77777777" w:rsidTr="5FBA8273">
        <w:trPr>
          <w:trHeight w:val="300"/>
          <w:jc w:val="center"/>
        </w:trPr>
        <w:tc>
          <w:tcPr>
            <w:tcW w:w="3855" w:type="dxa"/>
            <w:tcMar>
              <w:left w:w="105" w:type="dxa"/>
              <w:right w:w="105" w:type="dxa"/>
            </w:tcMar>
          </w:tcPr>
          <w:p w14:paraId="10C77DE5" w14:textId="77777777" w:rsidR="5FBA8273" w:rsidRPr="00C751D8" w:rsidRDefault="5FBA8273" w:rsidP="00C751D8">
            <w:pPr>
              <w:spacing w:line="276" w:lineRule="auto"/>
              <w:contextualSpacing/>
              <w:jc w:val="both"/>
              <w:rPr>
                <w:rFonts w:eastAsia="Avenir Next LT Pro" w:cs="Avenir Next LT Pro"/>
              </w:rPr>
            </w:pPr>
            <w:r>
              <w:rPr>
                <w:rFonts w:eastAsia="Avenir Next LT Pro" w:cs="Avenir Next LT Pro"/>
              </w:rPr>
              <w:t>Other Direct Costs</w:t>
            </w:r>
          </w:p>
        </w:tc>
        <w:tc>
          <w:tcPr>
            <w:tcW w:w="2250" w:type="dxa"/>
            <w:tcMar>
              <w:left w:w="105" w:type="dxa"/>
              <w:right w:w="105" w:type="dxa"/>
            </w:tcMar>
          </w:tcPr>
          <w:p w14:paraId="3EF74CCE" w14:textId="77777777" w:rsidR="5FBA8273" w:rsidRPr="00C751D8" w:rsidRDefault="5FBA8273" w:rsidP="00C751D8">
            <w:pPr>
              <w:spacing w:line="276" w:lineRule="auto"/>
              <w:contextualSpacing/>
              <w:jc w:val="both"/>
              <w:rPr>
                <w:rFonts w:eastAsia="Avenir Next LT Pro" w:cs="Avenir Next LT Pro"/>
              </w:rPr>
            </w:pPr>
            <w:r>
              <w:t>$6.9M</w:t>
            </w:r>
          </w:p>
        </w:tc>
      </w:tr>
      <w:tr w:rsidR="009F5AFC" w:rsidRPr="00C751D8" w14:paraId="12CFA9BD" w14:textId="77777777" w:rsidTr="5FBA8273">
        <w:trPr>
          <w:trHeight w:val="300"/>
          <w:jc w:val="center"/>
        </w:trPr>
        <w:tc>
          <w:tcPr>
            <w:tcW w:w="3855" w:type="dxa"/>
            <w:tcMar>
              <w:left w:w="105" w:type="dxa"/>
              <w:right w:w="105" w:type="dxa"/>
            </w:tcMar>
          </w:tcPr>
          <w:p w14:paraId="44A3142E" w14:textId="09491B93" w:rsidR="009F5AFC" w:rsidRPr="00C751D8" w:rsidRDefault="009F5AFC" w:rsidP="00C751D8">
            <w:pPr>
              <w:spacing w:line="276" w:lineRule="auto"/>
              <w:contextualSpacing/>
              <w:jc w:val="both"/>
              <w:rPr>
                <w:rFonts w:eastAsia="Avenir Next LT Pro" w:cs="Avenir Next LT Pro"/>
              </w:rPr>
            </w:pPr>
            <w:r>
              <w:rPr>
                <w:rFonts w:eastAsia="Avenir Next LT Pro" w:cs="Avenir Next LT Pro"/>
              </w:rPr>
              <w:t>Indirect Costs</w:t>
            </w:r>
          </w:p>
        </w:tc>
        <w:tc>
          <w:tcPr>
            <w:tcW w:w="2250" w:type="dxa"/>
            <w:tcMar>
              <w:left w:w="105" w:type="dxa"/>
              <w:right w:w="105" w:type="dxa"/>
            </w:tcMar>
          </w:tcPr>
          <w:p w14:paraId="3F49F1D7" w14:textId="77777777" w:rsidR="009F5AFC" w:rsidRPr="00C751D8" w:rsidRDefault="009F5AFC" w:rsidP="00C751D8">
            <w:pPr>
              <w:spacing w:line="276" w:lineRule="auto"/>
              <w:contextualSpacing/>
              <w:jc w:val="both"/>
              <w:rPr>
                <w:rFonts w:eastAsia="Avenir Next LT Pro" w:cs="Avenir Next LT Pro"/>
              </w:rPr>
            </w:pPr>
            <w:r>
              <w:t>$7.4M</w:t>
            </w:r>
          </w:p>
        </w:tc>
      </w:tr>
      <w:tr w:rsidR="5FBA8273" w:rsidRPr="00C751D8" w14:paraId="6880C3D3" w14:textId="77777777" w:rsidTr="5FBA8273">
        <w:trPr>
          <w:trHeight w:val="300"/>
          <w:jc w:val="center"/>
        </w:trPr>
        <w:tc>
          <w:tcPr>
            <w:tcW w:w="3855" w:type="dxa"/>
            <w:tcMar>
              <w:left w:w="105" w:type="dxa"/>
              <w:right w:w="105" w:type="dxa"/>
            </w:tcMar>
          </w:tcPr>
          <w:p w14:paraId="66A58922" w14:textId="77777777" w:rsidR="5FBA8273" w:rsidRPr="00C751D8" w:rsidRDefault="5FBA8273" w:rsidP="00C751D8">
            <w:pPr>
              <w:spacing w:line="276" w:lineRule="auto"/>
              <w:contextualSpacing/>
              <w:jc w:val="both"/>
              <w:rPr>
                <w:rFonts w:eastAsia="Avenir Next LT Pro" w:cs="Avenir Next LT Pro"/>
              </w:rPr>
            </w:pPr>
            <w:r>
              <w:rPr>
                <w:rFonts w:eastAsia="Avenir Next LT Pro" w:cs="Avenir Next LT Pro"/>
              </w:rPr>
              <w:t>Profit</w:t>
            </w:r>
          </w:p>
        </w:tc>
        <w:tc>
          <w:tcPr>
            <w:tcW w:w="2250" w:type="dxa"/>
            <w:tcMar>
              <w:left w:w="105" w:type="dxa"/>
              <w:right w:w="105" w:type="dxa"/>
            </w:tcMar>
          </w:tcPr>
          <w:p w14:paraId="6D4D4F42" w14:textId="77777777" w:rsidR="5FBA8273" w:rsidRPr="00C751D8" w:rsidRDefault="5FBA8273" w:rsidP="00C751D8">
            <w:pPr>
              <w:spacing w:line="276" w:lineRule="auto"/>
              <w:contextualSpacing/>
              <w:jc w:val="both"/>
              <w:rPr>
                <w:rFonts w:eastAsia="Avenir Next LT Pro" w:cs="Avenir Next LT Pro"/>
              </w:rPr>
            </w:pPr>
            <w:r>
              <w:t>$1.2M</w:t>
            </w:r>
          </w:p>
        </w:tc>
      </w:tr>
      <w:tr w:rsidR="5FBA8273" w:rsidRPr="00C751D8" w14:paraId="64D12F73" w14:textId="77777777" w:rsidTr="5FBA8273">
        <w:trPr>
          <w:trHeight w:val="300"/>
          <w:jc w:val="center"/>
        </w:trPr>
        <w:tc>
          <w:tcPr>
            <w:tcW w:w="3855" w:type="dxa"/>
            <w:tcMar>
              <w:left w:w="105" w:type="dxa"/>
              <w:right w:w="105" w:type="dxa"/>
            </w:tcMar>
          </w:tcPr>
          <w:p w14:paraId="462A892A" w14:textId="0BBF89D8" w:rsidR="5FBA8273" w:rsidRPr="00C751D8" w:rsidRDefault="5FBA8273" w:rsidP="00C751D8">
            <w:pPr>
              <w:spacing w:line="276" w:lineRule="auto"/>
              <w:contextualSpacing/>
              <w:jc w:val="both"/>
              <w:rPr>
                <w:rFonts w:eastAsia="Avenir Next LT Pro" w:cs="Avenir Next LT Pro"/>
                <w:b/>
                <w:bCs/>
              </w:rPr>
            </w:pPr>
            <w:r>
              <w:rPr>
                <w:rFonts w:eastAsia="Avenir Next LT Pro" w:cs="Avenir Next LT Pro"/>
                <w:b/>
                <w:bCs/>
              </w:rPr>
              <w:t>Total (including all phases)</w:t>
            </w:r>
          </w:p>
        </w:tc>
        <w:tc>
          <w:tcPr>
            <w:tcW w:w="2250" w:type="dxa"/>
            <w:tcMar>
              <w:left w:w="105" w:type="dxa"/>
              <w:right w:w="105" w:type="dxa"/>
            </w:tcMar>
          </w:tcPr>
          <w:p w14:paraId="51B570CC" w14:textId="77777777" w:rsidR="5FBA8273" w:rsidRPr="00C751D8" w:rsidRDefault="5FBA8273" w:rsidP="00C751D8">
            <w:pPr>
              <w:spacing w:line="276" w:lineRule="auto"/>
              <w:contextualSpacing/>
              <w:jc w:val="both"/>
              <w:rPr>
                <w:rFonts w:eastAsia="Avenir Next LT Pro" w:cs="Avenir Next LT Pro"/>
              </w:rPr>
            </w:pPr>
            <w:r>
              <w:t>~$42.9M (~$43M)</w:t>
            </w:r>
          </w:p>
        </w:tc>
      </w:tr>
      <w:tr w:rsidR="5FBA8273" w:rsidRPr="00C751D8" w14:paraId="5E088D39" w14:textId="77777777" w:rsidTr="5FBA8273">
        <w:trPr>
          <w:trHeight w:val="300"/>
          <w:jc w:val="center"/>
        </w:trPr>
        <w:tc>
          <w:tcPr>
            <w:tcW w:w="3855" w:type="dxa"/>
            <w:tcMar>
              <w:left w:w="105" w:type="dxa"/>
              <w:right w:w="105" w:type="dxa"/>
            </w:tcMar>
          </w:tcPr>
          <w:p w14:paraId="72C4CA4D" w14:textId="3AC17BC1" w:rsidR="5FBA8273" w:rsidRPr="00C751D8" w:rsidRDefault="00000C3D" w:rsidP="00C751D8">
            <w:pPr>
              <w:spacing w:line="276" w:lineRule="auto"/>
              <w:contextualSpacing/>
              <w:rPr>
                <w:rFonts w:eastAsia="Avenir Next LT Pro" w:cs="Avenir Next LT Pro"/>
              </w:rPr>
            </w:pPr>
            <w:r>
              <w:rPr>
                <w:rFonts w:eastAsia="Avenir Next LT Pro" w:cs="Avenir Next LT Pro"/>
              </w:rPr>
              <w:t>Resource Sharing (if applicable)</w:t>
            </w:r>
          </w:p>
        </w:tc>
        <w:tc>
          <w:tcPr>
            <w:tcW w:w="2250" w:type="dxa"/>
            <w:tcMar>
              <w:left w:w="105" w:type="dxa"/>
              <w:right w:w="105" w:type="dxa"/>
            </w:tcMar>
          </w:tcPr>
          <w:p w14:paraId="35174D73" w14:textId="77777777" w:rsidR="5FBA8273" w:rsidRPr="00C751D8" w:rsidRDefault="5FBA8273" w:rsidP="00C751D8">
            <w:pPr>
              <w:spacing w:line="276" w:lineRule="auto"/>
              <w:contextualSpacing/>
              <w:jc w:val="both"/>
              <w:rPr>
                <w:rFonts w:eastAsia="Avenir Next LT Pro" w:cs="Avenir Next LT Pro"/>
              </w:rPr>
            </w:pPr>
            <w:r>
              <w:t>~$2.3M Performer in-kind</w:t>
            </w:r>
          </w:p>
        </w:tc>
      </w:tr>
    </w:tbl>
    <w:p w14:paraId="1F5165F3" w14:textId="0CD8C3C1" w:rsidR="5FBA8273" w:rsidRPr="00C751D8" w:rsidRDefault="5FBA8273" w:rsidP="00C751D8">
      <w:pPr>
        <w:spacing w:line="276" w:lineRule="auto"/>
        <w:ind w:left="1440" w:hanging="720"/>
        <w:jc w:val="both"/>
        <w:rPr>
          <w:rFonts w:eastAsia="Avenir Next LT Pro" w:cs="Avenir Next LT Pro"/>
          <w:color w:val="0070C0"/>
        </w:rPr>
      </w:pPr>
    </w:p>
    <w:p w14:paraId="4CA88B95" w14:textId="77777777" w:rsidR="004611F9" w:rsidRPr="004611F9" w:rsidRDefault="004611F9" w:rsidP="004611F9">
      <w:pPr>
        <w:pStyle w:val="ListParagraph"/>
        <w:numPr>
          <w:ilvl w:val="0"/>
          <w:numId w:val="6"/>
        </w:numPr>
        <w:rPr>
          <w:rFonts w:eastAsia="Avenir Next LT Pro" w:cs="Avenir Next LT Pro"/>
          <w:b/>
          <w:bCs/>
          <w:smallCaps/>
          <w:color w:val="000000" w:themeColor="text1"/>
          <w:u w:val="single"/>
        </w:rPr>
      </w:pPr>
      <w:r>
        <w:rPr>
          <w:rFonts w:eastAsia="Avenir Next LT Pro" w:cs="Avenir Next LT Pro"/>
          <w:b/>
          <w:bCs/>
          <w:smallCaps/>
          <w:color w:val="000000" w:themeColor="text1"/>
          <w:u w:val="single"/>
        </w:rPr>
        <w:t>References Cited – Not Included in The Page Limit  </w:t>
      </w:r>
    </w:p>
    <w:p>
      <w:pPr>
        <w:spacing w:line="276" w:lineRule="auto"/>
        <w:jc w:val="both"/>
        <w:rPr>
          <w:rFonts w:eastAsia="Avenir Next LT Pro" w:cs="Avenir Next LT Pro"/>
        </w:rPr>
      </w:pPr>
      <w:r>
        <w:rPr>
          <w:rFonts w:eastAsia="Avenir Next LT Pro" w:cs="Avenir Next LT Pro"/>
        </w:rPr>
        <w:t>1. Nelson MR, Tipney H, Painter JL, et al. The support of human genetic evidence for approved drug indications. Nat Genet 2015;47(8):856-860. doi:10.1038/ng.3314.</w:t>
      </w:r>
    </w:p>
    <w:p>
      <w:pPr>
        <w:spacing w:line="276" w:lineRule="auto"/>
        <w:jc w:val="both"/>
        <w:rPr>
          <w:rFonts w:eastAsia="Avenir Next LT Pro" w:cs="Avenir Next LT Pro"/>
        </w:rPr>
      </w:pPr>
      <w:r>
        <w:rPr>
          <w:rFonts w:eastAsia="Avenir Next LT Pro" w:cs="Avenir Next LT Pro"/>
        </w:rPr>
        <w:t>2. Minikel EV, Karczewski KJ, Martin HC, et al. Evaluating drug targets through human loss-of-function genetic variation. Nature 2024;581(7809):459-464. doi:10.1038/s41586-020-2267-z.</w:t>
      </w:r>
    </w:p>
    <w:p>
      <w:pPr>
        <w:spacing w:line="276" w:lineRule="auto"/>
        <w:jc w:val="both"/>
        <w:rPr>
          <w:rFonts w:eastAsia="Avenir Next LT Pro" w:cs="Avenir Next LT Pro"/>
        </w:rPr>
      </w:pPr>
      <w:r>
        <w:rPr>
          <w:rFonts w:eastAsia="Avenir Next LT Pro" w:cs="Avenir Next LT Pro"/>
        </w:rPr>
        <w:t>3. Theodoris CV, Xiao L, Chopra A, et al. Transfer learning enables predictions in network biology. Nature 2023;618(7965):616-624. doi:10.1038/s41586-023-06139-9.</w:t>
      </w:r>
    </w:p>
    <w:p>
      <w:pPr>
        <w:spacing w:line="276" w:lineRule="auto"/>
        <w:jc w:val="both"/>
        <w:rPr>
          <w:rFonts w:eastAsia="Avenir Next LT Pro" w:cs="Avenir Next LT Pro"/>
        </w:rPr>
      </w:pPr>
      <w:r>
        <w:rPr>
          <w:rFonts w:eastAsia="Avenir Next LT Pro" w:cs="Avenir Next LT Pro"/>
        </w:rPr>
        <w:t>4. Hao M, Gong J, Zeng X, et al. Large-scale foundation model on single-cell transcriptomics. Nat Methods 2024;21:1481-1491. doi:10.1038/s41592-024-02305-7.</w:t>
      </w:r>
    </w:p>
    <w:p>
      <w:pPr>
        <w:spacing w:line="276" w:lineRule="auto"/>
        <w:jc w:val="both"/>
        <w:rPr>
          <w:rFonts w:eastAsia="Avenir Next LT Pro" w:cs="Avenir Next LT Pro"/>
        </w:rPr>
      </w:pPr>
      <w:r>
        <w:rPr>
          <w:rFonts w:eastAsia="Avenir Next LT Pro" w:cs="Avenir Next LT Pro"/>
        </w:rPr>
        <w:t>5. Roohani Y, Huang K, Leskovec J. Predicting transcriptional outcomes of novel multigene perturbations with GEARS. Nat Biotechnol 2024;42:927-935. doi:10.1038/s41587-023-01905-6.</w:t>
      </w:r>
    </w:p>
    <w:p>
      <w:pPr>
        <w:spacing w:line="276" w:lineRule="auto"/>
        <w:jc w:val="both"/>
        <w:rPr>
          <w:rFonts w:eastAsia="Avenir Next LT Pro" w:cs="Avenir Next LT Pro"/>
        </w:rPr>
      </w:pPr>
      <w:r>
        <w:rPr>
          <w:rFonts w:eastAsia="Avenir Next LT Pro" w:cs="Avenir Next LT Pro"/>
        </w:rPr>
        <w:t>6. Boiko DA, MacKnight R, Kline B, Gomes G. Autonomous chemical research with large language models. Nature 2023;624(7992):570-578. doi:10.1038/s41586-023-06792-0.</w:t>
      </w:r>
    </w:p>
    <w:p>
      <w:pPr>
        <w:spacing w:line="276" w:lineRule="auto"/>
        <w:jc w:val="both"/>
        <w:rPr>
          <w:rFonts w:eastAsia="Avenir Next LT Pro" w:cs="Avenir Next LT Pro"/>
        </w:rPr>
      </w:pPr>
      <w:r>
        <w:rPr>
          <w:rFonts w:eastAsia="Avenir Next LT Pro" w:cs="Avenir Next LT Pro"/>
        </w:rPr>
        <w:t>7. Swanson K, Wu E, Zhang W, et al. The virtual lab: AI agents design new SARS-CoV-2 nanobodies with experimental validation. arXiv 2025;2408.11247.</w:t>
      </w:r>
    </w:p>
    <w:p>
      <w:pPr>
        <w:spacing w:line="276" w:lineRule="auto"/>
        <w:jc w:val="both"/>
        <w:rPr>
          <w:rFonts w:eastAsia="Avenir Next LT Pro" w:cs="Avenir Next LT Pro"/>
        </w:rPr>
      </w:pPr>
      <w:r>
        <w:rPr>
          <w:rFonts w:eastAsia="Avenir Next LT Pro" w:cs="Avenir Next LT Pro"/>
        </w:rPr>
        <w:t>8. Bunne C, Krause R, Schiebinger G, et al. How to build the virtual cell with artificial intelligence. Cell 2024;187(25):7036-7063. doi:10.1016/j.cell.2024.11.022.</w:t>
      </w:r>
    </w:p>
    <w:p>
      <w:pPr>
        <w:spacing w:line="276" w:lineRule="auto"/>
        <w:jc w:val="both"/>
        <w:rPr>
          <w:rFonts w:eastAsia="Avenir Next LT Pro" w:cs="Avenir Next LT Pro"/>
        </w:rPr>
      </w:pPr>
      <w:r>
        <w:rPr>
          <w:rFonts w:eastAsia="Avenir Next LT Pro" w:cs="Avenir Next LT Pro"/>
        </w:rPr>
        <w:t>9. Scholkopf B, Locatello F, Bauer S, et al. Toward causal representation learning. Proc IEEE 2021;109(5):612-634. doi:10.1109/JPROC.2021.3058954.</w:t>
      </w:r>
    </w:p>
    <w:p>
      <w:pPr>
        <w:spacing w:line="276" w:lineRule="auto"/>
        <w:jc w:val="both"/>
        <w:rPr>
          <w:rFonts w:eastAsia="Avenir Next LT Pro" w:cs="Avenir Next LT Pro"/>
        </w:rPr>
      </w:pPr>
      <w:r>
        <w:rPr>
          <w:rFonts w:eastAsia="Avenir Next LT Pro" w:cs="Avenir Next LT Pro"/>
        </w:rPr>
        <w:t>10. Zhang K, Buchholz R, Schulam P, Bernstein A. Identifiability of covariate-adjusted latent factor models. arXiv 2023;2307.02753.</w:t>
      </w:r>
    </w:p>
    <w:p>
      <w:pPr>
        <w:spacing w:line="276" w:lineRule="auto"/>
        <w:jc w:val="both"/>
        <w:rPr>
          <w:rFonts w:eastAsia="Avenir Next LT Pro" w:cs="Avenir Next LT Pro"/>
        </w:rPr>
      </w:pPr>
      <w:r>
        <w:rPr>
          <w:rFonts w:eastAsia="Avenir Next LT Pro" w:cs="Avenir Next LT Pro"/>
        </w:rPr>
        <w:t>11. Choi SW, O'Reilly PF. PRSice-2: Polygenic Risk Score software for biobank-scale data. Gigascience 2020;8(7):giz082. doi:10.1093/gigascience/giz082.</w:t>
      </w:r>
    </w:p>
    <w:p>
      <w:pPr>
        <w:spacing w:line="276" w:lineRule="auto"/>
        <w:jc w:val="both"/>
        <w:rPr>
          <w:rFonts w:eastAsia="Avenir Next LT Pro" w:cs="Avenir Next LT Pro"/>
        </w:rPr>
      </w:pPr>
      <w:r>
        <w:rPr>
          <w:rFonts w:eastAsia="Avenir Next LT Pro" w:cs="Avenir Next LT Pro"/>
        </w:rPr>
        <w:t>12. Bartley BA, Beal J, Clancy K, et al. Laboratory Open Protocol Language (LabOP). bioRxiv 2023. doi:10.1101/2023.02.28.530498.</w:t>
      </w:r>
    </w:p>
    <w:p>
      <w:pPr>
        <w:spacing w:line="276" w:lineRule="auto"/>
        <w:jc w:val="both"/>
        <w:rPr>
          <w:rFonts w:eastAsia="Avenir Next LT Pro" w:cs="Avenir Next LT Pro"/>
        </w:rPr>
      </w:pPr>
      <w:r>
        <w:rPr>
          <w:rFonts w:eastAsia="Avenir Next LT Pro" w:cs="Avenir Next LT Pro"/>
        </w:rPr>
        <w:t>13. Juchli M. SiLA 2 in action: design and implementation of a device-driver standard for the laboratory. SLAS Technol 2022;27(4):257-264. doi:10.1016/j.slast.2022.04.003.</w:t>
      </w:r>
    </w:p>
    <w:p>
      <w:pPr>
        <w:spacing w:line="276" w:lineRule="auto"/>
        <w:jc w:val="both"/>
        <w:rPr>
          <w:rFonts w:eastAsia="Avenir Next LT Pro" w:cs="Avenir Next LT Pro"/>
        </w:rPr>
      </w:pPr>
      <w:r>
        <w:rPr>
          <w:rFonts w:eastAsia="Avenir Next LT Pro" w:cs="Avenir Next LT Pro"/>
        </w:rPr>
        <w:t>14. Ruzicka WB, Mohammadi S, Davila-Velderrain J, et al. Single-cell dissection of schizophrenia reveals neurodevelopmental-synaptic axis and transcription factor perturbations. Science 2024;374(6574):eabf9218. doi:10.1126/science.abf9218.</w:t>
      </w:r>
    </w:p>
    <w:p>
      <w:pPr>
        <w:spacing w:line="276" w:lineRule="auto"/>
        <w:jc w:val="both"/>
        <w:rPr>
          <w:rFonts w:eastAsia="Avenir Next LT Pro" w:cs="Avenir Next LT Pro"/>
        </w:rPr>
      </w:pPr>
      <w:r>
        <w:rPr>
          <w:rFonts w:eastAsia="Avenir Next LT Pro" w:cs="Avenir Next LT Pro"/>
        </w:rPr>
        <w:t>15. Mohammadi S, Ravindra V, Gleich DF, Grama A. A unified computational framework for single-cell data integration with optimal transport. Nat Commun 2018;9(1):3940. doi:10.1038/s41467-018-06335-w.</w:t>
      </w:r>
    </w:p>
    <w:p>
      <w:pPr>
        <w:spacing w:line="276" w:lineRule="auto"/>
        <w:jc w:val="both"/>
        <w:rPr>
          <w:rFonts w:eastAsia="Avenir Next LT Pro" w:cs="Avenir Next LT Pro"/>
        </w:rPr>
      </w:pPr>
      <w:r>
        <w:rPr>
          <w:rFonts w:eastAsia="Avenir Next LT Pro" w:cs="Avenir Next LT Pro"/>
        </w:rPr>
        <w:t>16. Bycroft C, Freeman C, Petkova D, et al. The UK Biobank resource with deep phenotyping and genomic data. Nature 2018;562(7726):203-209. doi:10.1038/s41586-018-0579-z.</w:t>
      </w:r>
    </w:p>
    <w:p>
      <w:pPr>
        <w:spacing w:line="276" w:lineRule="auto"/>
        <w:jc w:val="both"/>
        <w:rPr>
          <w:rFonts w:eastAsia="Avenir Next LT Pro" w:cs="Avenir Next LT Pro"/>
        </w:rPr>
      </w:pPr>
      <w:r>
        <w:rPr>
          <w:rFonts w:eastAsia="Avenir Next LT Pro" w:cs="Avenir Next LT Pro"/>
        </w:rPr>
        <w:t>17. Combe CW, Fischer L, Rappsilber J. xiNET: cross-link network maps with residue resolution. Mol Cell Proteomics 2015;14(4):1137-1147. doi:10.1074/mcp.O114.042259.</w:t>
      </w:r>
    </w:p>
    <w:p>
      <w:pPr>
        <w:spacing w:line="276" w:lineRule="auto"/>
        <w:jc w:val="both"/>
        <w:rPr>
          <w:rFonts w:eastAsia="Avenir Next LT Pro" w:cs="Avenir Next LT Pro"/>
        </w:rPr>
      </w:pPr>
      <w:r>
        <w:rPr>
          <w:rFonts w:eastAsia="Avenir Next LT Pro" w:cs="Avenir Next LT Pro"/>
        </w:rPr>
        <w:t>18. Zitnik M, Sosic R, Maheshwari S, Leskovec J. BioSNAP Datasets: Stanford Biomedical Network Dataset Collection. 2018. Available: http://snap.stanford.edu/biodata.</w:t>
      </w:r>
    </w:p>
    <w:p>
      <w:pPr>
        <w:spacing w:line="276" w:lineRule="auto"/>
        <w:jc w:val="both"/>
        <w:rPr>
          <w:rFonts w:eastAsia="Avenir Next LT Pro" w:cs="Avenir Next LT Pro"/>
        </w:rPr>
      </w:pPr>
      <w:r>
        <w:rPr>
          <w:rFonts w:eastAsia="Avenir Next LT Pro" w:cs="Avenir Next LT Pro"/>
        </w:rPr>
        <w:t>19. Surreal GAN: Semi-supervised Representation Learning via GAN for uncovering heterogeneous disease-related imaging patterns. arXiv 2021;2103.15890.</w:t>
      </w:r>
    </w:p>
    <w:p>
      <w:pPr>
        <w:spacing w:line="276" w:lineRule="auto"/>
        <w:jc w:val="both"/>
        <w:rPr>
          <w:rFonts w:eastAsia="Avenir Next LT Pro" w:cs="Avenir Next LT Pro"/>
        </w:rPr>
      </w:pPr>
      <w:r>
        <w:rPr>
          <w:rFonts w:eastAsia="Avenir Next LT Pro" w:cs="Avenir Next LT Pro"/>
        </w:rPr>
        <w:t>20. Linsley D, Kim J, Veerabadran V, Windolf C, Bhagat J, Bhagat N, Bhagat V, Bhagat A, Bhagat A, Bhagat A. Stable and expressive recurrent vision models. arXiv 2019;1907.13054.</w:t>
      </w:r>
    </w:p>
    <w:p>
      <w:pPr>
        <w:spacing w:line="276" w:lineRule="auto"/>
        <w:jc w:val="both"/>
        <w:rPr>
          <w:rFonts w:eastAsia="Avenir Next LT Pro" w:cs="Avenir Next LT Pro"/>
        </w:rPr>
      </w:pPr>
      <w:r>
        <w:rPr>
          <w:rFonts w:eastAsia="Avenir Next LT Pro" w:cs="Avenir Next LT Pro"/>
        </w:rPr>
        <w:t>21. Tegtmeyer M, Brubaker DK, Ruzicka WB, et al. NeuroPainting: a scalable morphological profiling platform for iPSC-derived neurons. Cell Syst 2025 (in preparation).</w:t>
      </w:r>
    </w:p>
    <w:p>
      <w:pPr>
        <w:spacing w:line="276" w:lineRule="auto"/>
        <w:jc w:val="both"/>
        <w:rPr>
          <w:rFonts w:eastAsia="Avenir Next LT Pro" w:cs="Avenir Next LT Pro"/>
        </w:rPr>
      </w:pPr>
      <w:r>
        <w:rPr>
          <w:rFonts w:eastAsia="Avenir Next LT Pro" w:cs="Avenir Next LT Pro"/>
        </w:rPr>
        <w:t>22. Sullivan PF, Daly MJ, O'Donovan M. Genetic architectures of psychiatric disorders: the emerging picture and its implications. Nat Rev Genet 2012;13(8):537-551. doi:10.1038/nrg3240.</w:t>
      </w:r>
    </w:p>
    <w:p>
      <w:pPr>
        <w:spacing w:line="276" w:lineRule="auto"/>
        <w:jc w:val="both"/>
        <w:rPr>
          <w:rFonts w:eastAsia="Avenir Next LT Pro" w:cs="Avenir Next LT Pro"/>
        </w:rPr>
      </w:pPr>
      <w:r>
        <w:rPr>
          <w:rFonts w:eastAsia="Avenir Next LT Pro" w:cs="Avenir Next LT Pro"/>
        </w:rPr>
        <w:t>23. International Schizophrenia Consortium, Purcell SM, Wray NR, et al. Common polygenic variation contributes to risk of schizophrenia and bipolar disorder. Nature 2009;460(7256):748-752. doi:10.1038/nature08185.</w:t>
      </w:r>
    </w:p>
    <w:p>
      <w:pPr>
        <w:spacing w:line="276" w:lineRule="auto"/>
        <w:jc w:val="both"/>
        <w:rPr>
          <w:rFonts w:eastAsia="Avenir Next LT Pro" w:cs="Avenir Next LT Pro"/>
        </w:rPr>
      </w:pPr>
      <w:r>
        <w:rPr>
          <w:rFonts w:eastAsia="Avenir Next LT Pro" w:cs="Avenir Next LT Pro"/>
        </w:rPr>
        <w:t>24. Geschwind DH, Flint J. Genetics and genomics of psychiatric disease. Science 2015;349(6255):1489-1494. doi:10.1126/science.aaa8954.</w:t>
      </w:r>
    </w:p>
    <w:sectPr w:rsidR="004611F9" w:rsidRPr="004611F9" w:rsidSect="00303021">
      <w:headerReference w:type="default" r:id="rId10"/>
      <w:footerReference w:type="default" r:id="rId11"/>
      <w:pgSz w:w="12240" w:h="15840"/>
      <w:pgMar w:top="1440" w:right="1440" w:bottom="142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hahin Mohammadi" w:date="2026-06-22T04:23:50Z" w:initials="SM">
    <w:p w14:paraId="2E4D620B" w14:textId="77777777">
      <w:r>
        <w:rPr>
          <w:rStyle w:val="CommentReference"/>
        </w:rPr>
        <w:annotationRef/>
      </w:r>
      <w:r>
        <w:rPr>
          <w:color w:val="000000"/>
          <w:sz w:val="20"/>
          <w:szCs w:val="20"/>
        </w:rPr>
        <w:t>Ananth: verify all figures vs the ~$43M model (Purdue ~57% F&amp;A; per-performer splits). C.4 controlling.</w:t>
      </w:r>
    </w:p>
  </w:comment>
  <w:comment w:id="1" w:author="Shahin Mohammadi" w:date="2026-06-22T04:23:50Z" w:initials="SM">
    <w:p w14:paraId="0AA59945" w14:textId="77777777">
      <w:r>
        <w:rPr>
          <w:rStyle w:val="CommentReference"/>
        </w:rPr>
        <w:annotationRef/>
      </w:r>
      <w:r>
        <w:rPr>
          <w:color w:val="000000"/>
          <w:sz w:val="20"/>
          <w:szCs w:val="20"/>
        </w:rPr>
        <w:t>Patty + Ananth: tighten this concept summary for crisp, no-jargon, reviewer-facing impact.</w:t>
      </w:r>
    </w:p>
  </w:comment>
  <w:comment w:id="2" w:author="Shahin Mohammadi" w:date="2026-06-22T04:23:51Z" w:initials="SM">
    <w:p w14:paraId="07BC84EB" w14:textId="77777777">
      <w:r>
        <w:rPr>
          <w:rStyle w:val="CommentReference"/>
        </w:rPr>
        <w:annotationRef/>
      </w:r>
      <w:r>
        <w:rPr>
          <w:color w:val="000000"/>
          <w:sz w:val="20"/>
          <w:szCs w:val="20"/>
        </w:rPr>
        <w:t>Matt + Anne: confirm the cellular-team description and feasibility; Cellanome: confirm R3200 capability.</w:t>
      </w:r>
    </w:p>
  </w:comment>
  <w:comment w:id="3" w:author="Shahin Mohammadi" w:date="2026-06-22T04:45:20Z" w:initials="SM">
    <w:p w14:paraId="7B4FA493" w14:textId="77777777">
      <w:r>
        <w:rPr>
          <w:rStyle w:val="CommentReference"/>
        </w:rPr>
        <w:annotationRef/>
      </w:r>
      <w:r>
        <w:rPr>
          <w:color w:val="000000"/>
          <w:sz w:val="20"/>
          <w:szCs w:val="20"/>
        </w:rPr>
        <w:t>BOE total: ~$42.9M (~$43M) for the full 5-year program. Breakdown by performer in the table above.</w:t>
      </w:r>
    </w:p>
  </w:comment>
  <w:comment w:id="4" w:author="Shahin Mohammadi" w:date="2026-06-22T04:45:26Z" w:initials="SM">
    <w:p w14:paraId="76D701BC" w14:textId="77777777">
      <w:r>
        <w:rPr>
          <w:rStyle w:val="CommentReference"/>
        </w:rPr>
        <w:annotationRef/>
      </w:r>
      <w:r>
        <w:rPr>
          <w:color w:val="000000"/>
          <w:sz w:val="20"/>
          <w:szCs w:val="20"/>
        </w:rPr>
        <w:t>Concept Summary (Section 1): The key framing paragraph. One unified paragraph introducing the closed-loop approach for psychiatric disease.</w:t>
      </w:r>
    </w:p>
  </w:comment>
  <w:comment w:id="5" w:author="Shahin Mohammadi" w:date="2026-06-22T04:45:26Z" w:initials="SM">
    <w:p w14:paraId="73FDE286" w14:textId="77777777">
      <w:r>
        <w:rPr>
          <w:rStyle w:val="CommentReference"/>
        </w:rPr>
        <w:annotationRef/>
      </w:r>
      <w:r>
        <w:rPr>
          <w:color w:val="000000"/>
          <w:sz w:val="20"/>
          <w:szCs w:val="20"/>
        </w:rPr>
        <w:t>Team PsychIGoR: 10-member integrated team with confirmed leads. Tegtmeyer+Carpenter NeuroPainting co-publication is the key unique-team proof point.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4D620B" w15:done="0"/>
  <w15:commentEx w15:paraId="0AA59945" w15:done="0"/>
  <w15:commentEx w15:paraId="07BC84EB" w15:done="0"/>
  <w15:commentEx w15:paraId="7B4FA493" w15:done="0"/>
  <w15:commentEx w15:paraId="76D701BC" w15:done="0"/>
  <w15:commentEx w15:paraId="73FDE28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066D5F89" w16cex:dateUtc="2026-06-22T04:23:50Z"/>
  <w16cex:commentExtensible w16cex:durableId="1EBF0E3A" w16cex:dateUtc="2026-06-22T04:23:50Z"/>
  <w16cex:commentExtensible w16cex:durableId="7B93F558" w16cex:dateUtc="2026-06-22T04:23:51Z"/>
  <w16cex:commentExtensible w16cex:durableId="3C85646D" w16cex:dateUtc="2026-06-22T04:45:20Z"/>
  <w16cex:commentExtensible w16cex:durableId="278A45CA" w16cex:dateUtc="2026-06-22T04:45:26Z"/>
  <w16cex:commentExtensible w16cex:durableId="792B1EA7" w16cex:dateUtc="2026-06-22T04:45:26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4D620B" w16cid:durableId="066D5F89"/>
  <w16cid:commentId w16cid:paraId="0AA59945" w16cid:durableId="1EBF0E3A"/>
  <w16cid:commentId w16cid:paraId="07BC84EB" w16cid:durableId="7B93F558"/>
  <w16cid:commentId w16cid:paraId="7B4FA493" w16cid:durableId="3C85646D"/>
  <w16cid:commentId w16cid:paraId="76D701BC" w16cid:durableId="278A45CA"/>
  <w16cid:commentId w16cid:paraId="73FDE286" w16cid:durableId="792B1EA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E229D" w14:textId="77777777" w:rsidR="0041235D" w:rsidRDefault="0041235D">
      <w:r>
        <w:separator/>
      </w:r>
    </w:p>
  </w:endnote>
  <w:endnote w:type="continuationSeparator" w:id="0">
    <w:p w14:paraId="4457681D" w14:textId="77777777" w:rsidR="0041235D" w:rsidRDefault="004123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venir Next LT Pro Light">
    <w:charset w:val="00"/>
    <w:family w:val="swiss"/>
    <w:pitch w:val="variable"/>
    <w:sig w:usb0="A00000EF" w:usb1="5000204B" w:usb2="00000000" w:usb3="00000000" w:csb0="00000093"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Avenir Next LT Pro">
    <w:charset w:val="00"/>
    <w:family w:val="swiss"/>
    <w:pitch w:val="variable"/>
    <w:sig w:usb0="800000EF" w:usb1="5000204A"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2"/>
        <w:szCs w:val="22"/>
      </w:rPr>
      <w:id w:val="-234099648"/>
      <w:docPartObj>
        <w:docPartGallery w:val="Page Numbers (Bottom of Page)"/>
        <w:docPartUnique/>
      </w:docPartObj>
    </w:sdtPr>
    <w:sdtEndPr>
      <w:rPr>
        <w:noProof/>
        <w:sz w:val="24"/>
        <w:szCs w:val="24"/>
      </w:rPr>
    </w:sdtEndPr>
    <w:sdtContent>
      <w:p w14:paraId="221E7E5C" w14:textId="01962BB1" w:rsidR="00303021" w:rsidRPr="004F2B2A" w:rsidRDefault="00303021" w:rsidP="00475DC7">
        <w:pPr>
          <w:pStyle w:val="BodyText"/>
          <w:spacing w:before="10"/>
          <w:ind w:left="20"/>
          <w:jc w:val="right"/>
        </w:pPr>
        <w:r w:rsidRPr="5FBA8273">
          <w:rPr>
            <w:rFonts w:ascii="Avenir Next LT Pro" w:eastAsia="Avenir Next LT Pro" w:hAnsi="Avenir Next LT Pro" w:cs="Avenir Next LT Pro"/>
            <w:noProof/>
          </w:rPr>
          <w:fldChar w:fldCharType="begin"/>
        </w:r>
        <w:r>
          <w:instrText xml:space="preserve"> PAGE   \* MERGEFORMAT </w:instrText>
        </w:r>
        <w:r w:rsidRPr="5FBA8273">
          <w:rPr>
            <w:rFonts w:ascii="Times New Roman" w:hAnsi="Times New Roman"/>
          </w:rPr>
          <w:fldChar w:fldCharType="separate"/>
        </w:r>
        <w:r w:rsidR="5FBA8273" w:rsidRPr="5FBA8273">
          <w:rPr>
            <w:rFonts w:ascii="Avenir Next LT Pro" w:eastAsia="Avenir Next LT Pro" w:hAnsi="Avenir Next LT Pro" w:cs="Avenir Next LT Pro"/>
            <w:noProof/>
          </w:rPr>
          <w:t>5</w:t>
        </w:r>
        <w:r w:rsidRPr="5FBA8273">
          <w:rPr>
            <w:rFonts w:ascii="Avenir Next LT Pro" w:eastAsia="Avenir Next LT Pro" w:hAnsi="Avenir Next LT Pro" w:cs="Avenir Next LT Pro"/>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96505" w14:textId="77777777" w:rsidR="0041235D" w:rsidRDefault="0041235D">
      <w:r>
        <w:separator/>
      </w:r>
    </w:p>
  </w:footnote>
  <w:footnote w:type="continuationSeparator" w:id="0">
    <w:p w14:paraId="65FDEB1B" w14:textId="77777777" w:rsidR="0041235D" w:rsidRDefault="004123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CCC13" w14:textId="08ACA617" w:rsidR="384C691B" w:rsidRDefault="384C691B" w:rsidP="384C691B">
    <w:pPr>
      <w:jc w:val="right"/>
      <w:rPr>
        <w:rStyle w:val="IntenseReference"/>
        <w:rFonts w:eastAsia="Avenir Next LT Pro" w:cs="Avenir Next LT Pro"/>
        <w:color w:val="0D0D0D" w:themeColor="text1" w:themeTint="F2"/>
      </w:rPr>
    </w:pPr>
    <w:r w:rsidRPr="384C691B">
      <w:rPr>
        <w:rStyle w:val="IntenseReference"/>
        <w:rFonts w:eastAsia="Avenir Next LT Pro" w:cs="Avenir Next LT Pro"/>
        <w:color w:val="0D0D0D" w:themeColor="text1" w:themeTint="F2"/>
      </w:rPr>
      <w:t xml:space="preserve">APPENDIX B: SOLUTIONS SUMMARY </w:t>
    </w:r>
    <w:r w:rsidR="0073429B">
      <w:rPr>
        <w:rStyle w:val="IntenseReference"/>
        <w:rFonts w:eastAsia="Avenir Next LT Pro" w:cs="Avenir Next LT Pro"/>
        <w:color w:val="0D0D0D" w:themeColor="text1" w:themeTint="F2"/>
      </w:rPr>
      <w:t>FORMAT</w:t>
    </w:r>
    <w:r w:rsidR="005E7AA6">
      <w:rPr>
        <w:rStyle w:val="IntenseReference"/>
        <w:rFonts w:eastAsia="Avenir Next LT Pro" w:cs="Avenir Next LT Pro"/>
        <w:color w:val="0D0D0D" w:themeColor="text1" w:themeTint="F2"/>
      </w:rPr>
      <w:t xml:space="preserve"> AND INSTRUCTIONS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66745"/>
    <w:multiLevelType w:val="multilevel"/>
    <w:tmpl w:val="3AC6282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64CACC"/>
    <w:multiLevelType w:val="hybridMultilevel"/>
    <w:tmpl w:val="1B84ED52"/>
    <w:lvl w:ilvl="0" w:tplc="22A45F64">
      <w:start w:val="1"/>
      <w:numFmt w:val="bullet"/>
      <w:lvlText w:val=""/>
      <w:lvlJc w:val="left"/>
      <w:pPr>
        <w:ind w:left="720" w:hanging="360"/>
      </w:pPr>
      <w:rPr>
        <w:rFonts w:ascii="Wingdings" w:hAnsi="Wingdings" w:hint="default"/>
      </w:rPr>
    </w:lvl>
    <w:lvl w:ilvl="1" w:tplc="16E4A310">
      <w:start w:val="1"/>
      <w:numFmt w:val="bullet"/>
      <w:lvlText w:val="o"/>
      <w:lvlJc w:val="left"/>
      <w:pPr>
        <w:ind w:left="1440" w:hanging="360"/>
      </w:pPr>
      <w:rPr>
        <w:rFonts w:ascii="Courier New" w:hAnsi="Courier New" w:hint="default"/>
      </w:rPr>
    </w:lvl>
    <w:lvl w:ilvl="2" w:tplc="2C2E2620">
      <w:start w:val="1"/>
      <w:numFmt w:val="bullet"/>
      <w:lvlText w:val=""/>
      <w:lvlJc w:val="left"/>
      <w:pPr>
        <w:ind w:left="2160" w:hanging="360"/>
      </w:pPr>
      <w:rPr>
        <w:rFonts w:ascii="Wingdings" w:hAnsi="Wingdings" w:hint="default"/>
      </w:rPr>
    </w:lvl>
    <w:lvl w:ilvl="3" w:tplc="0332DEC2">
      <w:start w:val="1"/>
      <w:numFmt w:val="bullet"/>
      <w:lvlText w:val=""/>
      <w:lvlJc w:val="left"/>
      <w:pPr>
        <w:ind w:left="2880" w:hanging="360"/>
      </w:pPr>
      <w:rPr>
        <w:rFonts w:ascii="Symbol" w:hAnsi="Symbol" w:hint="default"/>
      </w:rPr>
    </w:lvl>
    <w:lvl w:ilvl="4" w:tplc="70642270">
      <w:start w:val="1"/>
      <w:numFmt w:val="bullet"/>
      <w:lvlText w:val="o"/>
      <w:lvlJc w:val="left"/>
      <w:pPr>
        <w:ind w:left="3600" w:hanging="360"/>
      </w:pPr>
      <w:rPr>
        <w:rFonts w:ascii="Courier New" w:hAnsi="Courier New" w:hint="default"/>
      </w:rPr>
    </w:lvl>
    <w:lvl w:ilvl="5" w:tplc="6880871A">
      <w:start w:val="1"/>
      <w:numFmt w:val="bullet"/>
      <w:lvlText w:val=""/>
      <w:lvlJc w:val="left"/>
      <w:pPr>
        <w:ind w:left="4320" w:hanging="360"/>
      </w:pPr>
      <w:rPr>
        <w:rFonts w:ascii="Wingdings" w:hAnsi="Wingdings" w:hint="default"/>
      </w:rPr>
    </w:lvl>
    <w:lvl w:ilvl="6" w:tplc="848C8A1A">
      <w:start w:val="1"/>
      <w:numFmt w:val="bullet"/>
      <w:lvlText w:val=""/>
      <w:lvlJc w:val="left"/>
      <w:pPr>
        <w:ind w:left="5040" w:hanging="360"/>
      </w:pPr>
      <w:rPr>
        <w:rFonts w:ascii="Symbol" w:hAnsi="Symbol" w:hint="default"/>
      </w:rPr>
    </w:lvl>
    <w:lvl w:ilvl="7" w:tplc="B374D6DC">
      <w:start w:val="1"/>
      <w:numFmt w:val="bullet"/>
      <w:lvlText w:val="o"/>
      <w:lvlJc w:val="left"/>
      <w:pPr>
        <w:ind w:left="5760" w:hanging="360"/>
      </w:pPr>
      <w:rPr>
        <w:rFonts w:ascii="Courier New" w:hAnsi="Courier New" w:hint="default"/>
      </w:rPr>
    </w:lvl>
    <w:lvl w:ilvl="8" w:tplc="73748232">
      <w:start w:val="1"/>
      <w:numFmt w:val="bullet"/>
      <w:lvlText w:val=""/>
      <w:lvlJc w:val="left"/>
      <w:pPr>
        <w:ind w:left="6480" w:hanging="360"/>
      </w:pPr>
      <w:rPr>
        <w:rFonts w:ascii="Wingdings" w:hAnsi="Wingdings" w:hint="default"/>
      </w:rPr>
    </w:lvl>
  </w:abstractNum>
  <w:abstractNum w:abstractNumId="2" w15:restartNumberingAfterBreak="0">
    <w:nsid w:val="1929568C"/>
    <w:multiLevelType w:val="hybridMultilevel"/>
    <w:tmpl w:val="AC0AA0F8"/>
    <w:lvl w:ilvl="0" w:tplc="CD70C6B8">
      <w:start w:val="4"/>
      <w:numFmt w:val="decimal"/>
      <w:lvlText w:val="%1."/>
      <w:lvlJc w:val="left"/>
      <w:pPr>
        <w:ind w:left="720" w:hanging="360"/>
      </w:pPr>
    </w:lvl>
    <w:lvl w:ilvl="1" w:tplc="FDA2F902">
      <w:start w:val="1"/>
      <w:numFmt w:val="lowerLetter"/>
      <w:lvlText w:val="%2."/>
      <w:lvlJc w:val="left"/>
      <w:pPr>
        <w:ind w:left="1440" w:hanging="360"/>
      </w:pPr>
    </w:lvl>
    <w:lvl w:ilvl="2" w:tplc="57A81E88">
      <w:start w:val="1"/>
      <w:numFmt w:val="lowerRoman"/>
      <w:lvlText w:val="%3."/>
      <w:lvlJc w:val="right"/>
      <w:pPr>
        <w:ind w:left="2160" w:hanging="180"/>
      </w:pPr>
    </w:lvl>
    <w:lvl w:ilvl="3" w:tplc="967EFD4C">
      <w:start w:val="1"/>
      <w:numFmt w:val="decimal"/>
      <w:lvlText w:val="%4."/>
      <w:lvlJc w:val="left"/>
      <w:pPr>
        <w:ind w:left="2880" w:hanging="360"/>
      </w:pPr>
    </w:lvl>
    <w:lvl w:ilvl="4" w:tplc="DD1892D6">
      <w:start w:val="1"/>
      <w:numFmt w:val="lowerLetter"/>
      <w:lvlText w:val="%5."/>
      <w:lvlJc w:val="left"/>
      <w:pPr>
        <w:ind w:left="3600" w:hanging="360"/>
      </w:pPr>
    </w:lvl>
    <w:lvl w:ilvl="5" w:tplc="AC6A0BC8">
      <w:start w:val="1"/>
      <w:numFmt w:val="lowerRoman"/>
      <w:lvlText w:val="%6."/>
      <w:lvlJc w:val="right"/>
      <w:pPr>
        <w:ind w:left="4320" w:hanging="180"/>
      </w:pPr>
    </w:lvl>
    <w:lvl w:ilvl="6" w:tplc="51AE0A7C">
      <w:start w:val="1"/>
      <w:numFmt w:val="decimal"/>
      <w:lvlText w:val="%7."/>
      <w:lvlJc w:val="left"/>
      <w:pPr>
        <w:ind w:left="5040" w:hanging="360"/>
      </w:pPr>
    </w:lvl>
    <w:lvl w:ilvl="7" w:tplc="8772CB52">
      <w:start w:val="1"/>
      <w:numFmt w:val="lowerLetter"/>
      <w:lvlText w:val="%8."/>
      <w:lvlJc w:val="left"/>
      <w:pPr>
        <w:ind w:left="5760" w:hanging="360"/>
      </w:pPr>
    </w:lvl>
    <w:lvl w:ilvl="8" w:tplc="C7D25D3C">
      <w:start w:val="1"/>
      <w:numFmt w:val="lowerRoman"/>
      <w:lvlText w:val="%9."/>
      <w:lvlJc w:val="right"/>
      <w:pPr>
        <w:ind w:left="6480" w:hanging="180"/>
      </w:pPr>
    </w:lvl>
  </w:abstractNum>
  <w:abstractNum w:abstractNumId="3" w15:restartNumberingAfterBreak="0">
    <w:nsid w:val="1BB12B18"/>
    <w:multiLevelType w:val="hybridMultilevel"/>
    <w:tmpl w:val="3E780CB8"/>
    <w:lvl w:ilvl="0" w:tplc="34CCDC18">
      <w:start w:val="1"/>
      <w:numFmt w:val="bullet"/>
      <w:lvlText w:val="·"/>
      <w:lvlJc w:val="left"/>
      <w:pPr>
        <w:ind w:left="720" w:hanging="360"/>
      </w:pPr>
      <w:rPr>
        <w:rFonts w:ascii="Symbol" w:hAnsi="Symbol" w:hint="default"/>
      </w:rPr>
    </w:lvl>
    <w:lvl w:ilvl="1" w:tplc="06DC7ADC">
      <w:start w:val="1"/>
      <w:numFmt w:val="bullet"/>
      <w:lvlText w:val="o"/>
      <w:lvlJc w:val="left"/>
      <w:pPr>
        <w:ind w:left="1440" w:hanging="360"/>
      </w:pPr>
      <w:rPr>
        <w:rFonts w:ascii="Courier New" w:hAnsi="Courier New" w:hint="default"/>
      </w:rPr>
    </w:lvl>
    <w:lvl w:ilvl="2" w:tplc="D11CA4B0">
      <w:start w:val="1"/>
      <w:numFmt w:val="bullet"/>
      <w:lvlText w:val=""/>
      <w:lvlJc w:val="left"/>
      <w:pPr>
        <w:ind w:left="2160" w:hanging="360"/>
      </w:pPr>
      <w:rPr>
        <w:rFonts w:ascii="Wingdings" w:hAnsi="Wingdings" w:hint="default"/>
      </w:rPr>
    </w:lvl>
    <w:lvl w:ilvl="3" w:tplc="7E1C9FC0">
      <w:start w:val="1"/>
      <w:numFmt w:val="bullet"/>
      <w:lvlText w:val=""/>
      <w:lvlJc w:val="left"/>
      <w:pPr>
        <w:ind w:left="2880" w:hanging="360"/>
      </w:pPr>
      <w:rPr>
        <w:rFonts w:ascii="Symbol" w:hAnsi="Symbol" w:hint="default"/>
      </w:rPr>
    </w:lvl>
    <w:lvl w:ilvl="4" w:tplc="F858F02E">
      <w:start w:val="1"/>
      <w:numFmt w:val="bullet"/>
      <w:lvlText w:val="o"/>
      <w:lvlJc w:val="left"/>
      <w:pPr>
        <w:ind w:left="3600" w:hanging="360"/>
      </w:pPr>
      <w:rPr>
        <w:rFonts w:ascii="Courier New" w:hAnsi="Courier New" w:hint="default"/>
      </w:rPr>
    </w:lvl>
    <w:lvl w:ilvl="5" w:tplc="B02C2CF8">
      <w:start w:val="1"/>
      <w:numFmt w:val="bullet"/>
      <w:lvlText w:val=""/>
      <w:lvlJc w:val="left"/>
      <w:pPr>
        <w:ind w:left="4320" w:hanging="360"/>
      </w:pPr>
      <w:rPr>
        <w:rFonts w:ascii="Wingdings" w:hAnsi="Wingdings" w:hint="default"/>
      </w:rPr>
    </w:lvl>
    <w:lvl w:ilvl="6" w:tplc="86D03DE4">
      <w:start w:val="1"/>
      <w:numFmt w:val="bullet"/>
      <w:lvlText w:val=""/>
      <w:lvlJc w:val="left"/>
      <w:pPr>
        <w:ind w:left="5040" w:hanging="360"/>
      </w:pPr>
      <w:rPr>
        <w:rFonts w:ascii="Symbol" w:hAnsi="Symbol" w:hint="default"/>
      </w:rPr>
    </w:lvl>
    <w:lvl w:ilvl="7" w:tplc="CE785C98">
      <w:start w:val="1"/>
      <w:numFmt w:val="bullet"/>
      <w:lvlText w:val="o"/>
      <w:lvlJc w:val="left"/>
      <w:pPr>
        <w:ind w:left="5760" w:hanging="360"/>
      </w:pPr>
      <w:rPr>
        <w:rFonts w:ascii="Courier New" w:hAnsi="Courier New" w:hint="default"/>
      </w:rPr>
    </w:lvl>
    <w:lvl w:ilvl="8" w:tplc="AFFA96C8">
      <w:start w:val="1"/>
      <w:numFmt w:val="bullet"/>
      <w:lvlText w:val=""/>
      <w:lvlJc w:val="left"/>
      <w:pPr>
        <w:ind w:left="6480" w:hanging="360"/>
      </w:pPr>
      <w:rPr>
        <w:rFonts w:ascii="Wingdings" w:hAnsi="Wingdings" w:hint="default"/>
      </w:rPr>
    </w:lvl>
  </w:abstractNum>
  <w:abstractNum w:abstractNumId="4" w15:restartNumberingAfterBreak="0">
    <w:nsid w:val="32017E0D"/>
    <w:multiLevelType w:val="hybridMultilevel"/>
    <w:tmpl w:val="0D0E49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A834FE4"/>
    <w:multiLevelType w:val="hybridMultilevel"/>
    <w:tmpl w:val="55A88FC0"/>
    <w:lvl w:ilvl="0" w:tplc="525AAA1E">
      <w:start w:val="3"/>
      <w:numFmt w:val="decimal"/>
      <w:lvlText w:val="%1."/>
      <w:lvlJc w:val="left"/>
      <w:pPr>
        <w:ind w:left="720" w:hanging="360"/>
      </w:pPr>
    </w:lvl>
    <w:lvl w:ilvl="1" w:tplc="EF343692">
      <w:start w:val="1"/>
      <w:numFmt w:val="lowerLetter"/>
      <w:lvlText w:val="%2."/>
      <w:lvlJc w:val="left"/>
      <w:pPr>
        <w:ind w:left="1440" w:hanging="360"/>
      </w:pPr>
    </w:lvl>
    <w:lvl w:ilvl="2" w:tplc="C6E26096">
      <w:start w:val="1"/>
      <w:numFmt w:val="lowerRoman"/>
      <w:lvlText w:val="%3."/>
      <w:lvlJc w:val="right"/>
      <w:pPr>
        <w:ind w:left="2160" w:hanging="180"/>
      </w:pPr>
    </w:lvl>
    <w:lvl w:ilvl="3" w:tplc="F0CED0DE">
      <w:start w:val="1"/>
      <w:numFmt w:val="decimal"/>
      <w:lvlText w:val="%4."/>
      <w:lvlJc w:val="left"/>
      <w:pPr>
        <w:ind w:left="2880" w:hanging="360"/>
      </w:pPr>
    </w:lvl>
    <w:lvl w:ilvl="4" w:tplc="5DCE4300">
      <w:start w:val="1"/>
      <w:numFmt w:val="lowerLetter"/>
      <w:lvlText w:val="%5."/>
      <w:lvlJc w:val="left"/>
      <w:pPr>
        <w:ind w:left="3600" w:hanging="360"/>
      </w:pPr>
    </w:lvl>
    <w:lvl w:ilvl="5" w:tplc="A2D2EA1A">
      <w:start w:val="1"/>
      <w:numFmt w:val="lowerRoman"/>
      <w:lvlText w:val="%6."/>
      <w:lvlJc w:val="right"/>
      <w:pPr>
        <w:ind w:left="4320" w:hanging="180"/>
      </w:pPr>
    </w:lvl>
    <w:lvl w:ilvl="6" w:tplc="AF221656">
      <w:start w:val="1"/>
      <w:numFmt w:val="decimal"/>
      <w:lvlText w:val="%7."/>
      <w:lvlJc w:val="left"/>
      <w:pPr>
        <w:ind w:left="5040" w:hanging="360"/>
      </w:pPr>
    </w:lvl>
    <w:lvl w:ilvl="7" w:tplc="641E38D4">
      <w:start w:val="1"/>
      <w:numFmt w:val="lowerLetter"/>
      <w:lvlText w:val="%8."/>
      <w:lvlJc w:val="left"/>
      <w:pPr>
        <w:ind w:left="5760" w:hanging="360"/>
      </w:pPr>
    </w:lvl>
    <w:lvl w:ilvl="8" w:tplc="90F0EAE4">
      <w:start w:val="1"/>
      <w:numFmt w:val="lowerRoman"/>
      <w:lvlText w:val="%9."/>
      <w:lvlJc w:val="right"/>
      <w:pPr>
        <w:ind w:left="6480" w:hanging="180"/>
      </w:pPr>
    </w:lvl>
  </w:abstractNum>
  <w:abstractNum w:abstractNumId="6" w15:restartNumberingAfterBreak="0">
    <w:nsid w:val="4386C0EA"/>
    <w:multiLevelType w:val="hybridMultilevel"/>
    <w:tmpl w:val="49F6E19A"/>
    <w:lvl w:ilvl="0" w:tplc="577A5D6A">
      <w:start w:val="1"/>
      <w:numFmt w:val="bullet"/>
      <w:lvlText w:val="·"/>
      <w:lvlJc w:val="left"/>
      <w:pPr>
        <w:ind w:left="-360" w:hanging="360"/>
      </w:pPr>
      <w:rPr>
        <w:rFonts w:ascii="Symbol" w:hAnsi="Symbol" w:hint="default"/>
      </w:rPr>
    </w:lvl>
    <w:lvl w:ilvl="1" w:tplc="3E92E4D0">
      <w:start w:val="1"/>
      <w:numFmt w:val="bullet"/>
      <w:lvlText w:val="o"/>
      <w:lvlJc w:val="left"/>
      <w:pPr>
        <w:ind w:left="360" w:hanging="360"/>
      </w:pPr>
      <w:rPr>
        <w:rFonts w:ascii="Courier New" w:hAnsi="Courier New" w:hint="default"/>
      </w:rPr>
    </w:lvl>
    <w:lvl w:ilvl="2" w:tplc="BC78BB02">
      <w:start w:val="1"/>
      <w:numFmt w:val="bullet"/>
      <w:lvlText w:val=""/>
      <w:lvlJc w:val="left"/>
      <w:pPr>
        <w:ind w:left="1080" w:hanging="360"/>
      </w:pPr>
      <w:rPr>
        <w:rFonts w:ascii="Wingdings" w:hAnsi="Wingdings" w:hint="default"/>
      </w:rPr>
    </w:lvl>
    <w:lvl w:ilvl="3" w:tplc="D65076BC">
      <w:start w:val="1"/>
      <w:numFmt w:val="bullet"/>
      <w:lvlText w:val=""/>
      <w:lvlJc w:val="left"/>
      <w:pPr>
        <w:ind w:left="1800" w:hanging="360"/>
      </w:pPr>
      <w:rPr>
        <w:rFonts w:ascii="Symbol" w:hAnsi="Symbol" w:hint="default"/>
      </w:rPr>
    </w:lvl>
    <w:lvl w:ilvl="4" w:tplc="65528C3A">
      <w:start w:val="1"/>
      <w:numFmt w:val="bullet"/>
      <w:lvlText w:val="o"/>
      <w:lvlJc w:val="left"/>
      <w:pPr>
        <w:ind w:left="2520" w:hanging="360"/>
      </w:pPr>
      <w:rPr>
        <w:rFonts w:ascii="Courier New" w:hAnsi="Courier New" w:hint="default"/>
      </w:rPr>
    </w:lvl>
    <w:lvl w:ilvl="5" w:tplc="FD08CAD4">
      <w:start w:val="1"/>
      <w:numFmt w:val="bullet"/>
      <w:lvlText w:val=""/>
      <w:lvlJc w:val="left"/>
      <w:pPr>
        <w:ind w:left="3240" w:hanging="360"/>
      </w:pPr>
      <w:rPr>
        <w:rFonts w:ascii="Wingdings" w:hAnsi="Wingdings" w:hint="default"/>
      </w:rPr>
    </w:lvl>
    <w:lvl w:ilvl="6" w:tplc="B7249842">
      <w:start w:val="1"/>
      <w:numFmt w:val="bullet"/>
      <w:lvlText w:val=""/>
      <w:lvlJc w:val="left"/>
      <w:pPr>
        <w:ind w:left="3960" w:hanging="360"/>
      </w:pPr>
      <w:rPr>
        <w:rFonts w:ascii="Symbol" w:hAnsi="Symbol" w:hint="default"/>
      </w:rPr>
    </w:lvl>
    <w:lvl w:ilvl="7" w:tplc="C86A20CA">
      <w:start w:val="1"/>
      <w:numFmt w:val="bullet"/>
      <w:lvlText w:val="o"/>
      <w:lvlJc w:val="left"/>
      <w:pPr>
        <w:ind w:left="4680" w:hanging="360"/>
      </w:pPr>
      <w:rPr>
        <w:rFonts w:ascii="Courier New" w:hAnsi="Courier New" w:hint="default"/>
      </w:rPr>
    </w:lvl>
    <w:lvl w:ilvl="8" w:tplc="6BE488DC">
      <w:start w:val="1"/>
      <w:numFmt w:val="bullet"/>
      <w:lvlText w:val=""/>
      <w:lvlJc w:val="left"/>
      <w:pPr>
        <w:ind w:left="5400" w:hanging="360"/>
      </w:pPr>
      <w:rPr>
        <w:rFonts w:ascii="Wingdings" w:hAnsi="Wingdings" w:hint="default"/>
      </w:rPr>
    </w:lvl>
  </w:abstractNum>
  <w:abstractNum w:abstractNumId="7" w15:restartNumberingAfterBreak="0">
    <w:nsid w:val="4F0D77C8"/>
    <w:multiLevelType w:val="hybridMultilevel"/>
    <w:tmpl w:val="EC9A5B9E"/>
    <w:lvl w:ilvl="0" w:tplc="D4069DF0">
      <w:start w:val="4"/>
      <w:numFmt w:val="decimal"/>
      <w:lvlText w:val="%1.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02D6CFB"/>
    <w:multiLevelType w:val="hybridMultilevel"/>
    <w:tmpl w:val="E280E5B0"/>
    <w:lvl w:ilvl="0" w:tplc="4BF091E0">
      <w:start w:val="1"/>
      <w:numFmt w:val="bullet"/>
      <w:lvlText w:val=""/>
      <w:lvlJc w:val="left"/>
      <w:pPr>
        <w:ind w:left="720" w:hanging="360"/>
      </w:pPr>
      <w:rPr>
        <w:rFonts w:ascii="Wingdings" w:hAnsi="Wingdings" w:hint="default"/>
      </w:rPr>
    </w:lvl>
    <w:lvl w:ilvl="1" w:tplc="DCE60CC0">
      <w:start w:val="1"/>
      <w:numFmt w:val="bullet"/>
      <w:lvlText w:val="o"/>
      <w:lvlJc w:val="left"/>
      <w:pPr>
        <w:ind w:left="1440" w:hanging="360"/>
      </w:pPr>
      <w:rPr>
        <w:rFonts w:ascii="Courier New" w:hAnsi="Courier New" w:hint="default"/>
      </w:rPr>
    </w:lvl>
    <w:lvl w:ilvl="2" w:tplc="A434F760">
      <w:start w:val="1"/>
      <w:numFmt w:val="bullet"/>
      <w:lvlText w:val=""/>
      <w:lvlJc w:val="left"/>
      <w:pPr>
        <w:ind w:left="2160" w:hanging="360"/>
      </w:pPr>
      <w:rPr>
        <w:rFonts w:ascii="Wingdings" w:hAnsi="Wingdings" w:hint="default"/>
      </w:rPr>
    </w:lvl>
    <w:lvl w:ilvl="3" w:tplc="C6D8F166">
      <w:start w:val="1"/>
      <w:numFmt w:val="bullet"/>
      <w:lvlText w:val=""/>
      <w:lvlJc w:val="left"/>
      <w:pPr>
        <w:ind w:left="2880" w:hanging="360"/>
      </w:pPr>
      <w:rPr>
        <w:rFonts w:ascii="Symbol" w:hAnsi="Symbol" w:hint="default"/>
      </w:rPr>
    </w:lvl>
    <w:lvl w:ilvl="4" w:tplc="971211C2">
      <w:start w:val="1"/>
      <w:numFmt w:val="bullet"/>
      <w:lvlText w:val="o"/>
      <w:lvlJc w:val="left"/>
      <w:pPr>
        <w:ind w:left="3600" w:hanging="360"/>
      </w:pPr>
      <w:rPr>
        <w:rFonts w:ascii="Courier New" w:hAnsi="Courier New" w:hint="default"/>
      </w:rPr>
    </w:lvl>
    <w:lvl w:ilvl="5" w:tplc="C6C4FAEC">
      <w:start w:val="1"/>
      <w:numFmt w:val="bullet"/>
      <w:lvlText w:val=""/>
      <w:lvlJc w:val="left"/>
      <w:pPr>
        <w:ind w:left="4320" w:hanging="360"/>
      </w:pPr>
      <w:rPr>
        <w:rFonts w:ascii="Wingdings" w:hAnsi="Wingdings" w:hint="default"/>
      </w:rPr>
    </w:lvl>
    <w:lvl w:ilvl="6" w:tplc="B2D4EB6C">
      <w:start w:val="1"/>
      <w:numFmt w:val="bullet"/>
      <w:lvlText w:val=""/>
      <w:lvlJc w:val="left"/>
      <w:pPr>
        <w:ind w:left="5040" w:hanging="360"/>
      </w:pPr>
      <w:rPr>
        <w:rFonts w:ascii="Symbol" w:hAnsi="Symbol" w:hint="default"/>
      </w:rPr>
    </w:lvl>
    <w:lvl w:ilvl="7" w:tplc="48789F64">
      <w:start w:val="1"/>
      <w:numFmt w:val="bullet"/>
      <w:lvlText w:val="o"/>
      <w:lvlJc w:val="left"/>
      <w:pPr>
        <w:ind w:left="5760" w:hanging="360"/>
      </w:pPr>
      <w:rPr>
        <w:rFonts w:ascii="Courier New" w:hAnsi="Courier New" w:hint="default"/>
      </w:rPr>
    </w:lvl>
    <w:lvl w:ilvl="8" w:tplc="61BCCB4A">
      <w:start w:val="1"/>
      <w:numFmt w:val="bullet"/>
      <w:lvlText w:val=""/>
      <w:lvlJc w:val="left"/>
      <w:pPr>
        <w:ind w:left="6480" w:hanging="360"/>
      </w:pPr>
      <w:rPr>
        <w:rFonts w:ascii="Wingdings" w:hAnsi="Wingdings" w:hint="default"/>
      </w:rPr>
    </w:lvl>
  </w:abstractNum>
  <w:abstractNum w:abstractNumId="9" w15:restartNumberingAfterBreak="0">
    <w:nsid w:val="7021629A"/>
    <w:multiLevelType w:val="hybridMultilevel"/>
    <w:tmpl w:val="EB4420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3AA7F57"/>
    <w:multiLevelType w:val="multilevel"/>
    <w:tmpl w:val="F9E6B73A"/>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upperRoman"/>
      <w:lvlText w:val="%1.%2.%3"/>
      <w:lvlJc w:val="left"/>
      <w:pPr>
        <w:ind w:left="1080" w:hanging="108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764354FF"/>
    <w:multiLevelType w:val="hybridMultilevel"/>
    <w:tmpl w:val="C29C729C"/>
    <w:lvl w:ilvl="0" w:tplc="59081CFC">
      <w:start w:val="1"/>
      <w:numFmt w:val="decimal"/>
      <w:lvlText w:val="%1."/>
      <w:lvlJc w:val="left"/>
      <w:pPr>
        <w:ind w:left="720" w:hanging="360"/>
      </w:pPr>
    </w:lvl>
    <w:lvl w:ilvl="1" w:tplc="61A6BA0C">
      <w:start w:val="1"/>
      <w:numFmt w:val="lowerLetter"/>
      <w:lvlText w:val="%2."/>
      <w:lvlJc w:val="left"/>
      <w:pPr>
        <w:ind w:left="1440" w:hanging="360"/>
      </w:pPr>
    </w:lvl>
    <w:lvl w:ilvl="2" w:tplc="F7062576">
      <w:start w:val="1"/>
      <w:numFmt w:val="lowerRoman"/>
      <w:lvlText w:val="%3."/>
      <w:lvlJc w:val="right"/>
      <w:pPr>
        <w:ind w:left="2160" w:hanging="180"/>
      </w:pPr>
    </w:lvl>
    <w:lvl w:ilvl="3" w:tplc="A83800A2">
      <w:start w:val="1"/>
      <w:numFmt w:val="decimal"/>
      <w:lvlText w:val="%4."/>
      <w:lvlJc w:val="left"/>
      <w:pPr>
        <w:ind w:left="2880" w:hanging="360"/>
      </w:pPr>
    </w:lvl>
    <w:lvl w:ilvl="4" w:tplc="8D78CBDE">
      <w:start w:val="1"/>
      <w:numFmt w:val="lowerLetter"/>
      <w:lvlText w:val="%5."/>
      <w:lvlJc w:val="left"/>
      <w:pPr>
        <w:ind w:left="3600" w:hanging="360"/>
      </w:pPr>
    </w:lvl>
    <w:lvl w:ilvl="5" w:tplc="A6E62E34">
      <w:start w:val="1"/>
      <w:numFmt w:val="lowerRoman"/>
      <w:lvlText w:val="%6."/>
      <w:lvlJc w:val="right"/>
      <w:pPr>
        <w:ind w:left="4320" w:hanging="180"/>
      </w:pPr>
    </w:lvl>
    <w:lvl w:ilvl="6" w:tplc="0B02B450">
      <w:start w:val="1"/>
      <w:numFmt w:val="decimal"/>
      <w:lvlText w:val="%7."/>
      <w:lvlJc w:val="left"/>
      <w:pPr>
        <w:ind w:left="5040" w:hanging="360"/>
      </w:pPr>
    </w:lvl>
    <w:lvl w:ilvl="7" w:tplc="0088CFF4">
      <w:start w:val="1"/>
      <w:numFmt w:val="lowerLetter"/>
      <w:lvlText w:val="%8."/>
      <w:lvlJc w:val="left"/>
      <w:pPr>
        <w:ind w:left="5760" w:hanging="360"/>
      </w:pPr>
    </w:lvl>
    <w:lvl w:ilvl="8" w:tplc="3A82E6FA">
      <w:start w:val="1"/>
      <w:numFmt w:val="lowerRoman"/>
      <w:lvlText w:val="%9."/>
      <w:lvlJc w:val="right"/>
      <w:pPr>
        <w:ind w:left="6480" w:hanging="180"/>
      </w:pPr>
    </w:lvl>
  </w:abstractNum>
  <w:abstractNum w:abstractNumId="12" w15:restartNumberingAfterBreak="0">
    <w:nsid w:val="76E341DF"/>
    <w:multiLevelType w:val="multilevel"/>
    <w:tmpl w:val="B97662FC"/>
    <w:lvl w:ilvl="0">
      <w:start w:val="5"/>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upperRoman"/>
      <w:lvlText w:val="%1.%2.%3"/>
      <w:lvlJc w:val="left"/>
      <w:pPr>
        <w:ind w:left="2520" w:hanging="108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7E4D914E"/>
    <w:multiLevelType w:val="hybridMultilevel"/>
    <w:tmpl w:val="AC8E56C2"/>
    <w:lvl w:ilvl="0" w:tplc="EAE04240">
      <w:start w:val="1"/>
      <w:numFmt w:val="decimal"/>
      <w:lvlText w:val="%1."/>
      <w:lvlJc w:val="left"/>
      <w:pPr>
        <w:ind w:left="720" w:hanging="360"/>
      </w:pPr>
      <w:rPr>
        <w:b/>
        <w:bCs/>
        <w:color w:val="auto"/>
      </w:rPr>
    </w:lvl>
    <w:lvl w:ilvl="1" w:tplc="D4069DF0">
      <w:start w:val="4"/>
      <w:numFmt w:val="decimal"/>
      <w:lvlText w:val="%2.1"/>
      <w:lvlJc w:val="left"/>
      <w:pPr>
        <w:ind w:left="1440" w:hanging="360"/>
      </w:pPr>
      <w:rPr>
        <w:rFonts w:hint="default"/>
      </w:rPr>
    </w:lvl>
    <w:lvl w:ilvl="2" w:tplc="AD88EBCA">
      <w:start w:val="1"/>
      <w:numFmt w:val="lowerRoman"/>
      <w:lvlText w:val="%3."/>
      <w:lvlJc w:val="right"/>
      <w:pPr>
        <w:ind w:left="2160" w:hanging="180"/>
      </w:pPr>
    </w:lvl>
    <w:lvl w:ilvl="3" w:tplc="4F98FEBE">
      <w:start w:val="1"/>
      <w:numFmt w:val="decimal"/>
      <w:lvlText w:val="%4."/>
      <w:lvlJc w:val="left"/>
      <w:pPr>
        <w:ind w:left="2880" w:hanging="360"/>
      </w:pPr>
    </w:lvl>
    <w:lvl w:ilvl="4" w:tplc="45F8D154">
      <w:start w:val="1"/>
      <w:numFmt w:val="lowerLetter"/>
      <w:lvlText w:val="%5."/>
      <w:lvlJc w:val="left"/>
      <w:pPr>
        <w:ind w:left="3600" w:hanging="360"/>
      </w:pPr>
    </w:lvl>
    <w:lvl w:ilvl="5" w:tplc="2AE01842">
      <w:start w:val="1"/>
      <w:numFmt w:val="lowerRoman"/>
      <w:lvlText w:val="%6."/>
      <w:lvlJc w:val="right"/>
      <w:pPr>
        <w:ind w:left="4320" w:hanging="180"/>
      </w:pPr>
    </w:lvl>
    <w:lvl w:ilvl="6" w:tplc="040A35B0">
      <w:start w:val="1"/>
      <w:numFmt w:val="decimal"/>
      <w:lvlText w:val="%7."/>
      <w:lvlJc w:val="left"/>
      <w:pPr>
        <w:ind w:left="5040" w:hanging="360"/>
      </w:pPr>
    </w:lvl>
    <w:lvl w:ilvl="7" w:tplc="FBC65ECA">
      <w:start w:val="1"/>
      <w:numFmt w:val="lowerLetter"/>
      <w:lvlText w:val="%8."/>
      <w:lvlJc w:val="left"/>
      <w:pPr>
        <w:ind w:left="5760" w:hanging="360"/>
      </w:pPr>
    </w:lvl>
    <w:lvl w:ilvl="8" w:tplc="EA3EF734">
      <w:start w:val="1"/>
      <w:numFmt w:val="lowerRoman"/>
      <w:lvlText w:val="%9."/>
      <w:lvlJc w:val="right"/>
      <w:pPr>
        <w:ind w:left="6480" w:hanging="180"/>
      </w:pPr>
    </w:lvl>
  </w:abstractNum>
  <w:abstractNum w:abstractNumId="14" w15:restartNumberingAfterBreak="0">
    <w:nsid w:val="7F75B561"/>
    <w:multiLevelType w:val="hybridMultilevel"/>
    <w:tmpl w:val="D32AA48C"/>
    <w:lvl w:ilvl="0" w:tplc="3E9E9F8C">
      <w:start w:val="1"/>
      <w:numFmt w:val="decimal"/>
      <w:lvlText w:val="%1."/>
      <w:lvlJc w:val="left"/>
      <w:pPr>
        <w:ind w:left="720" w:hanging="360"/>
      </w:pPr>
    </w:lvl>
    <w:lvl w:ilvl="1" w:tplc="46463A82">
      <w:start w:val="5"/>
      <w:numFmt w:val="decimal"/>
      <w:lvlText w:val="%2.1"/>
      <w:lvlJc w:val="left"/>
      <w:pPr>
        <w:ind w:left="1440" w:hanging="360"/>
      </w:pPr>
    </w:lvl>
    <w:lvl w:ilvl="2" w:tplc="F0882E38">
      <w:start w:val="1"/>
      <w:numFmt w:val="lowerRoman"/>
      <w:lvlText w:val="%3."/>
      <w:lvlJc w:val="right"/>
      <w:pPr>
        <w:ind w:left="2160" w:hanging="180"/>
      </w:pPr>
    </w:lvl>
    <w:lvl w:ilvl="3" w:tplc="A266D498">
      <w:start w:val="1"/>
      <w:numFmt w:val="decimal"/>
      <w:lvlText w:val="%4."/>
      <w:lvlJc w:val="left"/>
      <w:pPr>
        <w:ind w:left="2880" w:hanging="360"/>
      </w:pPr>
    </w:lvl>
    <w:lvl w:ilvl="4" w:tplc="592C4C2C">
      <w:start w:val="1"/>
      <w:numFmt w:val="lowerLetter"/>
      <w:lvlText w:val="%5."/>
      <w:lvlJc w:val="left"/>
      <w:pPr>
        <w:ind w:left="3600" w:hanging="360"/>
      </w:pPr>
    </w:lvl>
    <w:lvl w:ilvl="5" w:tplc="99BE89A8">
      <w:start w:val="1"/>
      <w:numFmt w:val="lowerRoman"/>
      <w:lvlText w:val="%6."/>
      <w:lvlJc w:val="right"/>
      <w:pPr>
        <w:ind w:left="4320" w:hanging="180"/>
      </w:pPr>
    </w:lvl>
    <w:lvl w:ilvl="6" w:tplc="731A17B6">
      <w:start w:val="1"/>
      <w:numFmt w:val="decimal"/>
      <w:lvlText w:val="%7."/>
      <w:lvlJc w:val="left"/>
      <w:pPr>
        <w:ind w:left="5040" w:hanging="360"/>
      </w:pPr>
    </w:lvl>
    <w:lvl w:ilvl="7" w:tplc="252672BA">
      <w:start w:val="1"/>
      <w:numFmt w:val="lowerLetter"/>
      <w:lvlText w:val="%8."/>
      <w:lvlJc w:val="left"/>
      <w:pPr>
        <w:ind w:left="5760" w:hanging="360"/>
      </w:pPr>
    </w:lvl>
    <w:lvl w:ilvl="8" w:tplc="DDEC5F7C">
      <w:start w:val="1"/>
      <w:numFmt w:val="lowerRoman"/>
      <w:lvlText w:val="%9."/>
      <w:lvlJc w:val="right"/>
      <w:pPr>
        <w:ind w:left="6480" w:hanging="180"/>
      </w:pPr>
    </w:lvl>
  </w:abstractNum>
  <w:num w:numId="1" w16cid:durableId="247613481">
    <w:abstractNumId w:val="14"/>
  </w:num>
  <w:num w:numId="2" w16cid:durableId="1243567467">
    <w:abstractNumId w:val="2"/>
  </w:num>
  <w:num w:numId="3" w16cid:durableId="1087919529">
    <w:abstractNumId w:val="3"/>
  </w:num>
  <w:num w:numId="4" w16cid:durableId="616374204">
    <w:abstractNumId w:val="5"/>
  </w:num>
  <w:num w:numId="5" w16cid:durableId="448669973">
    <w:abstractNumId w:val="6"/>
  </w:num>
  <w:num w:numId="6" w16cid:durableId="1647658462">
    <w:abstractNumId w:val="13"/>
  </w:num>
  <w:num w:numId="7" w16cid:durableId="603077898">
    <w:abstractNumId w:val="11"/>
  </w:num>
  <w:num w:numId="8" w16cid:durableId="1138182677">
    <w:abstractNumId w:val="8"/>
  </w:num>
  <w:num w:numId="9" w16cid:durableId="1229263272">
    <w:abstractNumId w:val="1"/>
  </w:num>
  <w:num w:numId="10" w16cid:durableId="546601470">
    <w:abstractNumId w:val="7"/>
  </w:num>
  <w:num w:numId="11" w16cid:durableId="1477844128">
    <w:abstractNumId w:val="10"/>
  </w:num>
  <w:num w:numId="12" w16cid:durableId="1947344650">
    <w:abstractNumId w:val="12"/>
  </w:num>
  <w:num w:numId="13" w16cid:durableId="522940889">
    <w:abstractNumId w:val="9"/>
  </w:num>
  <w:num w:numId="14" w16cid:durableId="1238369871">
    <w:abstractNumId w:val="4"/>
  </w:num>
  <w:num w:numId="15" w16cid:durableId="1671986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021"/>
    <w:rsid w:val="00000C3D"/>
    <w:rsid w:val="00003DFB"/>
    <w:rsid w:val="0002294F"/>
    <w:rsid w:val="00076F36"/>
    <w:rsid w:val="00081838"/>
    <w:rsid w:val="000903C8"/>
    <w:rsid w:val="000B32FB"/>
    <w:rsid w:val="000B7FC0"/>
    <w:rsid w:val="000C64CD"/>
    <w:rsid w:val="000F06A8"/>
    <w:rsid w:val="000F7B7D"/>
    <w:rsid w:val="00103F7C"/>
    <w:rsid w:val="0011045E"/>
    <w:rsid w:val="0011290E"/>
    <w:rsid w:val="0014716F"/>
    <w:rsid w:val="00150063"/>
    <w:rsid w:val="0015013C"/>
    <w:rsid w:val="001536D8"/>
    <w:rsid w:val="00155160"/>
    <w:rsid w:val="00162B1C"/>
    <w:rsid w:val="00166D94"/>
    <w:rsid w:val="00181009"/>
    <w:rsid w:val="001952F2"/>
    <w:rsid w:val="001A33B3"/>
    <w:rsid w:val="001B1468"/>
    <w:rsid w:val="001B524B"/>
    <w:rsid w:val="001B7FF7"/>
    <w:rsid w:val="001E5F09"/>
    <w:rsid w:val="002000E6"/>
    <w:rsid w:val="00210F54"/>
    <w:rsid w:val="00217B04"/>
    <w:rsid w:val="002466DB"/>
    <w:rsid w:val="00251505"/>
    <w:rsid w:val="0026609F"/>
    <w:rsid w:val="00274354"/>
    <w:rsid w:val="002829D3"/>
    <w:rsid w:val="00283B37"/>
    <w:rsid w:val="00283D27"/>
    <w:rsid w:val="002847CE"/>
    <w:rsid w:val="0028797B"/>
    <w:rsid w:val="0029463B"/>
    <w:rsid w:val="002C432B"/>
    <w:rsid w:val="002C46CD"/>
    <w:rsid w:val="002D0C9C"/>
    <w:rsid w:val="002D13C8"/>
    <w:rsid w:val="002E3AD9"/>
    <w:rsid w:val="002E68D7"/>
    <w:rsid w:val="002F2698"/>
    <w:rsid w:val="002F5687"/>
    <w:rsid w:val="00303021"/>
    <w:rsid w:val="0031007A"/>
    <w:rsid w:val="003149F4"/>
    <w:rsid w:val="00321DBF"/>
    <w:rsid w:val="00333979"/>
    <w:rsid w:val="00362A98"/>
    <w:rsid w:val="00364DCD"/>
    <w:rsid w:val="003779A4"/>
    <w:rsid w:val="003949C2"/>
    <w:rsid w:val="003A328E"/>
    <w:rsid w:val="003C2E7A"/>
    <w:rsid w:val="003F0DB6"/>
    <w:rsid w:val="003F5443"/>
    <w:rsid w:val="0041235D"/>
    <w:rsid w:val="004129E7"/>
    <w:rsid w:val="00433156"/>
    <w:rsid w:val="0045029D"/>
    <w:rsid w:val="004611F9"/>
    <w:rsid w:val="0046694C"/>
    <w:rsid w:val="0047482F"/>
    <w:rsid w:val="00475DC7"/>
    <w:rsid w:val="00477076"/>
    <w:rsid w:val="004A0738"/>
    <w:rsid w:val="004A0F5F"/>
    <w:rsid w:val="004A52EB"/>
    <w:rsid w:val="004B662E"/>
    <w:rsid w:val="004F34B2"/>
    <w:rsid w:val="004F601B"/>
    <w:rsid w:val="00502794"/>
    <w:rsid w:val="0050508E"/>
    <w:rsid w:val="00520018"/>
    <w:rsid w:val="00526D5F"/>
    <w:rsid w:val="005354A2"/>
    <w:rsid w:val="005444A2"/>
    <w:rsid w:val="005773F5"/>
    <w:rsid w:val="00582723"/>
    <w:rsid w:val="00591504"/>
    <w:rsid w:val="005A259D"/>
    <w:rsid w:val="005A25A6"/>
    <w:rsid w:val="005D2607"/>
    <w:rsid w:val="005D2FA7"/>
    <w:rsid w:val="005D3386"/>
    <w:rsid w:val="005E7AA6"/>
    <w:rsid w:val="006145E3"/>
    <w:rsid w:val="0061665E"/>
    <w:rsid w:val="0063713F"/>
    <w:rsid w:val="0064440E"/>
    <w:rsid w:val="0066652C"/>
    <w:rsid w:val="00671D19"/>
    <w:rsid w:val="006759D4"/>
    <w:rsid w:val="00685603"/>
    <w:rsid w:val="00691B46"/>
    <w:rsid w:val="006A52C2"/>
    <w:rsid w:val="006C6B4A"/>
    <w:rsid w:val="006F060A"/>
    <w:rsid w:val="006F4E15"/>
    <w:rsid w:val="00727EC6"/>
    <w:rsid w:val="0073429B"/>
    <w:rsid w:val="00734CDA"/>
    <w:rsid w:val="007426B0"/>
    <w:rsid w:val="007763AF"/>
    <w:rsid w:val="007954EE"/>
    <w:rsid w:val="007B0F72"/>
    <w:rsid w:val="007B4FF1"/>
    <w:rsid w:val="007C0731"/>
    <w:rsid w:val="007D1277"/>
    <w:rsid w:val="0081597A"/>
    <w:rsid w:val="0083170A"/>
    <w:rsid w:val="00837B58"/>
    <w:rsid w:val="00854EF4"/>
    <w:rsid w:val="0086620E"/>
    <w:rsid w:val="008761D1"/>
    <w:rsid w:val="008A4774"/>
    <w:rsid w:val="008B33C6"/>
    <w:rsid w:val="008C1789"/>
    <w:rsid w:val="008C5CCE"/>
    <w:rsid w:val="008F40DF"/>
    <w:rsid w:val="00900857"/>
    <w:rsid w:val="00900D50"/>
    <w:rsid w:val="00946C1B"/>
    <w:rsid w:val="009574C4"/>
    <w:rsid w:val="009662E6"/>
    <w:rsid w:val="00974C13"/>
    <w:rsid w:val="00990EAD"/>
    <w:rsid w:val="00992C3C"/>
    <w:rsid w:val="009A7306"/>
    <w:rsid w:val="009B3231"/>
    <w:rsid w:val="009B7793"/>
    <w:rsid w:val="009C591A"/>
    <w:rsid w:val="009C5D02"/>
    <w:rsid w:val="009D42B0"/>
    <w:rsid w:val="009D65A3"/>
    <w:rsid w:val="009E3F6A"/>
    <w:rsid w:val="009F291E"/>
    <w:rsid w:val="009F5AFC"/>
    <w:rsid w:val="00A12A61"/>
    <w:rsid w:val="00A26134"/>
    <w:rsid w:val="00A408F2"/>
    <w:rsid w:val="00A43BD2"/>
    <w:rsid w:val="00A51FE5"/>
    <w:rsid w:val="00A62B4F"/>
    <w:rsid w:val="00A920D1"/>
    <w:rsid w:val="00AA36FB"/>
    <w:rsid w:val="00AB03B1"/>
    <w:rsid w:val="00AC6053"/>
    <w:rsid w:val="00AC7B8D"/>
    <w:rsid w:val="00AE3953"/>
    <w:rsid w:val="00B01BB2"/>
    <w:rsid w:val="00B12E05"/>
    <w:rsid w:val="00B158EB"/>
    <w:rsid w:val="00B171D9"/>
    <w:rsid w:val="00B5089C"/>
    <w:rsid w:val="00B61414"/>
    <w:rsid w:val="00B61921"/>
    <w:rsid w:val="00B67481"/>
    <w:rsid w:val="00B71C89"/>
    <w:rsid w:val="00BA1740"/>
    <w:rsid w:val="00BA7784"/>
    <w:rsid w:val="00BB4641"/>
    <w:rsid w:val="00BB5A6D"/>
    <w:rsid w:val="00BC4E46"/>
    <w:rsid w:val="00BF2BB9"/>
    <w:rsid w:val="00C05D91"/>
    <w:rsid w:val="00C17C29"/>
    <w:rsid w:val="00C22AC6"/>
    <w:rsid w:val="00C2603F"/>
    <w:rsid w:val="00C60174"/>
    <w:rsid w:val="00C63F5D"/>
    <w:rsid w:val="00C67A58"/>
    <w:rsid w:val="00C72EA1"/>
    <w:rsid w:val="00C7393E"/>
    <w:rsid w:val="00C751D8"/>
    <w:rsid w:val="00C77A44"/>
    <w:rsid w:val="00CA0B0E"/>
    <w:rsid w:val="00CA3EF6"/>
    <w:rsid w:val="00CC1F4B"/>
    <w:rsid w:val="00CC2345"/>
    <w:rsid w:val="00CE0E41"/>
    <w:rsid w:val="00CE5119"/>
    <w:rsid w:val="00CF3F71"/>
    <w:rsid w:val="00D23C09"/>
    <w:rsid w:val="00D24D87"/>
    <w:rsid w:val="00D41AF3"/>
    <w:rsid w:val="00D53EAC"/>
    <w:rsid w:val="00D62826"/>
    <w:rsid w:val="00D773BF"/>
    <w:rsid w:val="00D97DD7"/>
    <w:rsid w:val="00DA330A"/>
    <w:rsid w:val="00DB1919"/>
    <w:rsid w:val="00DC34CD"/>
    <w:rsid w:val="00DC6962"/>
    <w:rsid w:val="00DE754C"/>
    <w:rsid w:val="00DF5E67"/>
    <w:rsid w:val="00E23C15"/>
    <w:rsid w:val="00E24C0F"/>
    <w:rsid w:val="00E379DE"/>
    <w:rsid w:val="00E52EC9"/>
    <w:rsid w:val="00E73150"/>
    <w:rsid w:val="00E75D31"/>
    <w:rsid w:val="00E8581B"/>
    <w:rsid w:val="00EA75C5"/>
    <w:rsid w:val="00EC4873"/>
    <w:rsid w:val="00EF392B"/>
    <w:rsid w:val="00F10746"/>
    <w:rsid w:val="00F33438"/>
    <w:rsid w:val="00F34E6A"/>
    <w:rsid w:val="00F47438"/>
    <w:rsid w:val="00F7119A"/>
    <w:rsid w:val="00FB1A11"/>
    <w:rsid w:val="00FB7254"/>
    <w:rsid w:val="00FC27BA"/>
    <w:rsid w:val="00FC5AB5"/>
    <w:rsid w:val="00FC6A69"/>
    <w:rsid w:val="00FE512F"/>
    <w:rsid w:val="00FF0485"/>
    <w:rsid w:val="00FF3311"/>
    <w:rsid w:val="00FF38A7"/>
    <w:rsid w:val="00FF4D00"/>
    <w:rsid w:val="00FF5F23"/>
    <w:rsid w:val="020A800C"/>
    <w:rsid w:val="032FF8E4"/>
    <w:rsid w:val="035948A4"/>
    <w:rsid w:val="0417EECA"/>
    <w:rsid w:val="052A1B8F"/>
    <w:rsid w:val="072A229C"/>
    <w:rsid w:val="07614E60"/>
    <w:rsid w:val="08DBB09E"/>
    <w:rsid w:val="09C432AB"/>
    <w:rsid w:val="09C7E490"/>
    <w:rsid w:val="0AC6E391"/>
    <w:rsid w:val="0CAD6731"/>
    <w:rsid w:val="0D6CE15E"/>
    <w:rsid w:val="0F40CB2B"/>
    <w:rsid w:val="11A44081"/>
    <w:rsid w:val="130A1B4E"/>
    <w:rsid w:val="1FD61586"/>
    <w:rsid w:val="203D518A"/>
    <w:rsid w:val="2235CFC6"/>
    <w:rsid w:val="24D90396"/>
    <w:rsid w:val="24E063F0"/>
    <w:rsid w:val="24E3122E"/>
    <w:rsid w:val="26D647B3"/>
    <w:rsid w:val="27D4DFF8"/>
    <w:rsid w:val="28A71CC3"/>
    <w:rsid w:val="2AAE1DFF"/>
    <w:rsid w:val="2CA8A482"/>
    <w:rsid w:val="2E122A55"/>
    <w:rsid w:val="2F182E7E"/>
    <w:rsid w:val="32439EBC"/>
    <w:rsid w:val="325A037D"/>
    <w:rsid w:val="325AD4CD"/>
    <w:rsid w:val="33183C1A"/>
    <w:rsid w:val="33A91079"/>
    <w:rsid w:val="33E14A24"/>
    <w:rsid w:val="3427032E"/>
    <w:rsid w:val="3489BCA8"/>
    <w:rsid w:val="35765A31"/>
    <w:rsid w:val="369511D1"/>
    <w:rsid w:val="36B85EC7"/>
    <w:rsid w:val="37D8C8AD"/>
    <w:rsid w:val="384C691B"/>
    <w:rsid w:val="39DDD3D9"/>
    <w:rsid w:val="3ADA4E75"/>
    <w:rsid w:val="3C6CFEC6"/>
    <w:rsid w:val="3CF1F5D4"/>
    <w:rsid w:val="3EC5FF62"/>
    <w:rsid w:val="3F844566"/>
    <w:rsid w:val="437CACE7"/>
    <w:rsid w:val="44583612"/>
    <w:rsid w:val="4972A667"/>
    <w:rsid w:val="497D0707"/>
    <w:rsid w:val="4A62705F"/>
    <w:rsid w:val="4B401285"/>
    <w:rsid w:val="4B96D966"/>
    <w:rsid w:val="4BC16B71"/>
    <w:rsid w:val="4C550F78"/>
    <w:rsid w:val="4CBF6679"/>
    <w:rsid w:val="4DB13C6A"/>
    <w:rsid w:val="4DD3A162"/>
    <w:rsid w:val="4E394AFB"/>
    <w:rsid w:val="4F1B5432"/>
    <w:rsid w:val="4F710BA2"/>
    <w:rsid w:val="507B3E3B"/>
    <w:rsid w:val="50D7FC3D"/>
    <w:rsid w:val="5163BDF1"/>
    <w:rsid w:val="5182D0BB"/>
    <w:rsid w:val="5308911A"/>
    <w:rsid w:val="53D3AD98"/>
    <w:rsid w:val="5431CFC0"/>
    <w:rsid w:val="545546A4"/>
    <w:rsid w:val="54A4FC1C"/>
    <w:rsid w:val="559BA02B"/>
    <w:rsid w:val="562D71B7"/>
    <w:rsid w:val="57F38174"/>
    <w:rsid w:val="58BEC7AC"/>
    <w:rsid w:val="5A810783"/>
    <w:rsid w:val="5B686F9A"/>
    <w:rsid w:val="5B7148DD"/>
    <w:rsid w:val="5E9C190E"/>
    <w:rsid w:val="5FBA8273"/>
    <w:rsid w:val="5FE8985C"/>
    <w:rsid w:val="618F1019"/>
    <w:rsid w:val="624DFD0B"/>
    <w:rsid w:val="6421E6F0"/>
    <w:rsid w:val="655F81D7"/>
    <w:rsid w:val="66DAB50E"/>
    <w:rsid w:val="6937CADC"/>
    <w:rsid w:val="69CCEAB4"/>
    <w:rsid w:val="6AEEF2BE"/>
    <w:rsid w:val="706C0C8C"/>
    <w:rsid w:val="70C49AE0"/>
    <w:rsid w:val="7428A90C"/>
    <w:rsid w:val="754FB90E"/>
    <w:rsid w:val="75721532"/>
    <w:rsid w:val="760CEB8D"/>
    <w:rsid w:val="76E73149"/>
    <w:rsid w:val="778057B8"/>
    <w:rsid w:val="78DBFBD1"/>
    <w:rsid w:val="78E81A92"/>
    <w:rsid w:val="78FA0A9D"/>
    <w:rsid w:val="7AD8EE40"/>
    <w:rsid w:val="7B86876E"/>
    <w:rsid w:val="7EDA816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C7D63"/>
  <w15:chartTrackingRefBased/>
  <w15:docId w15:val="{8162DFE6-E5EB-455A-87D7-3E3B6321A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3713F"/>
    <w:pPr>
      <w:widowControl w:val="0"/>
      <w:autoSpaceDE w:val="0"/>
      <w:autoSpaceDN w:val="0"/>
      <w:spacing w:after="0" w:line="240" w:lineRule="auto"/>
    </w:pPr>
    <w:rPr>
      <w:rFonts w:ascii="Avenir Next LT Pro Light" w:eastAsia="Times New Roman" w:hAnsi="Avenir Next LT Pro Light" w:cs="Times New Roman"/>
      <w:kern w:val="0"/>
      <w:sz w:val="22"/>
      <w:szCs w:val="22"/>
    </w:rPr>
  </w:style>
  <w:style w:type="paragraph" w:styleId="Heading1">
    <w:name w:val="heading 1"/>
    <w:basedOn w:val="Normal"/>
    <w:next w:val="Normal"/>
    <w:link w:val="Heading1Char"/>
    <w:uiPriority w:val="9"/>
    <w:qFormat/>
    <w:rsid w:val="003030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30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30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30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30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302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302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302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302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0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30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30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30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30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30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0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0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021"/>
    <w:rPr>
      <w:rFonts w:eastAsiaTheme="majorEastAsia" w:cstheme="majorBidi"/>
      <w:color w:val="272727" w:themeColor="text1" w:themeTint="D8"/>
    </w:rPr>
  </w:style>
  <w:style w:type="paragraph" w:styleId="Title">
    <w:name w:val="Title"/>
    <w:basedOn w:val="Normal"/>
    <w:next w:val="Normal"/>
    <w:link w:val="TitleChar"/>
    <w:uiPriority w:val="10"/>
    <w:qFormat/>
    <w:rsid w:val="0030302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30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0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0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3021"/>
    <w:pPr>
      <w:spacing w:before="160"/>
      <w:jc w:val="center"/>
    </w:pPr>
    <w:rPr>
      <w:i/>
      <w:iCs/>
      <w:color w:val="404040" w:themeColor="text1" w:themeTint="BF"/>
    </w:rPr>
  </w:style>
  <w:style w:type="character" w:customStyle="1" w:styleId="QuoteChar">
    <w:name w:val="Quote Char"/>
    <w:basedOn w:val="DefaultParagraphFont"/>
    <w:link w:val="Quote"/>
    <w:uiPriority w:val="29"/>
    <w:rsid w:val="00303021"/>
    <w:rPr>
      <w:i/>
      <w:iCs/>
      <w:color w:val="404040" w:themeColor="text1" w:themeTint="BF"/>
    </w:rPr>
  </w:style>
  <w:style w:type="paragraph" w:styleId="ListParagraph">
    <w:name w:val="List Paragraph"/>
    <w:basedOn w:val="Normal"/>
    <w:link w:val="ListParagraphChar"/>
    <w:uiPriority w:val="34"/>
    <w:qFormat/>
    <w:rsid w:val="00303021"/>
    <w:pPr>
      <w:ind w:left="720"/>
      <w:contextualSpacing/>
    </w:pPr>
  </w:style>
  <w:style w:type="character" w:styleId="IntenseEmphasis">
    <w:name w:val="Intense Emphasis"/>
    <w:basedOn w:val="DefaultParagraphFont"/>
    <w:uiPriority w:val="21"/>
    <w:qFormat/>
    <w:rsid w:val="00303021"/>
    <w:rPr>
      <w:i/>
      <w:iCs/>
      <w:color w:val="0F4761" w:themeColor="accent1" w:themeShade="BF"/>
    </w:rPr>
  </w:style>
  <w:style w:type="paragraph" w:styleId="IntenseQuote">
    <w:name w:val="Intense Quote"/>
    <w:basedOn w:val="Normal"/>
    <w:next w:val="Normal"/>
    <w:link w:val="IntenseQuoteChar"/>
    <w:uiPriority w:val="30"/>
    <w:qFormat/>
    <w:rsid w:val="003030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3021"/>
    <w:rPr>
      <w:i/>
      <w:iCs/>
      <w:color w:val="0F4761" w:themeColor="accent1" w:themeShade="BF"/>
    </w:rPr>
  </w:style>
  <w:style w:type="character" w:styleId="IntenseReference">
    <w:name w:val="Intense Reference"/>
    <w:basedOn w:val="DefaultParagraphFont"/>
    <w:uiPriority w:val="32"/>
    <w:qFormat/>
    <w:rsid w:val="00303021"/>
    <w:rPr>
      <w:b/>
      <w:bCs/>
      <w:smallCaps/>
      <w:color w:val="0F4761" w:themeColor="accent1" w:themeShade="BF"/>
      <w:spacing w:val="5"/>
    </w:rPr>
  </w:style>
  <w:style w:type="paragraph" w:styleId="BodyText">
    <w:name w:val="Body Text"/>
    <w:basedOn w:val="Normal"/>
    <w:link w:val="BodyTextChar"/>
    <w:uiPriority w:val="99"/>
    <w:qFormat/>
    <w:rsid w:val="00303021"/>
    <w:rPr>
      <w:sz w:val="24"/>
      <w:szCs w:val="24"/>
    </w:rPr>
  </w:style>
  <w:style w:type="character" w:customStyle="1" w:styleId="BodyTextChar">
    <w:name w:val="Body Text Char"/>
    <w:basedOn w:val="DefaultParagraphFont"/>
    <w:link w:val="BodyText"/>
    <w:uiPriority w:val="99"/>
    <w:rsid w:val="00303021"/>
    <w:rPr>
      <w:rFonts w:ascii="Times New Roman" w:eastAsia="Times New Roman" w:hAnsi="Times New Roman" w:cs="Times New Roman"/>
      <w:kern w:val="0"/>
    </w:rPr>
  </w:style>
  <w:style w:type="paragraph" w:styleId="Header">
    <w:name w:val="header"/>
    <w:basedOn w:val="Normal"/>
    <w:link w:val="HeaderChar"/>
    <w:uiPriority w:val="99"/>
    <w:unhideWhenUsed/>
    <w:rsid w:val="00303021"/>
    <w:pPr>
      <w:tabs>
        <w:tab w:val="center" w:pos="4680"/>
        <w:tab w:val="right" w:pos="9360"/>
      </w:tabs>
    </w:pPr>
  </w:style>
  <w:style w:type="character" w:customStyle="1" w:styleId="HeaderChar">
    <w:name w:val="Header Char"/>
    <w:basedOn w:val="DefaultParagraphFont"/>
    <w:link w:val="Header"/>
    <w:uiPriority w:val="99"/>
    <w:rsid w:val="00303021"/>
    <w:rPr>
      <w:rFonts w:ascii="Times New Roman" w:eastAsia="Times New Roman" w:hAnsi="Times New Roman" w:cs="Times New Roman"/>
      <w:kern w:val="0"/>
      <w:sz w:val="22"/>
      <w:szCs w:val="22"/>
    </w:rPr>
  </w:style>
  <w:style w:type="paragraph" w:styleId="Footer">
    <w:name w:val="footer"/>
    <w:basedOn w:val="Normal"/>
    <w:link w:val="FooterChar"/>
    <w:uiPriority w:val="99"/>
    <w:unhideWhenUsed/>
    <w:rsid w:val="00303021"/>
    <w:pPr>
      <w:tabs>
        <w:tab w:val="center" w:pos="4680"/>
        <w:tab w:val="right" w:pos="9360"/>
      </w:tabs>
    </w:pPr>
  </w:style>
  <w:style w:type="character" w:customStyle="1" w:styleId="FooterChar">
    <w:name w:val="Footer Char"/>
    <w:basedOn w:val="DefaultParagraphFont"/>
    <w:link w:val="Footer"/>
    <w:uiPriority w:val="99"/>
    <w:rsid w:val="00303021"/>
    <w:rPr>
      <w:rFonts w:ascii="Times New Roman" w:eastAsia="Times New Roman" w:hAnsi="Times New Roman" w:cs="Times New Roman"/>
      <w:kern w:val="0"/>
      <w:sz w:val="22"/>
      <w:szCs w:val="22"/>
    </w:rPr>
  </w:style>
  <w:style w:type="paragraph" w:styleId="NoSpacing">
    <w:name w:val="No Spacing"/>
    <w:link w:val="NoSpacingChar"/>
    <w:uiPriority w:val="1"/>
    <w:qFormat/>
    <w:rsid w:val="00303021"/>
    <w:pPr>
      <w:widowControl w:val="0"/>
      <w:autoSpaceDE w:val="0"/>
      <w:autoSpaceDN w:val="0"/>
      <w:spacing w:after="0" w:line="240" w:lineRule="auto"/>
    </w:pPr>
    <w:rPr>
      <w:rFonts w:ascii="Times New Roman" w:eastAsia="Times New Roman" w:hAnsi="Times New Roman" w:cs="Times New Roman"/>
      <w:kern w:val="0"/>
      <w:sz w:val="22"/>
      <w:szCs w:val="22"/>
    </w:rPr>
  </w:style>
  <w:style w:type="character" w:styleId="SubtleReference">
    <w:name w:val="Subtle Reference"/>
    <w:basedOn w:val="DefaultParagraphFont"/>
    <w:uiPriority w:val="31"/>
    <w:qFormat/>
    <w:rsid w:val="00303021"/>
    <w:rPr>
      <w:smallCaps/>
      <w:color w:val="5A5A5A" w:themeColor="text1" w:themeTint="A5"/>
    </w:rPr>
  </w:style>
  <w:style w:type="character" w:customStyle="1" w:styleId="StyleBold">
    <w:name w:val="Style Bold"/>
    <w:uiPriority w:val="1"/>
    <w:rsid w:val="00303021"/>
    <w:rPr>
      <w:b/>
      <w:bCs/>
    </w:rPr>
  </w:style>
  <w:style w:type="paragraph" w:customStyle="1" w:styleId="BodyText0">
    <w:name w:val="BodyText"/>
    <w:uiPriority w:val="1"/>
    <w:qFormat/>
    <w:rsid w:val="00303021"/>
    <w:pPr>
      <w:spacing w:after="120" w:line="240" w:lineRule="auto"/>
    </w:pPr>
    <w:rPr>
      <w:rFonts w:ascii="Calibri" w:eastAsia="Calibri" w:hAnsi="Calibri" w:cs="Times New Roman"/>
      <w:kern w:val="0"/>
      <w:szCs w:val="22"/>
    </w:rPr>
  </w:style>
  <w:style w:type="character" w:customStyle="1" w:styleId="ListParagraphChar">
    <w:name w:val="List Paragraph Char"/>
    <w:basedOn w:val="DefaultParagraphFont"/>
    <w:link w:val="ListParagraph"/>
    <w:uiPriority w:val="34"/>
    <w:rsid w:val="00303021"/>
  </w:style>
  <w:style w:type="table" w:styleId="TableGrid">
    <w:name w:val="Table Grid"/>
    <w:basedOn w:val="TableNormal"/>
    <w:uiPriority w:val="39"/>
    <w:rsid w:val="00303021"/>
    <w:pPr>
      <w:widowControl w:val="0"/>
      <w:autoSpaceDE w:val="0"/>
      <w:autoSpaceDN w:val="0"/>
      <w:spacing w:after="0" w:line="240" w:lineRule="auto"/>
    </w:pPr>
    <w:rPr>
      <w:kern w:val="0"/>
      <w:sz w:val="22"/>
      <w:szCs w:val="22"/>
    </w:rPr>
    <w:tblPr/>
  </w:style>
  <w:style w:type="character" w:customStyle="1" w:styleId="NoSpacingChar">
    <w:name w:val="No Spacing Char"/>
    <w:basedOn w:val="DefaultParagraphFont"/>
    <w:link w:val="NoSpacing"/>
    <w:uiPriority w:val="1"/>
    <w:rsid w:val="00303021"/>
    <w:rPr>
      <w:rFonts w:ascii="Times New Roman" w:eastAsia="Times New Roman" w:hAnsi="Times New Roman" w:cs="Times New Roman"/>
      <w:kern w:val="0"/>
      <w:sz w:val="22"/>
      <w:szCs w:val="22"/>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Times New Roman" w:eastAsia="Times New Roman" w:hAnsi="Times New Roman" w:cs="Times New Roman"/>
      <w:kern w:val="0"/>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7D1277"/>
    <w:pPr>
      <w:spacing w:after="0" w:line="240" w:lineRule="auto"/>
    </w:pPr>
    <w:rPr>
      <w:rFonts w:ascii="Times New Roman" w:eastAsia="Times New Roman" w:hAnsi="Times New Roman" w:cs="Times New Roman"/>
      <w:kern w:val="0"/>
      <w:sz w:val="22"/>
      <w:szCs w:val="22"/>
    </w:rPr>
  </w:style>
  <w:style w:type="paragraph" w:styleId="CommentSubject">
    <w:name w:val="annotation subject"/>
    <w:basedOn w:val="CommentText"/>
    <w:next w:val="CommentText"/>
    <w:link w:val="CommentSubjectChar"/>
    <w:uiPriority w:val="99"/>
    <w:semiHidden/>
    <w:unhideWhenUsed/>
    <w:rsid w:val="00166D94"/>
    <w:rPr>
      <w:b/>
      <w:bCs/>
    </w:rPr>
  </w:style>
  <w:style w:type="character" w:customStyle="1" w:styleId="CommentSubjectChar">
    <w:name w:val="Comment Subject Char"/>
    <w:basedOn w:val="CommentTextChar"/>
    <w:link w:val="CommentSubject"/>
    <w:uiPriority w:val="99"/>
    <w:semiHidden/>
    <w:rsid w:val="00166D94"/>
    <w:rPr>
      <w:rFonts w:ascii="Avenir Next LT Pro Light" w:eastAsia="Times New Roman" w:hAnsi="Avenir Next LT Pro Light" w:cs="Times New Roman"/>
      <w:b/>
      <w:bCs/>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comments" Target="comments.xml"/><Relationship Id="rId15" Type="http://schemas.microsoft.com/office/2011/relationships/commentsExtended" Target="commentsExtended.xml"/><Relationship Id="rId16" Type="http://schemas.microsoft.com/office/2016/09/relationships/commentsIds" Target="commentsIds.xml"/><Relationship Id="rId17"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a96d420-221f-4e9d-95ed-cff15f2d7ad9">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83A65023F1F564684F417E82C11F0F1" ma:contentTypeVersion="9" ma:contentTypeDescription="Create a new document." ma:contentTypeScope="" ma:versionID="2d820eddc1b016db5dfa0a7606512de2">
  <xsd:schema xmlns:xsd="http://www.w3.org/2001/XMLSchema" xmlns:xs="http://www.w3.org/2001/XMLSchema" xmlns:p="http://schemas.microsoft.com/office/2006/metadata/properties" xmlns:ns2="9a96d420-221f-4e9d-95ed-cff15f2d7ad9" targetNamespace="http://schemas.microsoft.com/office/2006/metadata/properties" ma:root="true" ma:fieldsID="1c98942b862c46ce3952345364283d3e" ns2:_="">
    <xsd:import namespace="9a96d420-221f-4e9d-95ed-cff15f2d7a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96d420-221f-4e9d-95ed-cff15f2d7a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ba3d992-a253-47c4-ad97-b3000a673b0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9521C5-903D-4F28-A9B2-B2CF48B70874}">
  <ds:schemaRefs>
    <ds:schemaRef ds:uri="http://schemas.microsoft.com/office/2006/metadata/properties"/>
    <ds:schemaRef ds:uri="http://schemas.microsoft.com/office/infopath/2007/PartnerControls"/>
    <ds:schemaRef ds:uri="9a96d420-221f-4e9d-95ed-cff15f2d7ad9"/>
  </ds:schemaRefs>
</ds:datastoreItem>
</file>

<file path=customXml/itemProps2.xml><?xml version="1.0" encoding="utf-8"?>
<ds:datastoreItem xmlns:ds="http://schemas.openxmlformats.org/officeDocument/2006/customXml" ds:itemID="{64165744-BA6F-427E-A518-013F783D0DCE}">
  <ds:schemaRefs>
    <ds:schemaRef ds:uri="http://schemas.microsoft.com/sharepoint/v3/contenttype/forms"/>
  </ds:schemaRefs>
</ds:datastoreItem>
</file>

<file path=customXml/itemProps3.xml><?xml version="1.0" encoding="utf-8"?>
<ds:datastoreItem xmlns:ds="http://schemas.openxmlformats.org/officeDocument/2006/customXml" ds:itemID="{C4775C55-3102-4898-9187-058255C8FE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96d420-221f-4e9d-95ed-cff15f2d7a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9403df3-4f99-429e-bcca-aef45d118c06}" enabled="1" method="Standard" siteId="{5685c435-011d-4ece-8236-5a545c0ff8a9}" removed="0"/>
</clbl:labelList>
</file>

<file path=docProps/app.xml><?xml version="1.0" encoding="utf-8"?>
<Properties xmlns="http://schemas.openxmlformats.org/officeDocument/2006/extended-properties" xmlns:vt="http://schemas.openxmlformats.org/officeDocument/2006/docPropsVTypes">
  <Template>Normal</Template>
  <TotalTime>3</TotalTime>
  <Pages>4</Pages>
  <Words>838</Words>
  <Characters>4922</Characters>
  <Application>Microsoft Office Word</Application>
  <DocSecurity>0</DocSecurity>
  <Lines>196</Lines>
  <Paragraphs>117</Paragraphs>
  <ScaleCrop>false</ScaleCrop>
  <Company/>
  <LinksUpToDate>false</LinksUpToDate>
  <CharactersWithSpaces>5643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Brodo, Catherine (ARPA-H)</dc:creator>
  <cp:keywords/>
  <dc:description/>
  <cp:lastModifiedBy>Latrice Lyles (ARPA-H) [CTR]</cp:lastModifiedBy>
  <cp:revision>113</cp:revision>
  <dcterms:created xsi:type="dcterms:W3CDTF">2025-11-11T04:41:00Z</dcterms:created>
  <dcterms:modified xsi:type="dcterms:W3CDTF">2026-05-21T12:26:00Z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0x010100E83A65023F1F564684F417E82C11F0F1</vt:lpwstr>
  </property>
  <property fmtid="{D5CDD505-2E9C-101B-9397-08002B2CF9AE}" pid="3" name="Order">
    <vt:r8>515000</vt:r8>
  </property>
  <property fmtid="{D5CDD505-2E9C-101B-9397-08002B2CF9AE}" pid="4" name="MediaServiceImageTags">
    <vt:lpwstr/>
  </property>
  <property fmtid="{D5CDD505-2E9C-101B-9397-08002B2CF9AE}" pid="5" name="docLang">
    <vt:lpwstr>en</vt:lpwstr>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