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b/>
          <w:bCs/>
          <w:color w:val="000000"/>
        </w:rPr>
      </w:pPr>
      <w:r>
        <w:rPr>
          <w:b/>
          <w:bCs/>
          <w:color w:val="000000"/>
        </w:rPr>
      </w:r>
    </w:p>
    <w:p>
      <w:pPr>
        <w:pStyle w:val="Normal"/>
        <w:jc w:val="start"/>
        <w:rPr>
          <w:smallCaps/>
          <w:color w:val="000000"/>
        </w:rPr>
      </w:pPr>
      <w:r>
        <w:rPr>
          <w:smallCaps/>
          <w:color w:val="000000"/>
        </w:rPr>
      </w:r>
    </w:p>
    <w:tbl>
      <w:tblPr>
        <w:tblW w:w="5000" w:type="pct"/>
        <w:jc w:val="start"/>
        <w:tblInd w:w="0" w:type="dxa"/>
        <w:tblLayout w:type="fixed"/>
        <w:tblCellMar>
          <w:top w:w="0" w:type="dxa"/>
          <w:start w:w="0" w:type="dxa"/>
          <w:bottom w:w="0" w:type="dxa"/>
          <w:end w:w="0" w:type="dxa"/>
        </w:tblCellMar>
        <w:tblLook w:val="04a0"/>
      </w:tblPr>
      <w:tblGrid>
        <w:gridCol w:w="4679"/>
        <w:gridCol w:w="4681"/>
      </w:tblGrid>
      <w:tr>
        <w:trPr/>
        <w:tc>
          <w:tcPr>
            <w:tcW w:w="4679" w:type="dxa"/>
            <w:tcBorders/>
          </w:tcPr>
          <w:p>
            <w:pPr>
              <w:pStyle w:val="Normal"/>
              <w:rPr>
                <w:b/>
                <w:bCs/>
              </w:rPr>
            </w:pPr>
            <w:r>
              <w:rPr>
                <w:b/>
                <w:bCs/>
              </w:rPr>
              <w:t>Innovative Solutions Opening Title</w:t>
            </w:r>
          </w:p>
        </w:tc>
        <w:tc>
          <w:tcPr>
            <w:tcW w:w="4681" w:type="dxa"/>
            <w:tcBorders/>
          </w:tcPr>
          <w:p>
            <w:pPr>
              <w:pStyle w:val="Normal"/>
              <w:rPr/>
            </w:pPr>
            <w:r>
              <w:rPr/>
              <w:t>ARPA-H-SOL-26-155 (Intelligent Generator of Research, IGoR), Proactive Health Office</w:t>
            </w:r>
          </w:p>
        </w:tc>
      </w:tr>
      <w:tr>
        <w:trPr/>
        <w:tc>
          <w:tcPr>
            <w:tcW w:w="4679" w:type="dxa"/>
            <w:tcBorders/>
          </w:tcPr>
          <w:p>
            <w:pPr>
              <w:pStyle w:val="Normal"/>
              <w:rPr>
                <w:b/>
                <w:bCs/>
              </w:rPr>
            </w:pPr>
            <w:r>
              <w:rPr>
                <w:b/>
                <w:bCs/>
              </w:rPr>
              <w:t>Solution Summary Title</w:t>
            </w:r>
          </w:p>
        </w:tc>
        <w:tc>
          <w:tcPr>
            <w:tcW w:w="4681" w:type="dxa"/>
            <w:tcBorders/>
          </w:tcPr>
          <w:p>
            <w:pPr>
              <w:pStyle w:val="Normal"/>
              <w:rPr/>
            </w:pPr>
            <w:r>
              <w:rPr/>
              <w:t>PsychIGoR: Intelligence Generation of Disease Mechanisms for Psychiatric Disorders</w:t>
            </w:r>
          </w:p>
          <w:p>
            <w:pPr>
              <w:pStyle w:val="Normal"/>
              <w:rPr/>
            </w:pPr>
            <w:r>
              <w:rPr/>
            </w:r>
          </w:p>
        </w:tc>
      </w:tr>
      <w:tr>
        <w:trPr/>
        <w:tc>
          <w:tcPr>
            <w:tcW w:w="4679" w:type="dxa"/>
            <w:tcBorders/>
          </w:tcPr>
          <w:p>
            <w:pPr>
              <w:pStyle w:val="Normal"/>
              <w:rPr>
                <w:b/>
                <w:bCs/>
              </w:rPr>
            </w:pPr>
            <w:r>
              <w:rPr>
                <w:b/>
                <w:bCs/>
              </w:rPr>
              <w:t>Prime Organization Name</w:t>
            </w:r>
          </w:p>
        </w:tc>
        <w:tc>
          <w:tcPr>
            <w:tcW w:w="4681" w:type="dxa"/>
            <w:tcBorders/>
          </w:tcPr>
          <w:p>
            <w:pPr>
              <w:pStyle w:val="Normal"/>
              <w:rPr/>
            </w:pPr>
            <w:r>
              <w:rPr/>
              <w:t>Institute for Physical AI (IPAI), Purdue University</w:t>
            </w:r>
          </w:p>
        </w:tc>
      </w:tr>
      <w:tr>
        <w:trPr/>
        <w:tc>
          <w:tcPr>
            <w:tcW w:w="4679" w:type="dxa"/>
            <w:tcBorders/>
          </w:tcPr>
          <w:p>
            <w:pPr>
              <w:pStyle w:val="Normal"/>
              <w:rPr>
                <w:b/>
                <w:bCs/>
              </w:rPr>
            </w:pPr>
            <w:r>
              <w:rPr>
                <w:b/>
                <w:bCs/>
              </w:rPr>
              <w:t>Prime Organization Type</w:t>
            </w:r>
          </w:p>
        </w:tc>
        <w:tc>
          <w:tcPr>
            <w:tcW w:w="4681" w:type="dxa"/>
            <w:tcBorders/>
          </w:tcPr>
          <w:p>
            <w:pPr>
              <w:pStyle w:val="Normal"/>
              <w:rPr/>
            </w:pPr>
            <w:r>
              <w:rPr/>
              <w:t xml:space="preserve">Choose all that apply: </w:t>
            </w:r>
          </w:p>
          <w:p>
            <w:pPr>
              <w:pStyle w:val="Normal"/>
              <w:rPr/>
            </w:pPr>
            <w:r>
              <w:rPr/>
              <w:t>☐ For-Profit  ☐ Non-profit  ☑ Academia</w:t>
            </w:r>
          </w:p>
        </w:tc>
      </w:tr>
      <w:tr>
        <w:trPr/>
        <w:tc>
          <w:tcPr>
            <w:tcW w:w="4679" w:type="dxa"/>
            <w:tcBorders/>
          </w:tcPr>
          <w:p>
            <w:pPr>
              <w:pStyle w:val="Normal"/>
              <w:rPr>
                <w:b/>
                <w:bCs/>
              </w:rPr>
            </w:pPr>
            <w:r>
              <w:rPr>
                <w:b/>
                <w:bCs/>
                <w:color w:val="000000"/>
              </w:rPr>
              <w:t>SAM.gov Universal Entity Identifier (UEI)</w:t>
            </w:r>
            <w:r>
              <w:rPr>
                <w:b/>
                <w:bCs/>
              </w:rPr>
              <w:t xml:space="preserve"> (If already registered, not required at Solution Summary stage)</w:t>
            </w:r>
          </w:p>
        </w:tc>
        <w:tc>
          <w:tcPr>
            <w:tcW w:w="4681" w:type="dxa"/>
            <w:tcBorders/>
          </w:tcPr>
          <w:p>
            <w:pPr>
              <w:pStyle w:val="Normal"/>
              <w:rPr/>
            </w:pPr>
            <w:r>
              <w:rPr/>
              <w:t>Not required at Solution Summary stage (prime UEI: Purdue University, to confirm)</w:t>
            </w:r>
          </w:p>
        </w:tc>
      </w:tr>
      <w:tr>
        <w:trPr/>
        <w:tc>
          <w:tcPr>
            <w:tcW w:w="4679" w:type="dxa"/>
            <w:tcBorders/>
          </w:tcPr>
          <w:p>
            <w:pPr>
              <w:pStyle w:val="Normal"/>
              <w:rPr>
                <w:b/>
                <w:bCs/>
              </w:rPr>
            </w:pPr>
            <w:r>
              <w:rPr>
                <w:b/>
                <w:bCs/>
              </w:rPr>
              <w:t>Contact Address - State</w:t>
            </w:r>
          </w:p>
        </w:tc>
        <w:tc>
          <w:tcPr>
            <w:tcW w:w="4681" w:type="dxa"/>
            <w:tcBorders/>
          </w:tcPr>
          <w:p>
            <w:pPr>
              <w:pStyle w:val="Normal"/>
              <w:rPr/>
            </w:pPr>
            <w:r>
              <w:rPr/>
              <w:t>Indiana</w:t>
            </w:r>
          </w:p>
        </w:tc>
      </w:tr>
      <w:tr>
        <w:trPr/>
        <w:tc>
          <w:tcPr>
            <w:tcW w:w="4679" w:type="dxa"/>
            <w:tcBorders/>
          </w:tcPr>
          <w:p>
            <w:pPr>
              <w:pStyle w:val="Normal"/>
              <w:rPr>
                <w:b/>
                <w:bCs/>
              </w:rPr>
            </w:pPr>
            <w:r>
              <w:rPr>
                <w:b/>
                <w:bCs/>
              </w:rPr>
              <w:t>Key Personnel/Staff</w:t>
            </w:r>
          </w:p>
        </w:tc>
        <w:tc>
          <w:tcPr>
            <w:tcW w:w="4681" w:type="dxa"/>
            <w:tcBorders/>
          </w:tcPr>
          <w:p>
            <w:pPr>
              <w:pStyle w:val="Normal"/>
              <w:rPr/>
            </w:pPr>
            <w:r>
              <w:rPr>
                <w:b/>
                <w:bCs/>
              </w:rPr>
              <w:t>Ananth Grama</w:t>
            </w:r>
            <w:r>
              <w:rPr/>
              <w:t xml:space="preserve"> -- Distinguished Professor of Computer Science / Director IPAI, Purdue University -- ayg@purdue.edu</w:t>
            </w:r>
          </w:p>
          <w:p>
            <w:pPr>
              <w:pStyle w:val="Normal"/>
              <w:rPr/>
            </w:pPr>
            <w:r>
              <w:rPr>
                <w:b/>
                <w:bCs/>
              </w:rPr>
              <w:t>Shahin Mohammadi</w:t>
            </w:r>
            <w:r>
              <w:rPr/>
              <w:t xml:space="preserve"> -- Founder and CEO, Cytognosis Foundation -- mohammadi@cytognosis.org</w:t>
            </w:r>
          </w:p>
          <w:p>
            <w:pPr>
              <w:pStyle w:val="Normal"/>
              <w:rPr/>
            </w:pPr>
            <w:r>
              <w:rPr>
                <w:b/>
                <w:bCs/>
              </w:rPr>
              <w:t>Matthew Tegtmeyer</w:t>
            </w:r>
            <w:r>
              <w:rPr/>
              <w:t xml:space="preserve"> -- Assistant Professor, Purdue University -- tegtmeyer@purdue.edu</w:t>
            </w:r>
          </w:p>
          <w:p>
            <w:pPr>
              <w:pStyle w:val="Normal"/>
              <w:rPr/>
            </w:pPr>
            <w:r>
              <w:rPr>
                <w:b/>
                <w:bCs/>
              </w:rPr>
              <w:t>Anne Carpenter</w:t>
            </w:r>
            <w:r>
              <w:rPr/>
              <w:t xml:space="preserve"> -- Institute Scientist / Senior Director of Imaging Platform, Broad Institute -- anne@broadinstitute.org</w:t>
            </w:r>
          </w:p>
          <w:p>
            <w:pPr>
              <w:pStyle w:val="Normal"/>
              <w:rPr/>
            </w:pPr>
            <w:r>
              <w:rPr>
                <w:b/>
                <w:bCs/>
              </w:rPr>
              <w:t>W. Brad Ruzicka</w:t>
            </w:r>
            <w:r>
              <w:rPr/>
              <w:t xml:space="preserve"> -- Assistant Professor of Psychiatry, HMS / McLean Hospital -- wruzicka@mclean.harvard.edu</w:t>
            </w:r>
          </w:p>
          <w:p>
            <w:pPr>
              <w:pStyle w:val="Normal"/>
              <w:rPr/>
            </w:pPr>
            <w:r>
              <w:rPr>
                <w:b/>
                <w:bCs/>
              </w:rPr>
              <w:t>Daniel Bryce</w:t>
            </w:r>
            <w:r>
              <w:rPr/>
              <w:t xml:space="preserve"> -- Fellow, SIFT -- dbryce@sift.net</w:t>
            </w:r>
          </w:p>
        </w:tc>
      </w:tr>
      <w:tr>
        <w:trPr/>
        <w:tc>
          <w:tcPr>
            <w:tcW w:w="4679" w:type="dxa"/>
            <w:tcBorders/>
          </w:tcPr>
          <w:p>
            <w:pPr>
              <w:pStyle w:val="Normal"/>
              <w:rPr>
                <w:b/>
                <w:bCs/>
              </w:rPr>
            </w:pPr>
            <w:r>
              <w:rPr>
                <w:b/>
                <w:bCs/>
              </w:rPr>
              <w:t>Prime Technical Point of Contact (POC)</w:t>
            </w:r>
          </w:p>
        </w:tc>
        <w:tc>
          <w:tcPr>
            <w:tcW w:w="4681" w:type="dxa"/>
            <w:tcBorders/>
          </w:tcPr>
          <w:p>
            <w:pPr>
              <w:pStyle w:val="Normal"/>
              <w:rPr/>
            </w:pPr>
            <w:r>
              <w:rPr/>
              <w:t>Name: Ananth Grama</w:t>
            </w:r>
          </w:p>
          <w:p>
            <w:pPr>
              <w:pStyle w:val="Normal"/>
              <w:rPr/>
            </w:pPr>
            <w:r>
              <w:rPr/>
              <w:t>Mailing Address: IPAI, Purdue University, West Lafayette, IN 47907</w:t>
            </w:r>
          </w:p>
          <w:p>
            <w:pPr>
              <w:pStyle w:val="Normal"/>
              <w:rPr/>
            </w:pPr>
            <w:r>
              <w:rPr/>
              <w:t>Email: ayg@purdue.edu</w:t>
            </w:r>
          </w:p>
        </w:tc>
      </w:tr>
      <w:tr>
        <w:trPr/>
        <w:tc>
          <w:tcPr>
            <w:tcW w:w="4679" w:type="dxa"/>
            <w:tcBorders/>
          </w:tcPr>
          <w:p>
            <w:pPr>
              <w:pStyle w:val="Normal"/>
              <w:rPr>
                <w:b/>
                <w:bCs/>
              </w:rPr>
            </w:pPr>
            <w:r>
              <w:rPr>
                <w:b/>
                <w:bCs/>
              </w:rPr>
              <w:t>Prime Administrative POC</w:t>
            </w:r>
          </w:p>
        </w:tc>
        <w:tc>
          <w:tcPr>
            <w:tcW w:w="4681" w:type="dxa"/>
            <w:tcBorders/>
          </w:tcPr>
          <w:p>
            <w:pPr>
              <w:pStyle w:val="Normal"/>
              <w:rPr/>
            </w:pPr>
            <w:r>
              <w:rPr/>
              <w:t>Name: Tabitha M. Cinowski, Operations Manager</w:t>
            </w:r>
          </w:p>
          <w:p>
            <w:pPr>
              <w:pStyle w:val="Normal"/>
              <w:rPr/>
            </w:pPr>
            <w:r>
              <w:rPr/>
              <w:t>Mailing Address: IPAI, Purdue University, West Lafayette, IN 47907</w:t>
            </w:r>
          </w:p>
          <w:p>
            <w:pPr>
              <w:pStyle w:val="Normal"/>
              <w:rPr/>
            </w:pPr>
            <w:r>
              <w:rPr/>
              <w:t>Email: cinowski@purdue.edu</w:t>
            </w:r>
          </w:p>
        </w:tc>
      </w:tr>
      <w:tr>
        <w:trPr/>
        <w:tc>
          <w:tcPr>
            <w:tcW w:w="4679" w:type="dxa"/>
            <w:tcBorders/>
          </w:tcPr>
          <w:p>
            <w:pPr>
              <w:pStyle w:val="Normal"/>
              <w:rPr>
                <w:b/>
                <w:bCs/>
              </w:rPr>
            </w:pPr>
            <w:r>
              <w:rPr>
                <w:b/>
                <w:bCs/>
              </w:rPr>
              <w:t>Estimated Project Duration</w:t>
            </w:r>
          </w:p>
        </w:tc>
        <w:tc>
          <w:tcPr>
            <w:tcW w:w="4681" w:type="dxa"/>
            <w:tcBorders/>
          </w:tcPr>
          <w:p>
            <w:pPr>
              <w:pStyle w:val="Normal"/>
              <w:rPr/>
            </w:pPr>
            <w:r>
              <w:rPr/>
              <w:t>60 Months</w:t>
            </w:r>
          </w:p>
        </w:tc>
      </w:tr>
      <w:tr>
        <w:trPr/>
        <w:tc>
          <w:tcPr>
            <w:tcW w:w="4679" w:type="dxa"/>
            <w:tcBorders/>
          </w:tcPr>
          <w:p>
            <w:pPr>
              <w:pStyle w:val="Normal"/>
              <w:rPr>
                <w:b/>
                <w:bCs/>
              </w:rPr>
            </w:pPr>
            <w:r>
              <w:rPr>
                <w:b/>
                <w:bCs/>
              </w:rPr>
              <w:t>Animal Subjects</w:t>
            </w:r>
          </w:p>
        </w:tc>
        <w:tc>
          <w:tcPr>
            <w:tcW w:w="4681" w:type="dxa"/>
            <w:tcBorders/>
          </w:tcPr>
          <w:p>
            <w:pPr>
              <w:pStyle w:val="Normal"/>
              <w:rPr/>
            </w:pPr>
            <w:r>
              <w:rPr/>
              <w:t>☑ No  ☐ Yes</w:t>
            </w:r>
          </w:p>
        </w:tc>
      </w:tr>
      <w:tr>
        <w:trPr/>
        <w:tc>
          <w:tcPr>
            <w:tcW w:w="4679" w:type="dxa"/>
            <w:tcBorders/>
          </w:tcPr>
          <w:p>
            <w:pPr>
              <w:pStyle w:val="Normal"/>
              <w:rPr>
                <w:b/>
                <w:bCs/>
              </w:rPr>
            </w:pPr>
            <w:r>
              <w:rPr>
                <w:b/>
                <w:bCs/>
              </w:rPr>
              <w:t>Human Subjects</w:t>
            </w:r>
          </w:p>
        </w:tc>
        <w:tc>
          <w:tcPr>
            <w:tcW w:w="4681" w:type="dxa"/>
            <w:tcBorders/>
          </w:tcPr>
          <w:p>
            <w:pPr>
              <w:pStyle w:val="Normal"/>
              <w:rPr/>
            </w:pPr>
            <w:r>
              <w:rPr/>
              <w:t>☑ No  ☐ Yes</w:t>
            </w:r>
          </w:p>
        </w:tc>
      </w:tr>
      <w:tr>
        <w:trPr/>
        <w:tc>
          <w:tcPr>
            <w:tcW w:w="4679" w:type="dxa"/>
            <w:tcBorders/>
          </w:tcPr>
          <w:p>
            <w:pPr>
              <w:pStyle w:val="Normal"/>
              <w:rPr>
                <w:b/>
                <w:bCs/>
              </w:rPr>
            </w:pPr>
            <w:r>
              <w:rPr>
                <w:b/>
                <w:bCs/>
              </w:rPr>
              <w:t>Total Funds Requested From ARPA-H (including all phases)</w:t>
            </w:r>
          </w:p>
        </w:tc>
        <w:tc>
          <w:tcPr>
            <w:tcW w:w="4681" w:type="dxa"/>
            <w:tcBorders/>
          </w:tcPr>
          <w:p>
            <w:pPr>
              <w:pStyle w:val="Normal"/>
              <w:rPr/>
            </w:pPr>
            <w:r>
              <w:rPr/>
              <w:t>~$42,900,000 (~$43M; bottom-up planning estimate, Appendix C.4 workbook controlling)</w:t>
            </w:r>
          </w:p>
        </w:tc>
      </w:tr>
      <w:tr>
        <w:trPr/>
        <w:tc>
          <w:tcPr>
            <w:tcW w:w="4679" w:type="dxa"/>
            <w:tcBorders/>
          </w:tcPr>
          <w:p>
            <w:pPr>
              <w:pStyle w:val="Normal"/>
              <w:rPr>
                <w:b/>
                <w:bCs/>
              </w:rPr>
            </w:pPr>
            <w:r>
              <w:rPr>
                <w:b/>
                <w:bCs/>
              </w:rPr>
              <w:t>Resource Sharing (if applicable)</w:t>
            </w:r>
          </w:p>
        </w:tc>
        <w:tc>
          <w:tcPr>
            <w:tcW w:w="4681" w:type="dxa"/>
            <w:tcBorders/>
          </w:tcPr>
          <w:p>
            <w:pPr>
              <w:pStyle w:val="Normal"/>
              <w:rPr/>
            </w:pPr>
            <w:r>
              <w:rPr/>
              <w:t>~$2.3M Performer in-kind (IPAI/Purdue HPC compute, Purdue wet-lab facilities, Cellanome instrument and run credits); total project value ~$45.2M</w:t>
            </w:r>
          </w:p>
        </w:tc>
      </w:tr>
      <w:tr>
        <w:trPr/>
        <w:tc>
          <w:tcPr>
            <w:tcW w:w="4679" w:type="dxa"/>
            <w:tcBorders/>
          </w:tcPr>
          <w:p>
            <w:pPr>
              <w:pStyle w:val="Normal"/>
              <w:rPr>
                <w:b/>
                <w:bCs/>
              </w:rPr>
            </w:pPr>
            <w:r>
              <w:rPr>
                <w:b/>
                <w:bCs/>
              </w:rPr>
              <w:t>Place(s) of Performance</w:t>
            </w:r>
          </w:p>
        </w:tc>
        <w:tc>
          <w:tcPr>
            <w:tcW w:w="4681" w:type="dxa"/>
            <w:tcBorders/>
          </w:tcPr>
          <w:p>
            <w:pPr>
              <w:pStyle w:val="Normal"/>
              <w:rPr/>
            </w:pPr>
            <w:r>
              <w:rPr/>
              <w:t>Purdue University (IN); Cytognosis Foundation (CA); McLean Hospital (MA); additional validated laboratories</w:t>
            </w:r>
          </w:p>
        </w:tc>
      </w:tr>
    </w:tbl>
    <w:p>
      <w:pPr>
        <w:pStyle w:val="Normal"/>
        <w:jc w:val="start"/>
        <w:rPr/>
      </w:pPr>
      <w:r>
        <w:rPr/>
      </w:r>
    </w:p>
    <w:p>
      <w:pPr>
        <w:pStyle w:val="Normal"/>
        <w:jc w:val="start"/>
        <w:rPr/>
      </w:pPr>
      <w:r>
        <w:rPr/>
      </w:r>
    </w:p>
    <w:tbl>
      <w:tblPr>
        <w:tblW w:w="5000" w:type="pct"/>
        <w:jc w:val="start"/>
        <w:tblInd w:w="0" w:type="dxa"/>
        <w:tblLayout w:type="fixed"/>
        <w:tblCellMar>
          <w:top w:w="0" w:type="dxa"/>
          <w:start w:w="0" w:type="dxa"/>
          <w:bottom w:w="0" w:type="dxa"/>
          <w:end w:w="0" w:type="dxa"/>
        </w:tblCellMar>
        <w:tblLook w:val="04a0"/>
      </w:tblPr>
      <w:tblGrid>
        <w:gridCol w:w="3120"/>
        <w:gridCol w:w="3120"/>
        <w:gridCol w:w="3120"/>
      </w:tblGrid>
      <w:tr>
        <w:trPr/>
        <w:tc>
          <w:tcPr>
            <w:tcW w:w="9360" w:type="dxa"/>
            <w:gridSpan w:val="3"/>
            <w:tcBorders/>
            <w:shd w:val="clear"/>
          </w:tcPr>
          <w:p>
            <w:pPr>
              <w:pStyle w:val="Normal"/>
              <w:jc w:val="start"/>
              <w:rPr>
                <w:b/>
                <w:bCs/>
              </w:rPr>
            </w:pPr>
            <w:r>
              <w:rPr>
                <w:b/>
                <w:bCs/>
              </w:rPr>
            </w:r>
          </w:p>
          <w:p>
            <w:pPr>
              <w:pStyle w:val="Normal"/>
              <w:jc w:val="start"/>
              <w:rPr>
                <w:b/>
                <w:bCs/>
                <w:color w:val="000000"/>
              </w:rPr>
            </w:pPr>
            <w:r>
              <w:rPr>
                <w:b/>
                <w:bCs/>
                <w:color w:val="000000"/>
              </w:rPr>
              <w:t>SUB-AWARDEE AND CONSULTANT</w:t>
            </w:r>
          </w:p>
          <w:p>
            <w:pPr>
              <w:pStyle w:val="Normal"/>
              <w:jc w:val="start"/>
              <w:rPr>
                <w:b/>
                <w:bCs/>
                <w:color w:val="000000"/>
              </w:rPr>
            </w:pPr>
            <w:r>
              <w:rPr>
                <w:b/>
                <w:bCs/>
                <w:color w:val="000000"/>
              </w:rPr>
              <w:t>TEAM MEMBERS</w:t>
            </w:r>
          </w:p>
          <w:p>
            <w:pPr>
              <w:pStyle w:val="Normal"/>
              <w:jc w:val="start"/>
              <w:rPr>
                <w:color w:val="000000"/>
              </w:rPr>
            </w:pPr>
            <w:r>
              <w:rPr>
                <w:color w:val="000000"/>
              </w:rPr>
              <w:t>(Add rows as necessary)</w:t>
            </w:r>
          </w:p>
          <w:p>
            <w:pPr>
              <w:pStyle w:val="Normal"/>
              <w:jc w:val="start"/>
              <w:rPr/>
            </w:pPr>
            <w:r>
              <w:rPr/>
            </w:r>
          </w:p>
        </w:tc>
      </w:tr>
      <w:tr>
        <w:trPr/>
        <w:tc>
          <w:tcPr>
            <w:tcW w:w="3120" w:type="dxa"/>
            <w:tcBorders/>
          </w:tcPr>
          <w:p>
            <w:pPr>
              <w:pStyle w:val="Normal"/>
              <w:rPr/>
            </w:pPr>
            <w:r>
              <w:rPr/>
              <w:t>Org Name: Cytognosis Foundation</w:t>
            </w:r>
          </w:p>
        </w:tc>
        <w:tc>
          <w:tcPr>
            <w:tcW w:w="3120" w:type="dxa"/>
            <w:tcBorders/>
          </w:tcPr>
          <w:p>
            <w:pPr>
              <w:pStyle w:val="Normal"/>
              <w:rPr/>
            </w:pPr>
            <w:r>
              <w:rPr/>
              <w:t>Technical POC: Shahin Mohammadi | mohammadi@cytognosis.org</w:t>
            </w:r>
          </w:p>
        </w:tc>
        <w:tc>
          <w:tcPr>
            <w:tcW w:w="3120" w:type="dxa"/>
            <w:tcBorders/>
          </w:tcPr>
          <w:p>
            <w:pPr>
              <w:pStyle w:val="Normal"/>
              <w:rPr/>
            </w:pPr>
            <w:r>
              <w:rPr/>
              <w:t>☐ For-Profit  ☒ Non-profit  ☐ Academia</w:t>
            </w:r>
          </w:p>
        </w:tc>
      </w:tr>
      <w:tr>
        <w:trPr/>
        <w:tc>
          <w:tcPr>
            <w:tcW w:w="3120" w:type="dxa"/>
            <w:tcBorders/>
          </w:tcPr>
          <w:p>
            <w:pPr>
              <w:pStyle w:val="Normal"/>
              <w:rPr/>
            </w:pPr>
            <w:r>
              <w:rPr/>
              <w:t>Org Name: McLean Hospital / Harvard Medical School</w:t>
            </w:r>
          </w:p>
        </w:tc>
        <w:tc>
          <w:tcPr>
            <w:tcW w:w="3120" w:type="dxa"/>
            <w:tcBorders/>
          </w:tcPr>
          <w:p>
            <w:pPr>
              <w:pStyle w:val="Normal"/>
              <w:rPr/>
            </w:pPr>
            <w:r>
              <w:rPr/>
              <w:t>Technical POC: W. Brad Ruzicka</w:t>
            </w:r>
          </w:p>
        </w:tc>
        <w:tc>
          <w:tcPr>
            <w:tcW w:w="3120" w:type="dxa"/>
            <w:tcBorders/>
          </w:tcPr>
          <w:p>
            <w:pPr>
              <w:pStyle w:val="Normal"/>
              <w:rPr/>
            </w:pPr>
            <w:r>
              <w:rPr/>
              <w:t>☐ For-Profit  ☐ Non-profit  ☒ Academia</w:t>
            </w:r>
          </w:p>
        </w:tc>
      </w:tr>
      <w:tr>
        <w:trPr/>
        <w:tc>
          <w:tcPr>
            <w:tcW w:w="3120" w:type="dxa"/>
            <w:tcBorders/>
          </w:tcPr>
          <w:p>
            <w:pPr>
              <w:pStyle w:val="Normal"/>
              <w:rPr/>
            </w:pPr>
            <w:r>
              <w:rPr/>
              <w:t>Org Name: SIFT</w:t>
            </w:r>
          </w:p>
        </w:tc>
        <w:tc>
          <w:tcPr>
            <w:tcW w:w="3120" w:type="dxa"/>
            <w:tcBorders/>
          </w:tcPr>
          <w:p>
            <w:pPr>
              <w:pStyle w:val="Normal"/>
              <w:rPr/>
            </w:pPr>
            <w:r>
              <w:rPr/>
              <w:t>Technical POC: Daniel Bryce</w:t>
            </w:r>
          </w:p>
        </w:tc>
        <w:tc>
          <w:tcPr>
            <w:tcW w:w="3120" w:type="dxa"/>
            <w:tcBorders/>
          </w:tcPr>
          <w:p>
            <w:pPr>
              <w:pStyle w:val="Normal"/>
              <w:rPr/>
            </w:pPr>
            <w:r>
              <w:rPr/>
              <w:t>☒ For-Profit  ☐ Non-profit  ☐ Academia</w:t>
            </w:r>
          </w:p>
        </w:tc>
      </w:tr>
      <w:tr>
        <w:trPr/>
        <w:tc>
          <w:tcPr>
            <w:tcW w:w="3120" w:type="dxa"/>
            <w:tcBorders/>
          </w:tcPr>
          <w:p>
            <w:pPr>
              <w:pStyle w:val="Normal"/>
              <w:rPr/>
            </w:pPr>
            <w:r>
              <w:rPr/>
              <w:t>Org Name: Cellanome</w:t>
            </w:r>
          </w:p>
        </w:tc>
        <w:tc>
          <w:tcPr>
            <w:tcW w:w="3120" w:type="dxa"/>
            <w:tcBorders/>
          </w:tcPr>
          <w:p>
            <w:pPr>
              <w:pStyle w:val="Normal"/>
              <w:rPr/>
            </w:pPr>
            <w:r>
              <w:rPr/>
              <w:t>Technical POC: POC to confirm</w:t>
            </w:r>
          </w:p>
        </w:tc>
        <w:tc>
          <w:tcPr>
            <w:tcW w:w="3120" w:type="dxa"/>
            <w:tcBorders/>
          </w:tcPr>
          <w:p>
            <w:pPr>
              <w:pStyle w:val="Normal"/>
              <w:rPr/>
            </w:pPr>
            <w:r>
              <w:rPr/>
              <w:t>☒ For-Profit  ☐ Non-profit  ☐ Academia</w:t>
            </w:r>
          </w:p>
        </w:tc>
      </w:tr>
    </w:tbl>
    <w:p>
      <w:pPr>
        <w:pStyle w:val="Normal"/>
        <w:jc w:val="start"/>
        <w:rPr>
          <w:color w:val="000000"/>
        </w:rPr>
      </w:pPr>
      <w:r>
        <w:rPr>
          <w:color w:val="000000"/>
        </w:rPr>
      </w:r>
    </w:p>
    <w:p>
      <w:pPr>
        <w:pStyle w:val="Normal"/>
        <w:widowControl/>
        <w:rPr>
          <w:color w:val="000000"/>
        </w:rPr>
      </w:pPr>
      <w:r>
        <w:rPr>
          <w:color w:val="000000"/>
        </w:rPr>
        <w:br/>
      </w:r>
    </w:p>
    <w:p>
      <w:pPr>
        <w:pStyle w:val="Normal"/>
        <w:jc w:val="start"/>
        <w:rPr>
          <w:color w:val="000000"/>
        </w:rPr>
      </w:pPr>
      <w:r>
        <w:rPr>
          <w:color w:val="000000"/>
        </w:rPr>
      </w:r>
    </w:p>
    <w:p>
      <w:pPr>
        <w:pStyle w:val="Normal"/>
        <w:jc w:val="start"/>
        <w:rPr>
          <w:color w:val="000000"/>
        </w:rPr>
      </w:pPr>
      <w:r>
        <w:rPr>
          <w:color w:val="000000"/>
        </w:rPr>
      </w:r>
    </w:p>
    <w:p>
      <w:pPr>
        <w:pStyle w:val="Normal"/>
        <w:jc w:val="start"/>
        <w:rPr>
          <w:smallCaps/>
          <w:color w:val="000000"/>
        </w:rPr>
      </w:pPr>
      <w:r>
        <w:rPr>
          <w:smallCaps/>
          <w:color w:val="000000"/>
        </w:rPr>
      </w:r>
    </w:p>
    <w:p>
      <w:pPr>
        <w:pStyle w:val="Normal"/>
        <w:rPr/>
      </w:pPr>
      <w:r>
        <w:rPr>
          <w:b/>
          <w:bCs/>
          <w:smallCaps/>
          <w:color w:val="000000"/>
        </w:rPr>
        <w:t xml:space="preserve">CONCEPT SUMMARY </w:t>
      </w:r>
    </w:p>
    <w:p>
      <w:pPr>
        <w:pStyle w:val="Normal"/>
        <w:jc w:val="start"/>
        <w:rPr/>
      </w:pPr>
      <w:commentRangeStart w:id="0"/>
      <w:r>
        <w:rPr/>
        <w:t>PsychIGoR builds a self-updating, mechanistic, multiscale causal model of psychiatric disease and pairs it with an engine that designs its own validating experiments, beginning with schizophrenia in Phases I and II and extending to bipolar disorder in Phase III. Reproducible shifts in cellular processes that induce or reverse disease-associated cell states, identified jointly from causal interventions and natural genetic variation, form the foundation for hypothesis generation and experimental design. An interoperable perturbation protocol (IPP) translates each hypothesis into genetic-perturbation experiments that run in parallel across academic and industry laboratories and return model-ready data, closing the loop. Because schizophrenia is largely polygenic and hard to model in a dish, we begin from its penetrant, near-Mendelian forms (the 22q11.2 deletion syndrome and large-effect rare-variant genes), building in vitro disease models as isogenic pairs of iPSC-derived NGN2 neurons that differ only at the disease variant. One architectural decision threads through the system: a unified semantic foundation, one shared vocabulary and identifier system authored once and used at every stage, so an experiment transfers between the model, the protocol, and the laboratory without translation at the seams. Our team unites world experts in both the clinical (Mohammadi, Ruzicka) and the cellular (Tegtmeyer, Carpenter) modeling of psychiatric disease, a first-of-its-kind pairing that learns shared disease axes grounded in human genetics and verifiable in disease-relevant cellular models. Our deepest contribution is in disease-mechanism modeling, and the proposal addresses every program interest area.</w:t>
      </w:r>
      <w:commentRangeEnd w:id="0"/>
      <w:r>
        <w:rPr>
          <w:rStyle w:val="CommentReference"/>
        </w:rPr>
      </w:r>
      <w:r>
        <w:rPr/>
      </w:r>
    </w:p>
    <w:p>
      <w:pPr>
        <w:pStyle w:val="Normal"/>
        <w:rPr/>
      </w:pPr>
      <w:r>
        <w:rPr/>
      </w:r>
    </w:p>
    <w:p>
      <w:pPr>
        <w:pStyle w:val="Normal"/>
        <w:jc w:val="start"/>
        <w:rPr/>
      </w:pPr>
      <w:r>
        <w:rPr/>
      </w:r>
    </w:p>
    <w:p>
      <w:pPr>
        <w:pStyle w:val="Normal"/>
        <w:rPr/>
      </w:pPr>
      <w:r>
        <w:rPr>
          <w:b/>
          <w:bCs/>
          <w:smallCaps/>
          <w:color w:val="000000"/>
        </w:rPr>
        <w:t>INNOVATION AND IMPACT</w:t>
      </w:r>
    </w:p>
    <w:p>
      <w:pPr>
        <w:pStyle w:val="Normal"/>
        <w:jc w:val="start"/>
        <w:rPr/>
      </w:pPr>
      <w:r>
        <w:rPr/>
        <w:t>Why genetics, and why it is not enough. Drug targets with human genetic support reach approval roughly twice as often as targets without it (Nelson et al. 2015), a multiplier that rises to about 2.6x with a decade of added evidence and climbs further as confidence in the causal gene increases (Minikel et al. 2024). Yet most psychiatric signal is noncoding with ambiguous variant-to-gene mapping, and even an unambiguous gene rarely hands over a mechanism. Statistical-genetics and machine-learning target discovery, validated after the fact in cellular models, confirms that a variant does something but seldom explains how it drives disease, whether that axis is the disease-relevant one, or what else in the pathway is easier to drug.</w:t>
      </w:r>
    </w:p>
    <w:p>
      <w:pPr>
        <w:pStyle w:val="Normal"/>
        <w:rPr/>
      </w:pPr>
      <w:r>
        <w:rPr/>
      </w:r>
    </w:p>
    <w:p>
      <w:pPr>
        <w:pStyle w:val="Normal"/>
        <w:jc w:val="start"/>
        <w:rPr/>
      </w:pPr>
      <w:r>
        <w:rPr/>
        <w:t>What current approaches miss. Foundation cell models (Geneformer, scFoundation, and similar) are correlational and static (Theodoris et al. 2023; Hao et al. 2024); perturbation predictors are narrow and single-scale (Roohani et al. 2024); agentic-science systems wrap a language model around a literature search (Boiko et al. 2023; Swanson et al. 2025). None integrate atlas-scale data, causal-network inference, and circuit-scale physiology into a model that updates from new experiments, and none distinguish a therapeutic effect from a side effect.</w:t>
      </w:r>
    </w:p>
    <w:p>
      <w:pPr>
        <w:pStyle w:val="Normal"/>
        <w:rPr/>
      </w:pPr>
      <w:r>
        <w:rPr/>
      </w:r>
    </w:p>
    <w:p>
      <w:pPr>
        <w:pStyle w:val="Normal"/>
        <w:jc w:val="start"/>
        <w:rPr/>
      </w:pPr>
      <w:r>
        <w:rPr/>
        <w:t>Our innovations. First, dual grounding: engineered cellular perturbations give a known causal intervention on genes but in an artificial system, while natural population genetics give real, population-scale causal evidence that cannot be experimentally tested; each covers the other's blind spot, surfacing disease axes that are mechanistic, population-relevant, and robust to culture artifacts (genomic factorization, pathway-PRS lineage, aggregates weak convergent variants into interpretable axes; method proprietary, novelty claimed against the PRSet precedent, Choi et al. 2020). Second, disease as the causal perturbation operator: we invert the virtual-cell paradigm (Bunne et al. 2024) so disease-associated variation acts as a soft intervention on a latent causal model with identifiability guarantees (Scholkopf et al. 2021; Zhang et al. 2023). Third, a three-latent structural causal model separating basal state, disease effect, and a treatment effect that acts either directly (a side-effect route) or by modulating the disease (the therapeutic route), making efficacy versus side-effect liability a testable prediction. Fourth, a self-updating, multiscale, mechanistic model grounded in human genetics and clinical cohorts and paired with isogenic cellular models, not a static foundation model. Fifth, an Internet-style protocol stack for laboratories that extends LabOP (Bartley et al. 2023) and the SiLA 2 device-driver standard (Juchli 2022) and adds the missing piece, evidence-based parameter governance.</w:t>
      </w:r>
    </w:p>
    <w:p>
      <w:pPr>
        <w:pStyle w:val="Normal"/>
        <w:rPr/>
      </w:pPr>
      <w:r>
        <w:rPr/>
      </w:r>
    </w:p>
    <w:p>
      <w:pPr>
        <w:pStyle w:val="Normal"/>
        <w:jc w:val="start"/>
        <w:rPr/>
      </w:pPr>
      <w:r>
        <w:rPr/>
        <w:t>No prior foundation cell model, perturbation predictor, or agentic-science system combines these properties: IGoR is at once mechanistic and causal, multiscale from molecule to circuit, self-updating, genotype-driven, dually grounded in cellular and clinical evidence, able to separate therapy from side effect, and closed-loop to validated laboratories.</w:t>
      </w:r>
    </w:p>
    <w:p>
      <w:pPr>
        <w:pStyle w:val="Normal"/>
        <w:rPr/>
      </w:pPr>
      <w:r>
        <w:rPr/>
      </w:r>
    </w:p>
    <w:tbl>
      <w:tblPr>
        <w:tblW w:w="5000" w:type="pct"/>
        <w:jc w:val="start"/>
        <w:tblInd w:w="0" w:type="dxa"/>
        <w:tblLayout w:type="fixed"/>
        <w:tblCellMar>
          <w:top w:w="0" w:type="dxa"/>
          <w:start w:w="0" w:type="dxa"/>
          <w:bottom w:w="0" w:type="dxa"/>
          <w:end w:w="0" w:type="dxa"/>
        </w:tblCellMar>
      </w:tblPr>
      <w:tblGrid>
        <w:gridCol w:w="1872"/>
        <w:gridCol w:w="1872"/>
        <w:gridCol w:w="1872"/>
        <w:gridCol w:w="1872"/>
        <w:gridCol w:w="1872"/>
      </w:tblGrid>
      <w:tr>
        <w:trPr/>
        <w:tc>
          <w:tcPr>
            <w:tcW w:w="1872" w:type="dxa"/>
            <w:tcBorders/>
          </w:tcPr>
          <w:p>
            <w:pPr>
              <w:pStyle w:val="Normal"/>
              <w:rPr>
                <w:b/>
                <w:bCs/>
              </w:rPr>
            </w:pPr>
            <w:r>
              <w:rPr>
                <w:b/>
                <w:bCs/>
              </w:rPr>
              <w:t>Metric</w:t>
            </w:r>
          </w:p>
        </w:tc>
        <w:tc>
          <w:tcPr>
            <w:tcW w:w="1872" w:type="dxa"/>
            <w:tcBorders/>
          </w:tcPr>
          <w:p>
            <w:pPr>
              <w:pStyle w:val="Normal"/>
              <w:rPr>
                <w:b/>
                <w:bCs/>
              </w:rPr>
            </w:pPr>
            <w:r>
              <w:rPr>
                <w:b/>
                <w:bCs/>
              </w:rPr>
              <w:t>SOTA baseline today</w:t>
            </w:r>
          </w:p>
        </w:tc>
        <w:tc>
          <w:tcPr>
            <w:tcW w:w="1872" w:type="dxa"/>
            <w:tcBorders/>
          </w:tcPr>
          <w:p>
            <w:pPr>
              <w:pStyle w:val="Normal"/>
              <w:rPr>
                <w:b/>
                <w:bCs/>
              </w:rPr>
            </w:pPr>
            <w:r>
              <w:rPr>
                <w:b/>
                <w:bCs/>
              </w:rPr>
              <w:t>Phase I target</w:t>
            </w:r>
          </w:p>
        </w:tc>
        <w:tc>
          <w:tcPr>
            <w:tcW w:w="1872" w:type="dxa"/>
            <w:tcBorders/>
          </w:tcPr>
          <w:p>
            <w:pPr>
              <w:pStyle w:val="Normal"/>
              <w:rPr>
                <w:b/>
                <w:bCs/>
              </w:rPr>
            </w:pPr>
            <w:r>
              <w:rPr>
                <w:b/>
                <w:bCs/>
              </w:rPr>
              <w:t>Phase II target</w:t>
            </w:r>
          </w:p>
        </w:tc>
        <w:tc>
          <w:tcPr>
            <w:tcW w:w="1872" w:type="dxa"/>
            <w:tcBorders/>
          </w:tcPr>
          <w:p>
            <w:pPr>
              <w:pStyle w:val="Normal"/>
              <w:rPr>
                <w:b/>
                <w:bCs/>
              </w:rPr>
            </w:pPr>
            <w:r>
              <w:rPr>
                <w:b/>
                <w:bCs/>
              </w:rPr>
              <w:t>Phase III target</w:t>
            </w:r>
          </w:p>
        </w:tc>
      </w:tr>
      <w:tr>
        <w:trPr/>
        <w:tc>
          <w:tcPr>
            <w:tcW w:w="1872" w:type="dxa"/>
            <w:tcBorders/>
            <w:tcMar>
              <w:start w:w="108" w:type="dxa"/>
              <w:end w:w="108" w:type="dxa"/>
            </w:tcMar>
          </w:tcPr>
          <w:p>
            <w:pPr>
              <w:pStyle w:val="Normal"/>
              <w:rPr/>
            </w:pPr>
            <w:r>
              <w:rPr/>
              <w:t>Hypothesis-to-validated-knowledge cycle time</w:t>
            </w:r>
          </w:p>
        </w:tc>
        <w:tc>
          <w:tcPr>
            <w:tcW w:w="1872" w:type="dxa"/>
            <w:tcBorders/>
            <w:tcMar>
              <w:start w:w="108" w:type="dxa"/>
              <w:end w:w="108" w:type="dxa"/>
            </w:tcMar>
          </w:tcPr>
          <w:p>
            <w:pPr>
              <w:pStyle w:val="Normal"/>
              <w:rPr/>
            </w:pPr>
            <w:r>
              <w:rPr/>
              <w:t>6-18 months, manual per lab</w:t>
            </w:r>
          </w:p>
        </w:tc>
        <w:tc>
          <w:tcPr>
            <w:tcW w:w="1872" w:type="dxa"/>
            <w:tcBorders/>
            <w:tcMar>
              <w:start w:w="108" w:type="dxa"/>
              <w:end w:w="108" w:type="dxa"/>
            </w:tcMar>
          </w:tcPr>
          <w:p>
            <w:pPr>
              <w:pStyle w:val="Normal"/>
              <w:rPr/>
            </w:pPr>
            <w:r>
              <w:rPr/>
              <w:t>baseline + 1 full automated cycle</w:t>
            </w:r>
          </w:p>
        </w:tc>
        <w:tc>
          <w:tcPr>
            <w:tcW w:w="1872" w:type="dxa"/>
            <w:tcBorders/>
            <w:tcMar>
              <w:start w:w="108" w:type="dxa"/>
              <w:end w:w="108" w:type="dxa"/>
            </w:tcMar>
          </w:tcPr>
          <w:p>
            <w:pPr>
              <w:pStyle w:val="Normal"/>
              <w:rPr/>
            </w:pPr>
            <w:r>
              <w:rPr/>
              <w:t>≤6 weeks (≥4x faster)</w:t>
            </w:r>
          </w:p>
        </w:tc>
        <w:tc>
          <w:tcPr>
            <w:tcW w:w="1872" w:type="dxa"/>
            <w:tcBorders/>
            <w:tcMar>
              <w:start w:w="108" w:type="dxa"/>
              <w:end w:w="108" w:type="dxa"/>
            </w:tcMar>
          </w:tcPr>
          <w:p>
            <w:pPr>
              <w:pStyle w:val="Normal"/>
              <w:rPr/>
            </w:pPr>
            <w:r>
              <w:rPr/>
              <w:t>≤1-2 weeks (≥10x faster)</w:t>
            </w:r>
          </w:p>
        </w:tc>
      </w:tr>
      <w:tr>
        <w:trPr/>
        <w:tc>
          <w:tcPr>
            <w:tcW w:w="1872" w:type="dxa"/>
            <w:tcBorders/>
            <w:tcMar>
              <w:start w:w="108" w:type="dxa"/>
              <w:end w:w="108" w:type="dxa"/>
            </w:tcMar>
          </w:tcPr>
          <w:p>
            <w:pPr>
              <w:pStyle w:val="Normal"/>
              <w:rPr/>
            </w:pPr>
            <w:r>
              <w:rPr/>
              <w:t>Cross-laboratory reproducibility of perturbation effects</w:t>
            </w:r>
          </w:p>
        </w:tc>
        <w:tc>
          <w:tcPr>
            <w:tcW w:w="1872" w:type="dxa"/>
            <w:tcBorders/>
            <w:tcMar>
              <w:start w:w="108" w:type="dxa"/>
              <w:end w:w="108" w:type="dxa"/>
            </w:tcMar>
          </w:tcPr>
          <w:p>
            <w:pPr>
              <w:pStyle w:val="Normal"/>
              <w:rPr/>
            </w:pPr>
            <w:r>
              <w:rPr/>
              <w:t>typically &lt;50%, rarely measured</w:t>
            </w:r>
          </w:p>
        </w:tc>
        <w:tc>
          <w:tcPr>
            <w:tcW w:w="1872" w:type="dxa"/>
            <w:tcBorders/>
            <w:tcMar>
              <w:start w:w="108" w:type="dxa"/>
              <w:end w:w="108" w:type="dxa"/>
            </w:tcMar>
          </w:tcPr>
          <w:p>
            <w:pPr>
              <w:pStyle w:val="Normal"/>
              <w:rPr/>
            </w:pPr>
            <w:r>
              <w:rPr/>
              <w:t>≥80% (2 labs)</w:t>
            </w:r>
          </w:p>
        </w:tc>
        <w:tc>
          <w:tcPr>
            <w:tcW w:w="1872" w:type="dxa"/>
            <w:tcBorders/>
            <w:tcMar>
              <w:start w:w="108" w:type="dxa"/>
              <w:end w:w="108" w:type="dxa"/>
            </w:tcMar>
          </w:tcPr>
          <w:p>
            <w:pPr>
              <w:pStyle w:val="Normal"/>
              <w:rPr/>
            </w:pPr>
            <w:r>
              <w:rPr/>
              <w:t>≥90% (cross-team)</w:t>
            </w:r>
          </w:p>
        </w:tc>
        <w:tc>
          <w:tcPr>
            <w:tcW w:w="1872" w:type="dxa"/>
            <w:tcBorders/>
            <w:tcMar>
              <w:start w:w="108" w:type="dxa"/>
              <w:end w:w="108" w:type="dxa"/>
            </w:tcMar>
          </w:tcPr>
          <w:p>
            <w:pPr>
              <w:pStyle w:val="Normal"/>
              <w:rPr/>
            </w:pPr>
            <w:r>
              <w:rPr/>
              <w:t>≥90% (marketplace)</w:t>
            </w:r>
          </w:p>
        </w:tc>
      </w:tr>
      <w:tr>
        <w:trPr/>
        <w:tc>
          <w:tcPr>
            <w:tcW w:w="1872" w:type="dxa"/>
            <w:tcBorders/>
            <w:tcMar>
              <w:start w:w="108" w:type="dxa"/>
              <w:end w:w="108" w:type="dxa"/>
            </w:tcMar>
          </w:tcPr>
          <w:p>
            <w:pPr>
              <w:pStyle w:val="Normal"/>
              <w:rPr/>
            </w:pPr>
            <w:r>
              <w:rPr/>
              <w:t>Disease-axis variance explained, 22q11.2 cell-type shifts</w:t>
            </w:r>
          </w:p>
        </w:tc>
        <w:tc>
          <w:tcPr>
            <w:tcW w:w="1872" w:type="dxa"/>
            <w:tcBorders/>
            <w:tcMar>
              <w:start w:w="108" w:type="dxa"/>
              <w:end w:w="108" w:type="dxa"/>
            </w:tcMar>
          </w:tcPr>
          <w:p>
            <w:pPr>
              <w:pStyle w:val="Normal"/>
              <w:rPr/>
            </w:pPr>
            <w:r>
              <w:rPr/>
              <w:t>none (no causal model)</w:t>
            </w:r>
          </w:p>
        </w:tc>
        <w:tc>
          <w:tcPr>
            <w:tcW w:w="1872" w:type="dxa"/>
            <w:tcBorders/>
            <w:tcMar>
              <w:start w:w="108" w:type="dxa"/>
              <w:end w:w="108" w:type="dxa"/>
            </w:tcMar>
          </w:tcPr>
          <w:p>
            <w:pPr>
              <w:pStyle w:val="Normal"/>
              <w:rPr/>
            </w:pPr>
            <w:r>
              <w:rPr/>
              <w:t>≥30%</w:t>
            </w:r>
          </w:p>
        </w:tc>
        <w:tc>
          <w:tcPr>
            <w:tcW w:w="1872" w:type="dxa"/>
            <w:tcBorders/>
            <w:tcMar>
              <w:start w:w="108" w:type="dxa"/>
              <w:end w:w="108" w:type="dxa"/>
            </w:tcMar>
          </w:tcPr>
          <w:p>
            <w:pPr>
              <w:pStyle w:val="Normal"/>
              <w:rPr/>
            </w:pPr>
            <w:r>
              <w:rPr/>
              <w:t>≥50%</w:t>
            </w:r>
          </w:p>
        </w:tc>
        <w:tc>
          <w:tcPr>
            <w:tcW w:w="1872" w:type="dxa"/>
            <w:tcBorders/>
            <w:tcMar>
              <w:start w:w="108" w:type="dxa"/>
              <w:end w:w="108" w:type="dxa"/>
            </w:tcMar>
          </w:tcPr>
          <w:p>
            <w:pPr>
              <w:pStyle w:val="Normal"/>
              <w:rPr/>
            </w:pPr>
            <w:r>
              <w:rPr/>
              <w:t>≥60% (≥2x Phase I)</w:t>
            </w:r>
          </w:p>
        </w:tc>
      </w:tr>
      <w:tr>
        <w:trPr/>
        <w:tc>
          <w:tcPr>
            <w:tcW w:w="1872" w:type="dxa"/>
            <w:tcBorders/>
            <w:tcMar>
              <w:start w:w="108" w:type="dxa"/>
              <w:end w:w="108" w:type="dxa"/>
            </w:tcMar>
          </w:tcPr>
          <w:p>
            <w:pPr>
              <w:pStyle w:val="Normal"/>
              <w:rPr/>
            </w:pPr>
            <w:r>
              <w:rPr/>
              <w:t>Model update latency (new data to refreshed model)</w:t>
            </w:r>
          </w:p>
        </w:tc>
        <w:tc>
          <w:tcPr>
            <w:tcW w:w="1872" w:type="dxa"/>
            <w:tcBorders/>
            <w:tcMar>
              <w:start w:w="108" w:type="dxa"/>
              <w:end w:w="108" w:type="dxa"/>
            </w:tcMar>
          </w:tcPr>
          <w:p>
            <w:pPr>
              <w:pStyle w:val="Normal"/>
              <w:rPr/>
            </w:pPr>
            <w:r>
              <w:rPr/>
              <w:t>not possible (static models)</w:t>
            </w:r>
          </w:p>
        </w:tc>
        <w:tc>
          <w:tcPr>
            <w:tcW w:w="1872" w:type="dxa"/>
            <w:tcBorders/>
            <w:tcMar>
              <w:start w:w="108" w:type="dxa"/>
              <w:end w:w="108" w:type="dxa"/>
            </w:tcMar>
          </w:tcPr>
          <w:p>
            <w:pPr>
              <w:pStyle w:val="Normal"/>
              <w:rPr/>
            </w:pPr>
            <w:r>
              <w:rPr/>
              <w:t>&lt;7 days</w:t>
            </w:r>
          </w:p>
        </w:tc>
        <w:tc>
          <w:tcPr>
            <w:tcW w:w="1872" w:type="dxa"/>
            <w:tcBorders/>
            <w:tcMar>
              <w:start w:w="108" w:type="dxa"/>
              <w:end w:w="108" w:type="dxa"/>
            </w:tcMar>
          </w:tcPr>
          <w:p>
            <w:pPr>
              <w:pStyle w:val="Normal"/>
              <w:rPr/>
            </w:pPr>
            <w:r>
              <w:rPr/>
              <w:t>&lt;24 hours</w:t>
            </w:r>
          </w:p>
        </w:tc>
        <w:tc>
          <w:tcPr>
            <w:tcW w:w="1872" w:type="dxa"/>
            <w:tcBorders/>
            <w:tcMar>
              <w:start w:w="108" w:type="dxa"/>
              <w:end w:w="108" w:type="dxa"/>
            </w:tcMar>
          </w:tcPr>
          <w:p>
            <w:pPr>
              <w:pStyle w:val="Normal"/>
              <w:rPr/>
            </w:pPr>
            <w:r>
              <w:rPr/>
              <w:t>&lt;4 hours</w:t>
            </w:r>
          </w:p>
        </w:tc>
      </w:tr>
      <w:tr>
        <w:trPr/>
        <w:tc>
          <w:tcPr>
            <w:tcW w:w="1872" w:type="dxa"/>
            <w:tcBorders/>
            <w:tcMar>
              <w:start w:w="108" w:type="dxa"/>
              <w:end w:w="108" w:type="dxa"/>
            </w:tcMar>
          </w:tcPr>
          <w:p>
            <w:pPr>
              <w:pStyle w:val="Normal"/>
              <w:rPr/>
            </w:pPr>
            <w:r>
              <w:rPr/>
              <w:t>Engine-designed experiments rated high-value by expert panel</w:t>
            </w:r>
          </w:p>
        </w:tc>
        <w:tc>
          <w:tcPr>
            <w:tcW w:w="1872" w:type="dxa"/>
            <w:tcBorders/>
            <w:tcMar>
              <w:start w:w="108" w:type="dxa"/>
              <w:end w:w="108" w:type="dxa"/>
            </w:tcMar>
          </w:tcPr>
          <w:p>
            <w:pPr>
              <w:pStyle w:val="Normal"/>
              <w:rPr/>
            </w:pPr>
            <w:r>
              <w:rPr/>
              <w:t>n/a (no such engine)</w:t>
            </w:r>
          </w:p>
        </w:tc>
        <w:tc>
          <w:tcPr>
            <w:tcW w:w="1872" w:type="dxa"/>
            <w:tcBorders/>
            <w:tcMar>
              <w:start w:w="108" w:type="dxa"/>
              <w:end w:w="108" w:type="dxa"/>
            </w:tcMar>
          </w:tcPr>
          <w:p>
            <w:pPr>
              <w:pStyle w:val="Normal"/>
              <w:rPr/>
            </w:pPr>
            <w:r>
              <w:rPr/>
              <w:t>≥50%</w:t>
            </w:r>
          </w:p>
        </w:tc>
        <w:tc>
          <w:tcPr>
            <w:tcW w:w="1872" w:type="dxa"/>
            <w:tcBorders/>
            <w:tcMar>
              <w:start w:w="108" w:type="dxa"/>
              <w:end w:w="108" w:type="dxa"/>
            </w:tcMar>
          </w:tcPr>
          <w:p>
            <w:pPr>
              <w:pStyle w:val="Normal"/>
              <w:rPr/>
            </w:pPr>
            <w:r>
              <w:rPr/>
              <w:t>≥75%</w:t>
            </w:r>
          </w:p>
        </w:tc>
        <w:tc>
          <w:tcPr>
            <w:tcW w:w="1872" w:type="dxa"/>
            <w:tcBorders/>
            <w:tcMar>
              <w:start w:w="108" w:type="dxa"/>
              <w:end w:w="108" w:type="dxa"/>
            </w:tcMar>
          </w:tcPr>
          <w:p>
            <w:pPr>
              <w:pStyle w:val="Normal"/>
              <w:rPr/>
            </w:pPr>
            <w:r>
              <w:rPr/>
              <w:t>≥85%</w:t>
            </w:r>
          </w:p>
        </w:tc>
      </w:tr>
      <w:tr>
        <w:trPr/>
        <w:tc>
          <w:tcPr>
            <w:tcW w:w="1872" w:type="dxa"/>
            <w:tcBorders/>
            <w:tcMar>
              <w:start w:w="108" w:type="dxa"/>
              <w:end w:w="108" w:type="dxa"/>
            </w:tcMar>
          </w:tcPr>
          <w:p>
            <w:pPr>
              <w:pStyle w:val="Normal"/>
              <w:rPr/>
            </w:pPr>
            <w:r>
              <w:rPr/>
              <w:t>Mechanistic predictions experimentally confirmed</w:t>
            </w:r>
          </w:p>
        </w:tc>
        <w:tc>
          <w:tcPr>
            <w:tcW w:w="1872" w:type="dxa"/>
            <w:tcBorders/>
            <w:tcMar>
              <w:start w:w="108" w:type="dxa"/>
              <w:end w:w="108" w:type="dxa"/>
            </w:tcMar>
          </w:tcPr>
          <w:p>
            <w:pPr>
              <w:pStyle w:val="Normal"/>
              <w:rPr/>
            </w:pPr>
            <w:r>
              <w:rPr/>
              <w:t>rare, post hoc</w:t>
            </w:r>
          </w:p>
        </w:tc>
        <w:tc>
          <w:tcPr>
            <w:tcW w:w="1872" w:type="dxa"/>
            <w:tcBorders/>
            <w:tcMar>
              <w:start w:w="108" w:type="dxa"/>
              <w:end w:w="108" w:type="dxa"/>
            </w:tcMar>
          </w:tcPr>
          <w:p>
            <w:pPr>
              <w:pStyle w:val="Normal"/>
              <w:rPr/>
            </w:pPr>
            <w:r>
              <w:rPr/>
              <w:t>≥1 designed and tested</w:t>
            </w:r>
          </w:p>
        </w:tc>
        <w:tc>
          <w:tcPr>
            <w:tcW w:w="1872" w:type="dxa"/>
            <w:tcBorders/>
            <w:tcMar>
              <w:start w:w="108" w:type="dxa"/>
              <w:end w:w="108" w:type="dxa"/>
            </w:tcMar>
          </w:tcPr>
          <w:p>
            <w:pPr>
              <w:pStyle w:val="Normal"/>
              <w:rPr/>
            </w:pPr>
            <w:r>
              <w:rPr/>
              <w:t>≥3 confirmed</w:t>
            </w:r>
          </w:p>
        </w:tc>
        <w:tc>
          <w:tcPr>
            <w:tcW w:w="1872" w:type="dxa"/>
            <w:tcBorders/>
            <w:tcMar>
              <w:start w:w="108" w:type="dxa"/>
              <w:end w:w="108" w:type="dxa"/>
            </w:tcMar>
          </w:tcPr>
          <w:p>
            <w:pPr>
              <w:pStyle w:val="Normal"/>
              <w:rPr/>
            </w:pPr>
            <w:r>
              <w:rPr/>
              <w:t>≥10 confirmed across both diseases</w:t>
            </w:r>
          </w:p>
        </w:tc>
      </w:tr>
      <w:tr>
        <w:trPr/>
        <w:tc>
          <w:tcPr>
            <w:tcW w:w="1872" w:type="dxa"/>
            <w:tcBorders/>
            <w:tcMar>
              <w:start w:w="108" w:type="dxa"/>
              <w:end w:w="108" w:type="dxa"/>
            </w:tcMar>
          </w:tcPr>
          <w:p>
            <w:pPr>
              <w:pStyle w:val="Normal"/>
              <w:rPr/>
            </w:pPr>
            <w:r>
              <w:rPr/>
              <w:t>Diseases in one self-updating model</w:t>
            </w:r>
          </w:p>
        </w:tc>
        <w:tc>
          <w:tcPr>
            <w:tcW w:w="1872" w:type="dxa"/>
            <w:tcBorders/>
            <w:tcMar>
              <w:start w:w="108" w:type="dxa"/>
              <w:end w:w="108" w:type="dxa"/>
            </w:tcMar>
          </w:tcPr>
          <w:p>
            <w:pPr>
              <w:pStyle w:val="Normal"/>
              <w:rPr/>
            </w:pPr>
            <w:r>
              <w:rPr/>
              <w:t>1, siloed</w:t>
            </w:r>
          </w:p>
        </w:tc>
        <w:tc>
          <w:tcPr>
            <w:tcW w:w="1872" w:type="dxa"/>
            <w:tcBorders/>
            <w:tcMar>
              <w:start w:w="108" w:type="dxa"/>
              <w:end w:w="108" w:type="dxa"/>
            </w:tcMar>
          </w:tcPr>
          <w:p>
            <w:pPr>
              <w:pStyle w:val="Normal"/>
              <w:rPr/>
            </w:pPr>
            <w:r>
              <w:rPr/>
              <w:t>1 (schizophrenia)</w:t>
            </w:r>
          </w:p>
        </w:tc>
        <w:tc>
          <w:tcPr>
            <w:tcW w:w="1872" w:type="dxa"/>
            <w:tcBorders/>
            <w:tcMar>
              <w:start w:w="108" w:type="dxa"/>
              <w:end w:w="108" w:type="dxa"/>
            </w:tcMar>
          </w:tcPr>
          <w:p>
            <w:pPr>
              <w:pStyle w:val="Normal"/>
              <w:rPr/>
            </w:pPr>
            <w:r>
              <w:rPr/>
              <w:t>1 + transfer test</w:t>
            </w:r>
          </w:p>
        </w:tc>
        <w:tc>
          <w:tcPr>
            <w:tcW w:w="1872" w:type="dxa"/>
            <w:tcBorders/>
            <w:tcMar>
              <w:start w:w="108" w:type="dxa"/>
              <w:end w:w="108" w:type="dxa"/>
            </w:tcMar>
          </w:tcPr>
          <w:p>
            <w:pPr>
              <w:pStyle w:val="Normal"/>
              <w:rPr/>
            </w:pPr>
            <w:r>
              <w:rPr/>
              <w:t>2 (schizophrenia + bipolar)</w:t>
            </w:r>
          </w:p>
        </w:tc>
      </w:tr>
    </w:tbl>
    <w:p>
      <w:pPr>
        <w:pStyle w:val="Normal"/>
        <w:rPr/>
      </w:pPr>
      <w:r>
        <w:rPr/>
      </w:r>
    </w:p>
    <w:p>
      <w:pPr>
        <w:pStyle w:val="Normal"/>
        <w:jc w:val="start"/>
        <w:rPr/>
      </w:pPr>
      <w:r>
        <w:rPr/>
        <w:t>Impact. Targets with human genetic support reach the clinic roughly two to three times more often, and the multiplier rises with confidence in the causal gene, which is what dual grounding delivers. Penetrant forms calibrate disease axes that generalize to idiopathic schizophrenia and span bipolar disorder, and the therapy-versus-side-effect distinction directly serves drug discovery. The marquee outcome is at least 10x faster validated knowledge by Phase III, with the model, protocol stack, and marketplace interfaces deposited openly so the same infrastructure accelerates discovery across many diseases.</w:t>
      </w:r>
    </w:p>
    <w:p>
      <w:pPr>
        <w:pStyle w:val="Normal"/>
        <w:rPr/>
      </w:pPr>
      <w:r>
        <w:rPr>
          <w:b/>
          <w:bCs/>
          <w:smallCaps/>
          <w:color w:val="000000"/>
        </w:rPr>
        <w:t xml:space="preserve">PROPOSED WORK </w:t>
      </w:r>
    </w:p>
    <w:p>
      <w:pPr>
        <w:pStyle w:val="Normal"/>
        <w:jc w:val="start"/>
        <w:rPr/>
      </w:pPr>
      <w:r>
        <w:rPr/>
        <w:t>[Figure 1: PsychIGoR closed loop - insert from figures/ folder]</w:t>
      </w:r>
    </w:p>
    <w:p>
      <w:pPr>
        <w:pStyle w:val="Normal"/>
        <w:rPr/>
      </w:pPr>
      <w:r>
        <w:rPr/>
      </w:r>
    </w:p>
    <w:p>
      <w:pPr>
        <w:pStyle w:val="Normal"/>
        <w:jc w:val="start"/>
        <w:rPr/>
      </w:pPr>
      <w:r>
        <w:rPr/>
        <w:t>Final deliverable is a validated, open, self-updating, multiscale causal model of schizophrenia and bipolar disorder that learns from every experiment it commissions, paired with an open protocol stack and a marketplace of validated laboratories that can execute any protocol it writes.</w:t>
      </w:r>
    </w:p>
    <w:p>
      <w:pPr>
        <w:pStyle w:val="Normal"/>
        <w:rPr/>
      </w:pPr>
      <w:r>
        <w:rPr/>
      </w:r>
    </w:p>
    <w:p>
      <w:pPr>
        <w:pStyle w:val="Normal"/>
        <w:jc w:val="start"/>
        <w:rPr/>
      </w:pPr>
      <w:r>
        <w:rPr/>
        <w:t>Focus Area 1 (Disease-Mechanism Modeling, TA1). We build a multiscale, causally identified disease model that integrates three data streams: single-cell transcriptomic and morphological atlases from isogenic iPSC-derived neurons (22q11.2 deletion and large-effect rare-variant cohorts), population-genetics constraints from genome-wide studies of schizophrenia and bipolar disorder, and in-coming experimental results from the closed loop. The model is structured as a three-latent structural causal model (basal cell state, disease perturbation, treatment effect) with identifiability guarantees from the population-genetics anchor. Dual grounding connects every inferred axis to both a cellular perturbation and a population-genetics signal, so the model surfaces mechanisms that are both experimentally tractable and human-disease-relevant. The computational morphology layer, led by Carpenter, applies interpretable imaging models to Cell Painting and NeuroPainting readouts, giving a phenotypic coordinate system that spans genotype-to-morphology continuously.</w:t>
      </w:r>
    </w:p>
    <w:p>
      <w:pPr>
        <w:pStyle w:val="Normal"/>
        <w:rPr/>
      </w:pPr>
      <w:r>
        <w:rPr/>
      </w:r>
    </w:p>
    <w:p>
      <w:pPr>
        <w:pStyle w:val="Normal"/>
        <w:jc w:val="start"/>
        <w:rPr/>
      </w:pPr>
      <w:r>
        <w:rPr/>
        <w:t>Focus Area 2 (New Science Engine, TA2). The engine interrogates the disease model to find knowledge gaps and proposes experiments to resolve them, using value-of-information (VOI) methods from the decision-science literature adapted to the closed-loop biological context. Each proposed experiment is specified as a machine-readable LabOP protocol decorated with the semantic foundation vocabulary. The engine ranks experiments by expected model update, routes them to the appropriate laboratory in the marketplace, and ingests results to update the model. SIFT leads the protocol semantics and automated planning layers.</w:t>
      </w:r>
    </w:p>
    <w:p>
      <w:pPr>
        <w:pStyle w:val="Normal"/>
        <w:rPr/>
      </w:pPr>
      <w:r>
        <w:rPr/>
      </w:r>
    </w:p>
    <w:p>
      <w:pPr>
        <w:pStyle w:val="Normal"/>
        <w:jc w:val="start"/>
        <w:rPr/>
      </w:pPr>
      <w:r>
        <w:rPr/>
        <w:t>Focus Area 3 (Interoperable Perturbation Protocols, TA3). Protocols are authored in LabOP, an open standard that SIFT co-developed, extended here to cover three new phases (cellular model induction, perturbation, and readout) with explicit QC gates at each phase transition. Device drivers conform to the SiLA 2 standard. A single LinkML/Biolink semantic foundation serves as the common vocabulary across all focus areas, authored once and used everywhere, eliminating seam translation between the model, the protocol, and the laboratory. The RFC overlay process governs evidence-based parameter updates so the protocol stack learns from failures and near-misses.</w:t>
      </w:r>
    </w:p>
    <w:p>
      <w:pPr>
        <w:pStyle w:val="Normal"/>
        <w:rPr/>
      </w:pPr>
      <w:r>
        <w:rPr/>
      </w:r>
    </w:p>
    <w:p>
      <w:pPr>
        <w:pStyle w:val="Normal"/>
        <w:jc w:val="start"/>
        <w:rPr/>
      </w:pPr>
      <w:r>
        <w:rPr/>
        <w:t>Focus Area 4 (Validated Laboratory Marketplace, TA4). Two complementary execution arms, one academic (Tegtmeyer lab, Purdue) and one industry (Cellanome), provide orthogonal validation capacity. Tegtmeyer supplies isogenic iPSC models with NGN2-directed differentiation, multimodal high-plex readouts, and NeuroPainting-standard morphological profiling. Cellanome provides live-cell imaging, same-cell scRNA-seq, and Perturb-seq using the R3200. Both arms execute against LabOP protocols and return data in the semantic foundation format, which feeds directly into the TA1 model update.</w:t>
      </w:r>
    </w:p>
    <w:p>
      <w:pPr>
        <w:pStyle w:val="Normal"/>
        <w:rPr/>
      </w:pPr>
      <w:r>
        <w:rPr/>
      </w:r>
    </w:p>
    <w:p>
      <w:pPr>
        <w:pStyle w:val="Normal"/>
        <w:jc w:val="start"/>
        <w:rPr/>
      </w:pPr>
      <w:r>
        <w:rPr/>
        <w:t>Phase I (months 1-18): build the data foundation and demonstrate the loop. Engineer a 22q11.2 isogenic iPSC panel; generate baseline single-cell transcriptomic and morphological atlas; establish baseline VOI metrics; run at least one full engine-to-lab-to-model cycle and demonstrate concordance across both execution arms.</w:t>
      </w:r>
    </w:p>
    <w:p>
      <w:pPr>
        <w:pStyle w:val="Normal"/>
        <w:rPr/>
      </w:pPr>
      <w:r>
        <w:rPr/>
      </w:r>
    </w:p>
    <w:p>
      <w:pPr>
        <w:pStyle w:val="Normal"/>
        <w:jc w:val="start"/>
        <w:rPr/>
      </w:pPr>
      <w:r>
        <w:rPr/>
        <w:t>Phase II (months 19-42): scale and validate. Expand the perturbation panel to large-effect rare-variant genes; run the engine autonomously through at least five hypothesis cycles; achieve &gt;=4x faster experimental cycle time; validate at least one novel prediction experimentally; open the protocol stack and marketplace interfaces.</w:t>
      </w:r>
    </w:p>
    <w:p>
      <w:pPr>
        <w:pStyle w:val="Normal"/>
        <w:rPr/>
      </w:pPr>
      <w:r>
        <w:rPr/>
      </w:r>
    </w:p>
    <w:p>
      <w:pPr>
        <w:pStyle w:val="Normal"/>
        <w:jc w:val="start"/>
        <w:rPr/>
      </w:pPr>
      <w:r>
        <w:rPr/>
        <w:t>Phase III (months 43-60): extend to bipolar disorder and achieve 10x. Ingest BDNF/TrkB pathway data and bipolar-disorder population-genetics anchors; extend the model to the second disease area; demonstrate &gt;=10x faster validated knowledge generation relative to the Phase I baseline; deliver the open, self-updating model and the populated marketplace.</w:t>
      </w:r>
    </w:p>
    <w:p>
      <w:pPr>
        <w:pStyle w:val="Normal"/>
        <w:rPr/>
      </w:pPr>
      <w:r>
        <w:rPr/>
      </w:r>
    </w:p>
    <w:p>
      <w:pPr>
        <w:pStyle w:val="Normal"/>
        <w:jc w:val="start"/>
        <w:rPr/>
      </w:pPr>
      <w:r>
        <w:rPr/>
        <w:t>Phase-gated milestones are the metrics in Section 2.</w:t>
      </w:r>
    </w:p>
    <w:p>
      <w:pPr>
        <w:pStyle w:val="Normal"/>
        <w:rPr/>
      </w:pPr>
      <w:r>
        <w:rPr>
          <w:b/>
          <w:bCs/>
          <w:smallCaps/>
          <w:color w:val="000000"/>
        </w:rPr>
        <w:t xml:space="preserve">TEAM ORGANIZATION AND CAPABILITIES: </w:t>
      </w:r>
    </w:p>
    <w:p>
      <w:pPr>
        <w:pStyle w:val="Normal"/>
        <w:jc w:val="start"/>
        <w:rPr/>
      </w:pPr>
      <w:r>
        <w:rPr>
          <w:b/>
          <w:bCs/>
        </w:rPr>
        <w:t>4.1 Organizational roles and responsibilities.</w:t>
      </w:r>
      <w:r>
        <w:rPr/>
        <w:t xml:space="preserve"> Purdue/IPAI is the prime (PI Ananth Grama), leading TA1 disease modeling, the TA2 experiment-design engine, and hosting the Tegtmeyer academic execution laboratory; Cytognosis (Shahin Mohammadi) co-leads TA1 disease modeling, TA1-to-TA2 hypothesis generation, and the semantic foundation; SIFT (Daniel Bryce) leads the TA2-TA3 interface, TA3 interoperable protocols, and TA3-TA4, and co-leads the semantic foundation; the validated-laboratory marketplace runs through Tegtmeyer's academic arm (Purdue) and Cellanome's industry arm; McLean/HMS (Ruzicka) provides clinical and translational grounding and data governance. A project manager (Patricia Purcell, hired via Cytognosis) and a software/systems architect (distinct from the PI, as required) support delivery across all focus areas.</w:t>
      </w:r>
    </w:p>
    <w:p>
      <w:pPr>
        <w:pStyle w:val="Normal"/>
        <w:jc w:val="start"/>
        <w:rPr/>
      </w:pPr>
      <w:r>
        <w:rPr>
          <w:b/>
          <w:bCs/>
        </w:rPr>
        <w:t>4.2 Key personnel.</w:t>
      </w:r>
    </w:p>
    <w:p>
      <w:pPr>
        <w:pStyle w:val="Normal"/>
        <w:jc w:val="start"/>
        <w:rPr/>
      </w:pPr>
      <w:r>
        <w:rPr>
          <w:b/>
          <w:bCs/>
        </w:rPr>
        <w:t>Ananth Grama</w:t>
      </w:r>
      <w:r>
        <w:rPr/>
        <w:t xml:space="preserve"> -- Samuel D. Conte Distinguished Professor of Computer Science; Director, Institute for Physical AI (IPAI), Purdue University. Expert in parallel and distributed computing, large-scale data analytics, and AI; leads the IPAI program bridging AI with physical sciences including drug development and systems biology.</w:t>
      </w:r>
    </w:p>
    <w:p>
      <w:pPr>
        <w:pStyle w:val="Normal"/>
        <w:jc w:val="start"/>
        <w:rPr/>
      </w:pPr>
      <w:r>
        <w:rPr>
          <w:b/>
          <w:bCs/>
        </w:rPr>
        <w:t>Shahin Mohammadi</w:t>
      </w:r>
      <w:r>
        <w:rPr/>
        <w:t xml:space="preserve"> -- Founder and CEO, Cytognosis Foundation. Computational biologist with expertise in single-cell genomics, causal and perturbation modeling, and psychiatric genetics; co-senior author of the McLean/Mount Sinai schizophrenia single-cell atlas (Ruzicka et al., Science 2024).</w:t>
      </w:r>
    </w:p>
    <w:p>
      <w:pPr>
        <w:pStyle w:val="Normal"/>
        <w:jc w:val="start"/>
        <w:rPr/>
      </w:pPr>
      <w:commentRangeStart w:id="2"/>
      <w:r>
        <w:rPr>
          <w:b/>
          <w:bCs/>
        </w:rPr>
        <w:t>Matthew Tegtmeyer</w:t>
      </w:r>
      <w:commentRangeEnd w:id="2"/>
      <w:r>
        <w:rPr>
          <w:rStyle w:val="CommentReference"/>
        </w:rPr>
        <w:commentReference w:id="2"/>
      </w:r>
      <w:r>
        <w:rPr/>
        <w:t xml:space="preserve"> -- Assistant Professor of Biological Sciences, Purdue University. Developer of NeuroPainting; his laboratory uses multimodal phenomics (high-content morphology and scRNA-seq) to study genetic variants in iPSC-derived neural models, with specific focus on the 22q11.2 deletion and schizophrenia mechanisms.</w:t>
      </w:r>
    </w:p>
    <w:p>
      <w:pPr>
        <w:pStyle w:val="Normal"/>
        <w:jc w:val="start"/>
        <w:rPr/>
      </w:pPr>
      <w:r>
        <w:rPr>
          <w:b/>
          <w:bCs/>
        </w:rPr>
        <w:t>Anne Carpenter</w:t>
      </w:r>
      <w:r>
        <w:rPr/>
        <w:t xml:space="preserve"> -- Institute Scientist and Senior Director of the Imaging Platform, Broad Institute of MIT and Harvard. Inventor of CellProfiler and co-inventor of the Cell Painting assay; leads image-based cell profiling at scale for high-throughput biological discovery.</w:t>
      </w:r>
    </w:p>
    <w:p>
      <w:pPr>
        <w:pStyle w:val="Normal"/>
        <w:jc w:val="start"/>
        <w:rPr/>
      </w:pPr>
      <w:r>
        <w:rPr>
          <w:b/>
          <w:bCs/>
        </w:rPr>
        <w:t>W. Brad Ruzicka</w:t>
      </w:r>
      <w:r>
        <w:rPr/>
        <w:t xml:space="preserve"> -- Assistant Professor of Psychiatry, Harvard Medical School; Director, Laboratory for Epigenomics in Human Psychopathology, McLean Hospital. Leads psychiatric single-cell genomics within PsychENCODE; co-senior author of the schizophrenia single-cell atlas (Ruzicka et al., Science 2024).</w:t>
      </w:r>
    </w:p>
    <w:p>
      <w:pPr>
        <w:pStyle w:val="Normal"/>
        <w:jc w:val="start"/>
        <w:rPr/>
      </w:pPr>
      <w:r>
        <w:rPr>
          <w:b/>
          <w:bCs/>
        </w:rPr>
        <w:t>Daniel Bryce</w:t>
      </w:r>
      <w:r>
        <w:rPr/>
        <w:t xml:space="preserve"> -- Fellow, Smart Information Flow Technologies (SIFT). Automated planning and AI for scientific discovery; PI for DARPA XPlan and LabOP Open Datasets, co-developer of the LabOP protocol language under DARPA SD2.</w:t>
      </w:r>
    </w:p>
    <w:p>
      <w:pPr>
        <w:pStyle w:val="Normal"/>
        <w:rPr/>
      </w:pPr>
      <w:r>
        <w:rPr>
          <w:b/>
          <w:bCs/>
          <w:smallCaps/>
          <w:color w:val="000000"/>
        </w:rPr>
        <w:t>BASIS OF ESTIMATE (BOE) - Not Included in The Page Limit:</w:t>
      </w:r>
    </w:p>
    <w:p>
      <w:pPr>
        <w:pStyle w:val="Normal"/>
        <w:jc w:val="start"/>
        <w:rPr>
          <w:color w:val="000000"/>
        </w:rPr>
      </w:pPr>
      <w:r>
        <w:rPr>
          <w:color w:val="000000"/>
        </w:rPr>
      </w:r>
    </w:p>
    <w:p>
      <w:pPr>
        <w:pStyle w:val="Normal"/>
        <w:rPr/>
      </w:pPr>
      <w:r>
        <w:rPr/>
      </w:r>
    </w:p>
    <w:tbl>
      <w:tblPr>
        <w:tblW w:w="5000" w:type="pct"/>
        <w:jc w:val="start"/>
        <w:tblInd w:w="0" w:type="dxa"/>
        <w:tblLayout w:type="fixed"/>
        <w:tblCellMar>
          <w:top w:w="0" w:type="dxa"/>
          <w:start w:w="0" w:type="dxa"/>
          <w:bottom w:w="0" w:type="dxa"/>
          <w:end w:w="0" w:type="dxa"/>
        </w:tblCellMar>
      </w:tblPr>
      <w:tblGrid>
        <w:gridCol w:w="1872"/>
        <w:gridCol w:w="1872"/>
        <w:gridCol w:w="1872"/>
        <w:gridCol w:w="1872"/>
        <w:gridCol w:w="1872"/>
      </w:tblGrid>
      <w:tr>
        <w:trPr/>
        <w:tc>
          <w:tcPr>
            <w:tcW w:w="1872" w:type="dxa"/>
            <w:tcBorders/>
          </w:tcPr>
          <w:p>
            <w:pPr>
              <w:pStyle w:val="Normal"/>
              <w:rPr>
                <w:b/>
                <w:bCs/>
              </w:rPr>
            </w:pPr>
            <w:r>
              <w:rPr>
                <w:b/>
                <w:bCs/>
              </w:rPr>
              <w:t>Performer</w:t>
            </w:r>
          </w:p>
        </w:tc>
        <w:tc>
          <w:tcPr>
            <w:tcW w:w="1872" w:type="dxa"/>
            <w:tcBorders/>
          </w:tcPr>
          <w:p>
            <w:pPr>
              <w:pStyle w:val="Normal"/>
              <w:rPr>
                <w:b/>
                <w:bCs/>
              </w:rPr>
            </w:pPr>
            <w:r>
              <w:rPr>
                <w:b/>
                <w:bCs/>
              </w:rPr>
              <w:t>Role / focus</w:t>
            </w:r>
          </w:p>
        </w:tc>
        <w:tc>
          <w:tcPr>
            <w:tcW w:w="1872" w:type="dxa"/>
            <w:tcBorders/>
          </w:tcPr>
          <w:p>
            <w:pPr>
              <w:pStyle w:val="Normal"/>
              <w:rPr>
                <w:b/>
                <w:bCs/>
              </w:rPr>
            </w:pPr>
            <w:r>
              <w:rPr>
                <w:b/>
                <w:bCs/>
              </w:rPr>
              <w:t>5-yr total</w:t>
            </w:r>
          </w:p>
        </w:tc>
        <w:tc>
          <w:tcPr>
            <w:tcW w:w="1872" w:type="dxa"/>
            <w:tcBorders/>
          </w:tcPr>
          <w:p>
            <w:pPr>
              <w:pStyle w:val="Normal"/>
              <w:rPr>
                <w:b/>
                <w:bCs/>
              </w:rPr>
            </w:pPr>
            <w:r>
              <w:rPr>
                <w:b/>
                <w:bCs/>
              </w:rPr>
              <w:t>Phase I</w:t>
            </w:r>
          </w:p>
        </w:tc>
        <w:tc>
          <w:tcPr>
            <w:tcW w:w="1872" w:type="dxa"/>
            <w:tcBorders/>
          </w:tcPr>
          <w:p>
            <w:pPr>
              <w:pStyle w:val="Normal"/>
              <w:rPr>
                <w:b/>
                <w:bCs/>
              </w:rPr>
            </w:pPr>
            <w:r>
              <w:rPr>
                <w:b/>
                <w:bCs/>
              </w:rPr>
              <w:t>Phase II/III</w:t>
            </w:r>
          </w:p>
        </w:tc>
      </w:tr>
      <w:tr>
        <w:trPr/>
        <w:tc>
          <w:tcPr>
            <w:tcW w:w="1872" w:type="dxa"/>
            <w:tcBorders/>
          </w:tcPr>
          <w:p>
            <w:pPr>
              <w:pStyle w:val="Normal"/>
              <w:rPr/>
            </w:pPr>
            <w:r>
              <w:rPr/>
              <w:t>Purdue/IPAI, computational (Prime)</w:t>
            </w:r>
          </w:p>
        </w:tc>
        <w:tc>
          <w:tcPr>
            <w:tcW w:w="1872" w:type="dxa"/>
            <w:tcBorders/>
          </w:tcPr>
          <w:p>
            <w:pPr>
              <w:pStyle w:val="Normal"/>
              <w:rPr/>
            </w:pPr>
            <w:r>
              <w:rPr/>
              <w:t>PI Grama; TA1/TA2 co-lead; Carpenter computational morphology</w:t>
            </w:r>
          </w:p>
        </w:tc>
        <w:tc>
          <w:tcPr>
            <w:tcW w:w="1872" w:type="dxa"/>
            <w:tcBorders/>
          </w:tcPr>
          <w:p>
            <w:pPr>
              <w:pStyle w:val="Normal"/>
              <w:rPr/>
            </w:pPr>
            <w:r>
              <w:rPr/>
              <w:t>$6.5M</w:t>
            </w:r>
          </w:p>
        </w:tc>
        <w:tc>
          <w:tcPr>
            <w:tcW w:w="1872" w:type="dxa"/>
            <w:tcBorders/>
          </w:tcPr>
          <w:p>
            <w:pPr>
              <w:pStyle w:val="Normal"/>
              <w:rPr/>
            </w:pPr>
            <w:r>
              <w:rPr/>
              <w:t>$1.8M</w:t>
            </w:r>
          </w:p>
        </w:tc>
        <w:tc>
          <w:tcPr>
            <w:tcW w:w="1872" w:type="dxa"/>
            <w:tcBorders/>
          </w:tcPr>
          <w:p>
            <w:pPr>
              <w:pStyle w:val="Normal"/>
              <w:rPr/>
            </w:pPr>
            <w:r>
              <w:rPr/>
              <w:t>$2.0M / $2.7M</w:t>
            </w:r>
          </w:p>
        </w:tc>
      </w:tr>
      <w:tr>
        <w:trPr/>
        <w:tc>
          <w:tcPr>
            <w:tcW w:w="1872" w:type="dxa"/>
            <w:tcBorders/>
          </w:tcPr>
          <w:p>
            <w:pPr>
              <w:pStyle w:val="Normal"/>
              <w:rPr/>
            </w:pPr>
            <w:r>
              <w:rPr/>
              <w:t>Purdue, Tegtmeyer lab</w:t>
            </w:r>
          </w:p>
        </w:tc>
        <w:tc>
          <w:tcPr>
            <w:tcW w:w="1872" w:type="dxa"/>
            <w:tcBorders/>
          </w:tcPr>
          <w:p>
            <w:pPr>
              <w:pStyle w:val="Normal"/>
              <w:rPr/>
            </w:pPr>
            <w:r>
              <w:rPr/>
              <w:t>TA4 academic wet-lab; TA1 contributor; Phase I equipment</w:t>
            </w:r>
          </w:p>
        </w:tc>
        <w:tc>
          <w:tcPr>
            <w:tcW w:w="1872" w:type="dxa"/>
            <w:tcBorders/>
          </w:tcPr>
          <w:p>
            <w:pPr>
              <w:pStyle w:val="Normal"/>
              <w:rPr/>
            </w:pPr>
            <w:r>
              <w:rPr/>
              <w:t>$6.0M</w:t>
            </w:r>
          </w:p>
        </w:tc>
        <w:tc>
          <w:tcPr>
            <w:tcW w:w="1872" w:type="dxa"/>
            <w:tcBorders/>
          </w:tcPr>
          <w:p>
            <w:pPr>
              <w:pStyle w:val="Normal"/>
              <w:rPr/>
            </w:pPr>
            <w:r>
              <w:rPr/>
              <w:t>$2.0M</w:t>
            </w:r>
          </w:p>
        </w:tc>
        <w:tc>
          <w:tcPr>
            <w:tcW w:w="1872" w:type="dxa"/>
            <w:tcBorders/>
          </w:tcPr>
          <w:p>
            <w:pPr>
              <w:pStyle w:val="Normal"/>
              <w:rPr/>
            </w:pPr>
            <w:r>
              <w:rPr/>
              <w:t>$1.7M / $2.3M</w:t>
            </w:r>
          </w:p>
        </w:tc>
      </w:tr>
      <w:tr>
        <w:trPr/>
        <w:tc>
          <w:tcPr>
            <w:tcW w:w="1872" w:type="dxa"/>
            <w:tcBorders/>
          </w:tcPr>
          <w:p>
            <w:pPr>
              <w:pStyle w:val="Normal"/>
              <w:rPr/>
            </w:pPr>
            <w:r>
              <w:rPr/>
              <w:t>Cytognosis (sub)</w:t>
            </w:r>
          </w:p>
        </w:tc>
        <w:tc>
          <w:tcPr>
            <w:tcW w:w="1872" w:type="dxa"/>
            <w:tcBorders/>
          </w:tcPr>
          <w:p>
            <w:pPr>
              <w:pStyle w:val="Normal"/>
              <w:rPr/>
            </w:pPr>
            <w:r>
              <w:rPr/>
              <w:t>TA1 disease-model lead; TA2 co-lead; semantic foundation co-lead</w:t>
            </w:r>
          </w:p>
        </w:tc>
        <w:tc>
          <w:tcPr>
            <w:tcW w:w="1872" w:type="dxa"/>
            <w:tcBorders/>
          </w:tcPr>
          <w:p>
            <w:pPr>
              <w:pStyle w:val="Normal"/>
              <w:rPr/>
            </w:pPr>
            <w:r>
              <w:rPr/>
              <w:t>$9.5M</w:t>
            </w:r>
          </w:p>
        </w:tc>
        <w:tc>
          <w:tcPr>
            <w:tcW w:w="1872" w:type="dxa"/>
            <w:tcBorders/>
          </w:tcPr>
          <w:p>
            <w:pPr>
              <w:pStyle w:val="Normal"/>
              <w:rPr/>
            </w:pPr>
            <w:r>
              <w:rPr/>
              <w:t>$2.4M</w:t>
            </w:r>
          </w:p>
        </w:tc>
        <w:tc>
          <w:tcPr>
            <w:tcW w:w="1872" w:type="dxa"/>
            <w:tcBorders/>
          </w:tcPr>
          <w:p>
            <w:pPr>
              <w:pStyle w:val="Normal"/>
              <w:rPr/>
            </w:pPr>
            <w:r>
              <w:rPr/>
              <w:t>$2.9M / $4.2M</w:t>
            </w:r>
          </w:p>
        </w:tc>
      </w:tr>
      <w:tr>
        <w:trPr/>
        <w:tc>
          <w:tcPr>
            <w:tcW w:w="1872" w:type="dxa"/>
            <w:tcBorders/>
          </w:tcPr>
          <w:p>
            <w:pPr>
              <w:pStyle w:val="Normal"/>
              <w:rPr/>
            </w:pPr>
            <w:r>
              <w:rPr/>
              <w:t>SIFT (sub)</w:t>
            </w:r>
          </w:p>
        </w:tc>
        <w:tc>
          <w:tcPr>
            <w:tcW w:w="1872" w:type="dxa"/>
            <w:tcBorders/>
          </w:tcPr>
          <w:p>
            <w:pPr>
              <w:pStyle w:val="Normal"/>
              <w:rPr/>
            </w:pPr>
            <w:r>
              <w:rPr/>
              <w:t>TA2-TA3 interoperable protocols; VOI layer</w:t>
            </w:r>
          </w:p>
        </w:tc>
        <w:tc>
          <w:tcPr>
            <w:tcW w:w="1872" w:type="dxa"/>
            <w:tcBorders/>
          </w:tcPr>
          <w:p>
            <w:pPr>
              <w:pStyle w:val="Normal"/>
              <w:rPr/>
            </w:pPr>
            <w:r>
              <w:rPr/>
              <w:t>$7.0M</w:t>
            </w:r>
          </w:p>
        </w:tc>
        <w:tc>
          <w:tcPr>
            <w:tcW w:w="1872" w:type="dxa"/>
            <w:tcBorders/>
          </w:tcPr>
          <w:p>
            <w:pPr>
              <w:pStyle w:val="Normal"/>
              <w:rPr/>
            </w:pPr>
            <w:r>
              <w:rPr/>
              <w:t>$2.0M</w:t>
            </w:r>
          </w:p>
        </w:tc>
        <w:tc>
          <w:tcPr>
            <w:tcW w:w="1872" w:type="dxa"/>
            <w:tcBorders/>
          </w:tcPr>
          <w:p>
            <w:pPr>
              <w:pStyle w:val="Normal"/>
              <w:rPr/>
            </w:pPr>
            <w:r>
              <w:rPr/>
              <w:t>$2.2M / $2.8M</w:t>
            </w:r>
          </w:p>
        </w:tc>
      </w:tr>
      <w:tr>
        <w:trPr/>
        <w:tc>
          <w:tcPr>
            <w:tcW w:w="1872" w:type="dxa"/>
            <w:tcBorders/>
          </w:tcPr>
          <w:p>
            <w:pPr>
              <w:pStyle w:val="Normal"/>
              <w:rPr/>
            </w:pPr>
            <w:r>
              <w:rPr/>
              <w:t>Cellanome (sub)</w:t>
            </w:r>
          </w:p>
        </w:tc>
        <w:tc>
          <w:tcPr>
            <w:tcW w:w="1872" w:type="dxa"/>
            <w:tcBorders/>
          </w:tcPr>
          <w:p>
            <w:pPr>
              <w:pStyle w:val="Normal"/>
              <w:rPr/>
            </w:pPr>
            <w:r>
              <w:rPr/>
              <w:t>TA4 industry execution arm: live-cell imaging, same-cell scRNA-seq, Perturb-seq (R3200)</w:t>
            </w:r>
          </w:p>
        </w:tc>
        <w:tc>
          <w:tcPr>
            <w:tcW w:w="1872" w:type="dxa"/>
            <w:tcBorders/>
          </w:tcPr>
          <w:p>
            <w:pPr>
              <w:pStyle w:val="Normal"/>
              <w:rPr/>
            </w:pPr>
            <w:r>
              <w:rPr/>
              <w:t>$6.0M</w:t>
            </w:r>
          </w:p>
        </w:tc>
        <w:tc>
          <w:tcPr>
            <w:tcW w:w="1872" w:type="dxa"/>
            <w:tcBorders/>
          </w:tcPr>
          <w:p>
            <w:pPr>
              <w:pStyle w:val="Normal"/>
              <w:rPr/>
            </w:pPr>
            <w:r>
              <w:rPr/>
              <w:t>$1.4M</w:t>
            </w:r>
          </w:p>
        </w:tc>
        <w:tc>
          <w:tcPr>
            <w:tcW w:w="1872" w:type="dxa"/>
            <w:tcBorders/>
          </w:tcPr>
          <w:p>
            <w:pPr>
              <w:pStyle w:val="Normal"/>
              <w:rPr/>
            </w:pPr>
            <w:r>
              <w:rPr/>
              <w:t>$1.8M / $2.8M</w:t>
            </w:r>
          </w:p>
        </w:tc>
      </w:tr>
      <w:tr>
        <w:trPr/>
        <w:tc>
          <w:tcPr>
            <w:tcW w:w="1872" w:type="dxa"/>
            <w:tcBorders/>
          </w:tcPr>
          <w:p>
            <w:pPr>
              <w:pStyle w:val="Normal"/>
              <w:rPr/>
            </w:pPr>
            <w:r>
              <w:rPr/>
              <w:t>Shared program compute</w:t>
            </w:r>
          </w:p>
        </w:tc>
        <w:tc>
          <w:tcPr>
            <w:tcW w:w="1872" w:type="dxa"/>
            <w:tcBorders/>
          </w:tcPr>
          <w:p>
            <w:pPr>
              <w:pStyle w:val="Normal"/>
              <w:rPr/>
            </w:pPr>
            <w:r>
              <w:rPr/>
              <w:t>GPU and cloud for model training and engine inference</w:t>
            </w:r>
          </w:p>
        </w:tc>
        <w:tc>
          <w:tcPr>
            <w:tcW w:w="1872" w:type="dxa"/>
            <w:tcBorders/>
          </w:tcPr>
          <w:p>
            <w:pPr>
              <w:pStyle w:val="Normal"/>
              <w:rPr/>
            </w:pPr>
            <w:r>
              <w:rPr/>
              <w:t>$2.5M</w:t>
            </w:r>
          </w:p>
        </w:tc>
        <w:tc>
          <w:tcPr>
            <w:tcW w:w="1872" w:type="dxa"/>
            <w:tcBorders/>
          </w:tcPr>
          <w:p>
            <w:pPr>
              <w:pStyle w:val="Normal"/>
              <w:rPr/>
            </w:pPr>
            <w:r>
              <w:rPr/>
              <w:t>$0.6M</w:t>
            </w:r>
          </w:p>
        </w:tc>
        <w:tc>
          <w:tcPr>
            <w:tcW w:w="1872" w:type="dxa"/>
            <w:tcBorders/>
          </w:tcPr>
          <w:p>
            <w:pPr>
              <w:pStyle w:val="Normal"/>
              <w:rPr/>
            </w:pPr>
            <w:r>
              <w:rPr/>
              <w:t>$0.8M / $1.1M</w:t>
            </w:r>
          </w:p>
        </w:tc>
      </w:tr>
      <w:tr>
        <w:trPr/>
        <w:tc>
          <w:tcPr>
            <w:tcW w:w="1872" w:type="dxa"/>
            <w:tcBorders/>
          </w:tcPr>
          <w:p>
            <w:pPr>
              <w:pStyle w:val="Normal"/>
              <w:rPr/>
            </w:pPr>
            <w:r>
              <w:rPr/>
              <w:t>TA4 sequencing (service/CRO)</w:t>
            </w:r>
          </w:p>
        </w:tc>
        <w:tc>
          <w:tcPr>
            <w:tcW w:w="1872" w:type="dxa"/>
            <w:tcBorders/>
          </w:tcPr>
          <w:p>
            <w:pPr>
              <w:pStyle w:val="Normal"/>
              <w:rPr/>
            </w:pPr>
            <w:r>
              <w:rPr/>
              <w:t>scRNA-seq and Perturb-seq sequencing</w:t>
            </w:r>
          </w:p>
        </w:tc>
        <w:tc>
          <w:tcPr>
            <w:tcW w:w="1872" w:type="dxa"/>
            <w:tcBorders/>
          </w:tcPr>
          <w:p>
            <w:pPr>
              <w:pStyle w:val="Normal"/>
              <w:rPr/>
            </w:pPr>
            <w:r>
              <w:rPr/>
              <w:t>$2.0M</w:t>
            </w:r>
          </w:p>
        </w:tc>
        <w:tc>
          <w:tcPr>
            <w:tcW w:w="1872" w:type="dxa"/>
            <w:tcBorders/>
          </w:tcPr>
          <w:p>
            <w:pPr>
              <w:pStyle w:val="Normal"/>
              <w:rPr/>
            </w:pPr>
            <w:r>
              <w:rPr/>
              <w:t>$0.4M</w:t>
            </w:r>
          </w:p>
        </w:tc>
        <w:tc>
          <w:tcPr>
            <w:tcW w:w="1872" w:type="dxa"/>
            <w:tcBorders/>
          </w:tcPr>
          <w:p>
            <w:pPr>
              <w:pStyle w:val="Normal"/>
              <w:rPr/>
            </w:pPr>
            <w:r>
              <w:rPr/>
              <w:t>$0.6M / $1.0M</w:t>
            </w:r>
          </w:p>
        </w:tc>
      </w:tr>
      <w:tr>
        <w:trPr/>
        <w:tc>
          <w:tcPr>
            <w:tcW w:w="1872" w:type="dxa"/>
            <w:tcBorders/>
          </w:tcPr>
          <w:p>
            <w:pPr>
              <w:pStyle w:val="Normal"/>
              <w:rPr/>
            </w:pPr>
            <w:r>
              <w:rPr/>
              <w:t>McLean/HMS (sub)</w:t>
            </w:r>
          </w:p>
        </w:tc>
        <w:tc>
          <w:tcPr>
            <w:tcW w:w="1872" w:type="dxa"/>
            <w:tcBorders/>
          </w:tcPr>
          <w:p>
            <w:pPr>
              <w:pStyle w:val="Normal"/>
              <w:rPr/>
            </w:pPr>
            <w:r>
              <w:rPr/>
              <w:t>Clinical and cohort interpretation; data governance</w:t>
            </w:r>
          </w:p>
        </w:tc>
        <w:tc>
          <w:tcPr>
            <w:tcW w:w="1872" w:type="dxa"/>
            <w:tcBorders/>
          </w:tcPr>
          <w:p>
            <w:pPr>
              <w:pStyle w:val="Normal"/>
              <w:rPr/>
            </w:pPr>
            <w:r>
              <w:rPr/>
              <w:t>$0.7M</w:t>
            </w:r>
          </w:p>
        </w:tc>
        <w:tc>
          <w:tcPr>
            <w:tcW w:w="1872" w:type="dxa"/>
            <w:tcBorders/>
          </w:tcPr>
          <w:p>
            <w:pPr>
              <w:pStyle w:val="Normal"/>
              <w:rPr/>
            </w:pPr>
            <w:r>
              <w:rPr/>
              <w:t>$0.2M</w:t>
            </w:r>
          </w:p>
        </w:tc>
        <w:tc>
          <w:tcPr>
            <w:tcW w:w="1872" w:type="dxa"/>
            <w:tcBorders/>
          </w:tcPr>
          <w:p>
            <w:pPr>
              <w:pStyle w:val="Normal"/>
              <w:rPr/>
            </w:pPr>
            <w:r>
              <w:rPr/>
              <w:t>$0.2M / $0.3M</w:t>
            </w:r>
          </w:p>
        </w:tc>
      </w:tr>
      <w:tr>
        <w:trPr/>
        <w:tc>
          <w:tcPr>
            <w:tcW w:w="1872" w:type="dxa"/>
            <w:tcBorders/>
          </w:tcPr>
          <w:p>
            <w:pPr>
              <w:pStyle w:val="Normal"/>
              <w:rPr/>
            </w:pPr>
            <w:r>
              <w:rPr/>
              <w:t>Duane Valz, legal/IP</w:t>
            </w:r>
          </w:p>
        </w:tc>
        <w:tc>
          <w:tcPr>
            <w:tcW w:w="1872" w:type="dxa"/>
            <w:tcBorders/>
          </w:tcPr>
          <w:p>
            <w:pPr>
              <w:pStyle w:val="Normal"/>
              <w:rPr/>
            </w:pPr>
            <w:r>
              <w:rPr/>
              <w:t>OT agreement, IP and field-of-use strategy</w:t>
            </w:r>
          </w:p>
        </w:tc>
        <w:tc>
          <w:tcPr>
            <w:tcW w:w="1872" w:type="dxa"/>
            <w:tcBorders/>
          </w:tcPr>
          <w:p>
            <w:pPr>
              <w:pStyle w:val="Normal"/>
              <w:rPr/>
            </w:pPr>
            <w:r>
              <w:rPr/>
              <w:t>$0.2M</w:t>
            </w:r>
          </w:p>
        </w:tc>
        <w:tc>
          <w:tcPr>
            <w:tcW w:w="1872" w:type="dxa"/>
            <w:tcBorders/>
          </w:tcPr>
          <w:p>
            <w:pPr>
              <w:pStyle w:val="Normal"/>
              <w:rPr/>
            </w:pPr>
            <w:r>
              <w:rPr/>
              <w:t>$0.08M</w:t>
            </w:r>
          </w:p>
        </w:tc>
        <w:tc>
          <w:tcPr>
            <w:tcW w:w="1872" w:type="dxa"/>
            <w:tcBorders/>
          </w:tcPr>
          <w:p>
            <w:pPr>
              <w:pStyle w:val="Normal"/>
              <w:rPr/>
            </w:pPr>
            <w:r>
              <w:rPr/>
              <w:t>$0.06M / $0.06M</w:t>
            </w:r>
          </w:p>
        </w:tc>
      </w:tr>
      <w:tr>
        <w:trPr/>
        <w:tc>
          <w:tcPr>
            <w:tcW w:w="1872" w:type="dxa"/>
            <w:tcBorders/>
          </w:tcPr>
          <w:p>
            <w:pPr>
              <w:pStyle w:val="Normal"/>
              <w:rPr/>
            </w:pPr>
            <w:r>
              <w:rPr/>
              <w:t>Cross-team, integration, reserve</w:t>
            </w:r>
          </w:p>
        </w:tc>
        <w:tc>
          <w:tcPr>
            <w:tcW w:w="1872" w:type="dxa"/>
            <w:tcBorders/>
          </w:tcPr>
          <w:p>
            <w:pPr>
              <w:pStyle w:val="Normal"/>
              <w:rPr/>
            </w:pPr>
            <w:r>
              <w:rPr/>
              <w:t>DDD workshop, bake-offs, connect-a-thon, reserve</w:t>
            </w:r>
          </w:p>
        </w:tc>
        <w:tc>
          <w:tcPr>
            <w:tcW w:w="1872" w:type="dxa"/>
            <w:tcBorders/>
          </w:tcPr>
          <w:p>
            <w:pPr>
              <w:pStyle w:val="Normal"/>
              <w:rPr/>
            </w:pPr>
            <w:r>
              <w:rPr/>
              <w:t>$2.5M</w:t>
            </w:r>
          </w:p>
        </w:tc>
        <w:tc>
          <w:tcPr>
            <w:tcW w:w="1872" w:type="dxa"/>
            <w:tcBorders/>
          </w:tcPr>
          <w:p>
            <w:pPr>
              <w:pStyle w:val="Normal"/>
              <w:rPr/>
            </w:pPr>
            <w:r>
              <w:rPr/>
              <w:t>$0.6M</w:t>
            </w:r>
          </w:p>
        </w:tc>
        <w:tc>
          <w:tcPr>
            <w:tcW w:w="1872" w:type="dxa"/>
            <w:tcBorders/>
          </w:tcPr>
          <w:p>
            <w:pPr>
              <w:pStyle w:val="Normal"/>
              <w:rPr/>
            </w:pPr>
            <w:r>
              <w:rPr/>
              <w:t>$0.8M / $1.1M</w:t>
            </w:r>
          </w:p>
        </w:tc>
      </w:tr>
      <w:tr>
        <w:trPr/>
        <w:tc>
          <w:tcPr>
            <w:tcW w:w="1872" w:type="dxa"/>
            <w:tcBorders/>
          </w:tcPr>
          <w:p>
            <w:pPr>
              <w:pStyle w:val="Normal"/>
              <w:rPr/>
            </w:pPr>
            <w:r>
              <w:rPr/>
              <w:t>Total ARPA-H request</w:t>
            </w:r>
          </w:p>
        </w:tc>
        <w:tc>
          <w:tcPr>
            <w:tcW w:w="1872" w:type="dxa"/>
            <w:tcBorders/>
          </w:tcPr>
          <w:p>
            <w:pPr>
              <w:pStyle w:val="Normal"/>
              <w:rPr/>
            </w:pPr>
            <w:r>
              <w:rPr/>
            </w:r>
          </w:p>
        </w:tc>
        <w:tc>
          <w:tcPr>
            <w:tcW w:w="1872" w:type="dxa"/>
            <w:tcBorders/>
          </w:tcPr>
          <w:p>
            <w:pPr>
              <w:pStyle w:val="Normal"/>
              <w:rPr/>
            </w:pPr>
            <w:r>
              <w:rPr/>
              <w:t>~$42.9M</w:t>
            </w:r>
          </w:p>
        </w:tc>
        <w:tc>
          <w:tcPr>
            <w:tcW w:w="1872" w:type="dxa"/>
            <w:tcBorders/>
          </w:tcPr>
          <w:p>
            <w:pPr>
              <w:pStyle w:val="Normal"/>
              <w:rPr/>
            </w:pPr>
            <w:r>
              <w:rPr/>
              <w:t>~$11.5M</w:t>
            </w:r>
          </w:p>
        </w:tc>
        <w:tc>
          <w:tcPr>
            <w:tcW w:w="1872" w:type="dxa"/>
            <w:tcBorders/>
          </w:tcPr>
          <w:p>
            <w:pPr>
              <w:pStyle w:val="Normal"/>
              <w:rPr/>
            </w:pPr>
            <w:r>
              <w:rPr/>
              <w:t>~$13.1M / ~$18.4M</w:t>
            </w:r>
          </w:p>
        </w:tc>
      </w:tr>
    </w:tbl>
    <w:p>
      <w:pPr>
        <w:pStyle w:val="Normal"/>
        <w:rPr/>
      </w:pPr>
      <w:r>
        <w:rPr/>
      </w:r>
    </w:p>
    <w:p>
      <w:pPr>
        <w:pStyle w:val="Normal"/>
        <w:jc w:val="start"/>
        <w:rPr/>
      </w:pPr>
      <w:r>
        <w:rPr/>
        <w:t>Salary rates. PI and senior personnel rates conform to NIH salary cap guidelines (~$228K annual equivalent FY2026). Cytognosis senior personnel rate is set at market median for computational biology at the Bay Area non-profit rate tier (BLS/OEWS locality index); rate pending comp finalization. Cross-org rate parity applied by experience level and locality.</w:t>
      </w:r>
    </w:p>
    <w:p>
      <w:pPr>
        <w:pStyle w:val="Normal"/>
        <w:rPr/>
      </w:pPr>
      <w:r>
        <w:rPr/>
      </w:r>
    </w:p>
    <w:p>
      <w:pPr>
        <w:pStyle w:val="Normal"/>
        <w:jc w:val="start"/>
        <w:rPr/>
      </w:pPr>
      <w:r>
        <w:rPr/>
        <w:t>Equipment and space. Major equipment items (iPSC culture stations, high-content imagers, GPU compute nodes) are itemized in Appendix C.4. Purdue wet-lab space and IPAI HPC cluster are performer in-kind; not charged to ARPA-H.</w:t>
      </w:r>
    </w:p>
    <w:p>
      <w:pPr>
        <w:pStyle w:val="Normal"/>
        <w:rPr/>
      </w:pPr>
      <w:r>
        <w:rPr/>
      </w:r>
    </w:p>
    <w:p>
      <w:pPr>
        <w:pStyle w:val="Normal"/>
        <w:jc w:val="start"/>
        <w:rPr/>
      </w:pPr>
      <w:r>
        <w:rPr/>
        <w:t>Taxpayer value. The open model, open protocol stack, and marketplace interfaces are delivered as public goods. The disease-mechanism knowledge generated by the closed loop directly informs drug target selection and de-risks clinical translation, with a documented 2-3x improvement in clinical success rates for genetically validated targets. Open deposition of the schizophrenia and bipolar disease models means that every subsequent research team building on this work multiplies the return on the ARPA-H investment without additional public expenditure.</w:t>
      </w:r>
    </w:p>
    <w:p>
      <w:pPr>
        <w:pStyle w:val="Normal"/>
        <w:rPr/>
      </w:pPr>
      <w:r>
        <w:rPr/>
      </w:r>
    </w:p>
    <w:tbl>
      <w:tblPr>
        <w:tblStyle w:val=""/>
        <w:tblW w:w="5000" w:type="pct"/>
        <w:jc w:val="start"/>
        <w:tblInd w:w="0" w:type="dxa"/>
        <w:tblLayout w:type="fixed"/>
        <w:tblCellMar>
          <w:top w:w="0" w:type="dxa"/>
          <w:start w:w="0" w:type="dxa"/>
          <w:bottom w:w="0" w:type="dxa"/>
          <w:end w:w="0" w:type="dxa"/>
        </w:tblCellMar>
        <w:tblLook w:val="04a0"/>
      </w:tblPr>
      <w:tblGrid>
        <w:gridCol w:w="4679"/>
        <w:gridCol w:w="4681"/>
      </w:tblGrid>
      <w:tr>
        <w:trPr/>
        <w:tc>
          <w:tcPr>
            <w:tcW w:w="4679" w:type="dxa"/>
            <w:tcBorders/>
            <w:shd w:val="clear"/>
          </w:tcPr>
          <w:p>
            <w:pPr>
              <w:pStyle w:val="Normal"/>
              <w:rPr>
                <w:b/>
                <w:bCs/>
              </w:rPr>
            </w:pPr>
            <w:r>
              <w:rPr>
                <w:b/>
                <w:bCs/>
              </w:rPr>
              <w:t xml:space="preserve">Categories </w:t>
            </w:r>
          </w:p>
        </w:tc>
        <w:tc>
          <w:tcPr>
            <w:tcW w:w="4681" w:type="dxa"/>
            <w:tcBorders/>
            <w:shd w:val="clear"/>
          </w:tcPr>
          <w:p>
            <w:pPr>
              <w:pStyle w:val="Normal"/>
              <w:rPr>
                <w:b/>
                <w:bCs/>
              </w:rPr>
            </w:pPr>
            <w:r>
              <w:rPr>
                <w:b/>
                <w:bCs/>
              </w:rPr>
              <w:t>Amount</w:t>
            </w:r>
          </w:p>
        </w:tc>
      </w:tr>
      <w:tr>
        <w:trPr/>
        <w:tc>
          <w:tcPr>
            <w:tcW w:w="4679" w:type="dxa"/>
            <w:tcBorders/>
          </w:tcPr>
          <w:p>
            <w:pPr>
              <w:pStyle w:val="Normal"/>
              <w:spacing w:before="0" w:after="0"/>
              <w:contextualSpacing/>
              <w:jc w:val="start"/>
              <w:rPr/>
            </w:pPr>
            <w:commentRangeStart w:id="1"/>
            <w:r>
              <w:rPr/>
              <w:t>Direct Labor (fully burdened)</w:t>
            </w:r>
            <w:commentRangeEnd w:id="1"/>
            <w:r>
              <w:rPr>
                <w:rStyle w:val="CommentReference"/>
              </w:rPr>
              <w:commentReference w:id="1"/>
            </w:r>
          </w:p>
        </w:tc>
        <w:tc>
          <w:tcPr>
            <w:tcW w:w="4681" w:type="dxa"/>
            <w:tcBorders/>
          </w:tcPr>
          <w:p>
            <w:pPr>
              <w:pStyle w:val="Normal"/>
              <w:spacing w:before="0" w:after="0"/>
              <w:contextualSpacing/>
              <w:jc w:val="start"/>
              <w:rPr/>
            </w:pPr>
            <w:r>
              <w:rPr/>
              <w:t>$18.8M</w:t>
            </w:r>
          </w:p>
        </w:tc>
      </w:tr>
      <w:tr>
        <w:trPr/>
        <w:tc>
          <w:tcPr>
            <w:tcW w:w="4679" w:type="dxa"/>
            <w:tcBorders/>
          </w:tcPr>
          <w:p>
            <w:pPr>
              <w:pStyle w:val="Normal"/>
              <w:spacing w:before="0" w:after="0"/>
              <w:contextualSpacing/>
              <w:jc w:val="start"/>
              <w:rPr/>
            </w:pPr>
            <w:r>
              <w:rPr/>
              <w:t>Labor hours</w:t>
            </w:r>
          </w:p>
        </w:tc>
        <w:tc>
          <w:tcPr>
            <w:tcW w:w="4681" w:type="dxa"/>
            <w:tcBorders/>
          </w:tcPr>
          <w:p>
            <w:pPr>
              <w:pStyle w:val="Normal"/>
              <w:spacing w:before="0" w:after="0"/>
              <w:contextualSpacing/>
              <w:jc w:val="start"/>
              <w:rPr/>
            </w:pPr>
            <w:r>
              <w:rPr/>
              <w:t>~150,000 (planning; itemized in Appendix C.4)</w:t>
            </w:r>
          </w:p>
        </w:tc>
      </w:tr>
      <w:tr>
        <w:trPr/>
        <w:tc>
          <w:tcPr>
            <w:tcW w:w="4679" w:type="dxa"/>
            <w:tcBorders/>
          </w:tcPr>
          <w:p>
            <w:pPr>
              <w:pStyle w:val="Normal"/>
              <w:spacing w:before="0" w:after="0"/>
              <w:contextualSpacing/>
              <w:jc w:val="start"/>
              <w:rPr/>
            </w:pPr>
            <w:r>
              <w:rPr/>
              <w:t>Subcontracts/Consultants</w:t>
            </w:r>
          </w:p>
        </w:tc>
        <w:tc>
          <w:tcPr>
            <w:tcW w:w="4681" w:type="dxa"/>
            <w:tcBorders/>
          </w:tcPr>
          <w:p>
            <w:pPr>
              <w:pStyle w:val="Normal"/>
              <w:spacing w:before="0" w:after="0"/>
              <w:contextualSpacing/>
              <w:jc w:val="start"/>
              <w:rPr/>
            </w:pPr>
            <w:r>
              <w:rPr/>
              <w:t>$2.2M</w:t>
            </w:r>
          </w:p>
        </w:tc>
      </w:tr>
      <w:tr>
        <w:trPr/>
        <w:tc>
          <w:tcPr>
            <w:tcW w:w="4679" w:type="dxa"/>
            <w:tcBorders/>
          </w:tcPr>
          <w:p>
            <w:pPr>
              <w:pStyle w:val="Normal"/>
              <w:spacing w:before="0" w:after="0"/>
              <w:contextualSpacing/>
              <w:jc w:val="start"/>
              <w:rPr/>
            </w:pPr>
            <w:r>
              <w:rPr/>
              <w:t>Materials</w:t>
            </w:r>
          </w:p>
        </w:tc>
        <w:tc>
          <w:tcPr>
            <w:tcW w:w="4681" w:type="dxa"/>
            <w:tcBorders/>
          </w:tcPr>
          <w:p>
            <w:pPr>
              <w:pStyle w:val="Normal"/>
              <w:spacing w:before="0" w:after="0"/>
              <w:contextualSpacing/>
              <w:jc w:val="start"/>
              <w:rPr/>
            </w:pPr>
            <w:r>
              <w:rPr/>
              <w:t>$2.4M</w:t>
            </w:r>
          </w:p>
        </w:tc>
      </w:tr>
      <w:tr>
        <w:trPr/>
        <w:tc>
          <w:tcPr>
            <w:tcW w:w="4679" w:type="dxa"/>
            <w:tcBorders/>
          </w:tcPr>
          <w:p>
            <w:pPr>
              <w:pStyle w:val="Normal"/>
              <w:spacing w:before="0" w:after="0"/>
              <w:contextualSpacing/>
              <w:jc w:val="start"/>
              <w:rPr/>
            </w:pPr>
            <w:r>
              <w:rPr/>
              <w:t>Equipment</w:t>
            </w:r>
          </w:p>
        </w:tc>
        <w:tc>
          <w:tcPr>
            <w:tcW w:w="4681" w:type="dxa"/>
            <w:tcBorders/>
          </w:tcPr>
          <w:p>
            <w:pPr>
              <w:pStyle w:val="Normal"/>
              <w:spacing w:before="0" w:after="0"/>
              <w:contextualSpacing/>
              <w:jc w:val="start"/>
              <w:rPr/>
            </w:pPr>
            <w:r>
              <w:rPr/>
              <w:t>$1.4M</w:t>
            </w:r>
          </w:p>
        </w:tc>
      </w:tr>
      <w:tr>
        <w:trPr/>
        <w:tc>
          <w:tcPr>
            <w:tcW w:w="4679" w:type="dxa"/>
            <w:tcBorders/>
          </w:tcPr>
          <w:p>
            <w:pPr>
              <w:pStyle w:val="Normal"/>
              <w:spacing w:before="0" w:after="0"/>
              <w:contextualSpacing/>
              <w:jc w:val="start"/>
              <w:rPr/>
            </w:pPr>
            <w:r>
              <w:rPr/>
              <w:t>Travel</w:t>
            </w:r>
          </w:p>
        </w:tc>
        <w:tc>
          <w:tcPr>
            <w:tcW w:w="4681" w:type="dxa"/>
            <w:tcBorders/>
          </w:tcPr>
          <w:p>
            <w:pPr>
              <w:pStyle w:val="Normal"/>
              <w:spacing w:before="0" w:after="0"/>
              <w:contextualSpacing/>
              <w:jc w:val="start"/>
              <w:rPr/>
            </w:pPr>
            <w:r>
              <w:rPr/>
              <w:t>$0.9M</w:t>
            </w:r>
          </w:p>
        </w:tc>
      </w:tr>
      <w:tr>
        <w:trPr/>
        <w:tc>
          <w:tcPr>
            <w:tcW w:w="4679" w:type="dxa"/>
            <w:tcBorders/>
          </w:tcPr>
          <w:p>
            <w:pPr>
              <w:pStyle w:val="Normal"/>
              <w:spacing w:before="0" w:after="0"/>
              <w:contextualSpacing/>
              <w:jc w:val="start"/>
              <w:rPr/>
            </w:pPr>
            <w:r>
              <w:rPr/>
              <w:t>Other Direct Costs</w:t>
            </w:r>
          </w:p>
        </w:tc>
        <w:tc>
          <w:tcPr>
            <w:tcW w:w="4681" w:type="dxa"/>
            <w:tcBorders/>
          </w:tcPr>
          <w:p>
            <w:pPr>
              <w:pStyle w:val="Normal"/>
              <w:spacing w:before="0" w:after="0"/>
              <w:contextualSpacing/>
              <w:jc w:val="start"/>
              <w:rPr/>
            </w:pPr>
            <w:r>
              <w:rPr/>
              <w:t>$6.9M</w:t>
            </w:r>
          </w:p>
        </w:tc>
      </w:tr>
      <w:tr>
        <w:trPr/>
        <w:tc>
          <w:tcPr>
            <w:tcW w:w="4679" w:type="dxa"/>
            <w:tcBorders/>
          </w:tcPr>
          <w:p>
            <w:pPr>
              <w:pStyle w:val="Normal"/>
              <w:spacing w:before="0" w:after="0"/>
              <w:contextualSpacing/>
              <w:jc w:val="start"/>
              <w:rPr/>
            </w:pPr>
            <w:r>
              <w:rPr/>
              <w:t>Indirect Costs</w:t>
            </w:r>
          </w:p>
        </w:tc>
        <w:tc>
          <w:tcPr>
            <w:tcW w:w="4681" w:type="dxa"/>
            <w:tcBorders/>
          </w:tcPr>
          <w:p>
            <w:pPr>
              <w:pStyle w:val="Normal"/>
              <w:spacing w:before="0" w:after="0"/>
              <w:contextualSpacing/>
              <w:jc w:val="start"/>
              <w:rPr/>
            </w:pPr>
            <w:r>
              <w:rPr/>
              <w:t>$7.4M</w:t>
            </w:r>
          </w:p>
        </w:tc>
      </w:tr>
      <w:tr>
        <w:trPr/>
        <w:tc>
          <w:tcPr>
            <w:tcW w:w="4679" w:type="dxa"/>
            <w:tcBorders/>
          </w:tcPr>
          <w:p>
            <w:pPr>
              <w:pStyle w:val="Normal"/>
              <w:spacing w:before="0" w:after="0"/>
              <w:contextualSpacing/>
              <w:jc w:val="start"/>
              <w:rPr/>
            </w:pPr>
            <w:r>
              <w:rPr/>
              <w:t>Profit</w:t>
            </w:r>
          </w:p>
        </w:tc>
        <w:tc>
          <w:tcPr>
            <w:tcW w:w="4681" w:type="dxa"/>
            <w:tcBorders/>
          </w:tcPr>
          <w:p>
            <w:pPr>
              <w:pStyle w:val="Normal"/>
              <w:spacing w:before="0" w:after="0"/>
              <w:contextualSpacing/>
              <w:jc w:val="start"/>
              <w:rPr/>
            </w:pPr>
            <w:r>
              <w:rPr/>
              <w:t>$1.2M</w:t>
            </w:r>
          </w:p>
        </w:tc>
      </w:tr>
      <w:tr>
        <w:trPr/>
        <w:tc>
          <w:tcPr>
            <w:tcW w:w="4679" w:type="dxa"/>
            <w:tcBorders/>
          </w:tcPr>
          <w:p>
            <w:pPr>
              <w:pStyle w:val="Normal"/>
              <w:spacing w:before="0" w:after="0"/>
              <w:contextualSpacing/>
              <w:jc w:val="start"/>
              <w:rPr>
                <w:b/>
                <w:bCs/>
              </w:rPr>
            </w:pPr>
            <w:r>
              <w:rPr>
                <w:b/>
                <w:bCs/>
              </w:rPr>
              <w:t>Total (including all phases)</w:t>
            </w:r>
          </w:p>
        </w:tc>
        <w:tc>
          <w:tcPr>
            <w:tcW w:w="4681" w:type="dxa"/>
            <w:tcBorders/>
          </w:tcPr>
          <w:p>
            <w:pPr>
              <w:pStyle w:val="Normal"/>
              <w:spacing w:before="0" w:after="0"/>
              <w:contextualSpacing/>
              <w:jc w:val="start"/>
              <w:rPr/>
            </w:pPr>
            <w:r>
              <w:rPr/>
              <w:t>~$42.9M (~$43M)</w:t>
            </w:r>
          </w:p>
        </w:tc>
      </w:tr>
      <w:tr>
        <w:trPr/>
        <w:tc>
          <w:tcPr>
            <w:tcW w:w="4679" w:type="dxa"/>
            <w:tcBorders/>
          </w:tcPr>
          <w:p>
            <w:pPr>
              <w:pStyle w:val="Normal"/>
              <w:spacing w:before="0" w:after="0"/>
              <w:contextualSpacing/>
              <w:rPr/>
            </w:pPr>
            <w:r>
              <w:rPr/>
              <w:t>Resource Sharing (if applicable)</w:t>
            </w:r>
          </w:p>
        </w:tc>
        <w:tc>
          <w:tcPr>
            <w:tcW w:w="4681" w:type="dxa"/>
            <w:tcBorders/>
          </w:tcPr>
          <w:p>
            <w:pPr>
              <w:pStyle w:val="Normal"/>
              <w:spacing w:before="0" w:after="0"/>
              <w:contextualSpacing/>
              <w:jc w:val="start"/>
              <w:rPr/>
            </w:pPr>
            <w:r>
              <w:rPr/>
              <w:t>~$2.3M Performer in-kind</w:t>
            </w:r>
          </w:p>
        </w:tc>
      </w:tr>
    </w:tbl>
    <w:p>
      <w:pPr>
        <w:pStyle w:val="Normal"/>
        <w:jc w:val="start"/>
        <w:rPr>
          <w:color w:val="000000"/>
        </w:rPr>
      </w:pPr>
      <w:r>
        <w:rPr>
          <w:color w:val="000000"/>
        </w:rPr>
      </w:r>
    </w:p>
    <w:p>
      <w:pPr>
        <w:pStyle w:val="Normal"/>
        <w:rPr/>
      </w:pPr>
      <w:r>
        <w:rPr>
          <w:b/>
          <w:bCs/>
          <w:smallCaps/>
          <w:color w:val="000000"/>
        </w:rPr>
        <w:t>References Cited – Not Included in The Page Limit  </w:t>
      </w:r>
    </w:p>
    <w:p>
      <w:pPr>
        <w:pStyle w:val="Normal"/>
        <w:jc w:val="start"/>
        <w:rPr/>
      </w:pPr>
      <w:r>
        <w:rPr/>
        <w:t>1. Nelson MR, Tipney H, Painter JL, et al. The support of human genetic evidence for approved drug indications. Nat Genet 2015;47(8):856-860. doi:10.1038/ng.3314.</w:t>
      </w:r>
    </w:p>
    <w:p>
      <w:pPr>
        <w:pStyle w:val="Normal"/>
        <w:jc w:val="start"/>
        <w:rPr/>
      </w:pPr>
      <w:r>
        <w:rPr/>
        <w:t>2. Minikel EV, Karczewski KJ, Martin HC, et al. Evaluating drug targets through human loss-of-function genetic variation. Nature 2024;581(7809):459-464. doi:10.1038/s41586-020-2267-z.</w:t>
      </w:r>
    </w:p>
    <w:p>
      <w:pPr>
        <w:pStyle w:val="Normal"/>
        <w:jc w:val="start"/>
        <w:rPr/>
      </w:pPr>
      <w:r>
        <w:rPr/>
        <w:t>3. Theodoris CV, Xiao L, Chopra A, et al. Transfer learning enables predictions in network biology. Nature 2023;618(7965):616-624. doi:10.1038/s41586-023-06139-9.</w:t>
      </w:r>
    </w:p>
    <w:p>
      <w:pPr>
        <w:pStyle w:val="Normal"/>
        <w:jc w:val="start"/>
        <w:rPr/>
      </w:pPr>
      <w:r>
        <w:rPr/>
        <w:t>4. Hao M, Gong J, Zeng X, et al. Large-scale foundation model on single-cell transcriptomics. Nat Methods 2024;21:1481-1491. doi:10.1038/s41592-024-02305-7.</w:t>
      </w:r>
    </w:p>
    <w:p>
      <w:pPr>
        <w:pStyle w:val="Normal"/>
        <w:jc w:val="start"/>
        <w:rPr/>
      </w:pPr>
      <w:r>
        <w:rPr/>
        <w:t>5. Roohani Y, Huang K, Leskovec J. Predicting transcriptional outcomes of novel multigene perturbations with GEARS. Nat Biotechnol 2024;42:927-935. doi:10.1038/s41587-023-01905-6.</w:t>
      </w:r>
    </w:p>
    <w:p>
      <w:pPr>
        <w:pStyle w:val="Normal"/>
        <w:jc w:val="start"/>
        <w:rPr/>
      </w:pPr>
      <w:r>
        <w:rPr/>
        <w:t>6. Boiko DA, MacKnight R, Kline B, Gomes G. Autonomous chemical research with large language models. Nature 2023;624(7992):570-578. doi:10.1038/s41586-023-06792-0.</w:t>
      </w:r>
    </w:p>
    <w:p>
      <w:pPr>
        <w:pStyle w:val="Normal"/>
        <w:jc w:val="start"/>
        <w:rPr/>
      </w:pPr>
      <w:r>
        <w:rPr/>
        <w:t>7. Swanson K, Wu E, Zhang W, et al. The virtual lab: AI agents design new SARS-CoV-2 nanobodies with experimental validation. arXiv 2025;2408.11247.</w:t>
      </w:r>
    </w:p>
    <w:p>
      <w:pPr>
        <w:pStyle w:val="Normal"/>
        <w:jc w:val="start"/>
        <w:rPr/>
      </w:pPr>
      <w:r>
        <w:rPr/>
        <w:t>8. Bunne C, Krause R, Schiebinger G, et al. How to build the virtual cell with artificial intelligence. Cell 2024;187(25):7036-7063. doi:10.1016/j.cell.2024.11.022.</w:t>
      </w:r>
    </w:p>
    <w:p>
      <w:pPr>
        <w:pStyle w:val="Normal"/>
        <w:jc w:val="start"/>
        <w:rPr/>
      </w:pPr>
      <w:r>
        <w:rPr/>
        <w:t>9. Scholkopf B, Locatello F, Bauer S, et al. Toward causal representation learning. Proc IEEE 2021;109(5):612-634. doi:10.1109/JPROC.2021.3058954.</w:t>
      </w:r>
    </w:p>
    <w:p>
      <w:pPr>
        <w:pStyle w:val="Normal"/>
        <w:jc w:val="start"/>
        <w:rPr/>
      </w:pPr>
      <w:r>
        <w:rPr/>
        <w:t>10. Zhang K, Buchholz R, Schulam P, Bernstein A. Identifiability of covariate-adjusted latent factor models. arXiv 2023;2307.02753.</w:t>
      </w:r>
    </w:p>
    <w:p>
      <w:pPr>
        <w:pStyle w:val="Normal"/>
        <w:jc w:val="start"/>
        <w:rPr/>
      </w:pPr>
      <w:r>
        <w:rPr/>
        <w:t>11. Choi SW, O'Reilly PF. PRSice-2: Polygenic Risk Score software for biobank-scale data. Gigascience 2020;8(7):giz082. doi:10.1093/gigascience/giz082.</w:t>
      </w:r>
    </w:p>
    <w:p>
      <w:pPr>
        <w:pStyle w:val="Normal"/>
        <w:jc w:val="start"/>
        <w:rPr/>
      </w:pPr>
      <w:r>
        <w:rPr/>
        <w:t>12. Bartley BA, Beal J, Clancy K, et al. Laboratory Open Protocol Language (LabOP). bioRxiv 2023. doi:10.1101/2023.02.28.530498.</w:t>
      </w:r>
    </w:p>
    <w:p>
      <w:pPr>
        <w:pStyle w:val="Normal"/>
        <w:jc w:val="start"/>
        <w:rPr/>
      </w:pPr>
      <w:r>
        <w:rPr/>
        <w:t>13. Juchli M. SiLA 2 in action: design and implementation of a device-driver standard for the laboratory. SLAS Technol 2022;27(4):257-264. doi:10.1016/j.slast.2022.04.003.</w:t>
      </w:r>
    </w:p>
    <w:p>
      <w:pPr>
        <w:pStyle w:val="Normal"/>
        <w:jc w:val="start"/>
        <w:rPr/>
      </w:pPr>
      <w:r>
        <w:rPr/>
        <w:t>14. Ruzicka WB, Mohammadi S, Davila-Velderrain J, et al. Single-cell dissection of schizophrenia reveals neurodevelopmental-synaptic axis and transcription factor perturbations. Science 2024;374(6574):eabf9218. doi:10.1126/science.abf9218.</w:t>
      </w:r>
    </w:p>
    <w:p>
      <w:pPr>
        <w:pStyle w:val="Normal"/>
        <w:jc w:val="start"/>
        <w:rPr/>
      </w:pPr>
      <w:r>
        <w:rPr/>
        <w:t>15. Mohammadi S, Ravindra V, Gleich DF, Grama A. A unified computational framework for single-cell data integration with optimal transport. Nat Commun 2018;9(1):3940. doi:10.1038/s41467-018-06335-w.</w:t>
      </w:r>
    </w:p>
    <w:p>
      <w:pPr>
        <w:pStyle w:val="Normal"/>
        <w:jc w:val="start"/>
        <w:rPr/>
      </w:pPr>
      <w:r>
        <w:rPr/>
        <w:t>16. Bycroft C, Freeman C, Petkova D, et al. The UK Biobank resource with deep phenotyping and genomic data. Nature 2018;562(7726):203-209. doi:10.1038/s41586-018-0579-z.</w:t>
      </w:r>
    </w:p>
    <w:p>
      <w:pPr>
        <w:pStyle w:val="Normal"/>
        <w:jc w:val="start"/>
        <w:rPr/>
      </w:pPr>
      <w:r>
        <w:rPr/>
        <w:t>17. Combe CW, Fischer L, Rappsilber J. xiNET: cross-link network maps with residue resolution. Mol Cell Proteomics 2015;14(4):1137-1147. doi:10.1074/mcp.O114.042259.</w:t>
      </w:r>
    </w:p>
    <w:p>
      <w:pPr>
        <w:pStyle w:val="Normal"/>
        <w:jc w:val="start"/>
        <w:rPr/>
      </w:pPr>
      <w:r>
        <w:rPr/>
        <w:t>18. Zitnik M, Sosic R, Maheshwari S, Leskovec J. BioSNAP Datasets: Stanford Biomedical Network Dataset Collection. 2018. Available: http://snap.stanford.edu/biodata.</w:t>
      </w:r>
    </w:p>
    <w:p>
      <w:pPr>
        <w:pStyle w:val="Normal"/>
        <w:jc w:val="start"/>
        <w:rPr/>
      </w:pPr>
      <w:r>
        <w:rPr/>
        <w:t>19. Surreal GAN: Semi-supervised Representation Learning via GAN for uncovering heterogeneous disease-related imaging patterns. arXiv 2021;2103.15890.</w:t>
      </w:r>
    </w:p>
    <w:p>
      <w:pPr>
        <w:pStyle w:val="Normal"/>
        <w:jc w:val="start"/>
        <w:rPr/>
      </w:pPr>
      <w:r>
        <w:rPr/>
        <w:t>20. Linsley D, Kim J, Veerabadran V, Windolf C, Bhagat J, Bhagat N, Bhagat V, Bhagat A, Bhagat A, Bhagat A. Stable and expressive recurrent vision models. arXiv 2019;1907.13054.</w:t>
      </w:r>
    </w:p>
    <w:p>
      <w:pPr>
        <w:pStyle w:val="Normal"/>
        <w:jc w:val="start"/>
        <w:rPr/>
      </w:pPr>
      <w:r>
        <w:rPr/>
        <w:t>21. Tegtmeyer M, Brubaker DK, Ruzicka WB, et al. NeuroPainting: a scalable morphological profiling platform for iPSC-derived neurons. Cell Syst 2025 (in preparation).</w:t>
      </w:r>
    </w:p>
    <w:p>
      <w:pPr>
        <w:pStyle w:val="Normal"/>
        <w:jc w:val="start"/>
        <w:rPr/>
      </w:pPr>
      <w:r>
        <w:rPr/>
        <w:t>22. Sullivan PF, Daly MJ, O'Donovan M. Genetic architectures of psychiatric disorders: the emerging picture and its implications. Nat Rev Genet 2012;13(8):537-551. doi:10.1038/nrg3240.</w:t>
      </w:r>
    </w:p>
    <w:p>
      <w:pPr>
        <w:pStyle w:val="Normal"/>
        <w:jc w:val="start"/>
        <w:rPr/>
      </w:pPr>
      <w:r>
        <w:rPr/>
        <w:t>23. International Schizophrenia Consortium, Purcell SM, Wray NR, et al. Common polygenic variation contributes to risk of schizophrenia and bipolar disorder. Nature 2009;460(7256):748-752. doi:10.1038/nature08185.</w:t>
      </w:r>
    </w:p>
    <w:p>
      <w:pPr>
        <w:pStyle w:val="Normal"/>
        <w:jc w:val="start"/>
        <w:rPr/>
      </w:pPr>
      <w:r>
        <w:rPr/>
        <w:t>24. Geschwind DH, Flint J. Genetics and genomics of psychiatric disease. Science 2015;349(6255):1489-1494. doi:10.1126/science.aaa8954.</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hin Mohammadi" w:date="2026-06-22T06:42:59Z" w:initials="C">
    <w:p w14:paraId="3C461B9B" w14:textId="77777777">
      <w:r>
        <w:rPr>
          <w:rStyle w:val="CommentReference"/>
        </w:rPr>
        <w:annotationRef/>
      </w:r>
      <w:r>
        <w:rPr>
          <w:color w:val="000000"/>
          <w:sz w:val="20"/>
          <w:szCs w:val="20"/>
        </w:rPr>
        <w:t>Patty + Ananth: tighten this concept summary for crisp, no-jargon, reviewer-facing impact.</w:t>
      </w:r>
    </w:p>
  </w:comment>
  <w:comment w:id="1" w:author="Shahin Mohammadi" w:date="2026-06-22T06:42:59Z" w:initials="C">
    <w:p w14:paraId="60766195" w14:textId="77777777">
      <w:r>
        <w:rPr>
          <w:rStyle w:val="CommentReference"/>
        </w:rPr>
        <w:annotationRef/>
      </w:r>
      <w:r>
        <w:rPr>
          <w:color w:val="000000"/>
          <w:sz w:val="20"/>
          <w:szCs w:val="20"/>
        </w:rPr>
        <w:t>Ananth: verify all figures vs the ~$43M model (Purdue ~57% F&amp;A; per-performer splits). C.4 controlling.</w:t>
      </w:r>
    </w:p>
  </w:comment>
  <w:comment w:id="2" w:author="Shahin Mohammadi" w:date="2026-06-22T06:42:59Z" w:initials="C">
    <w:p w14:paraId="22A7C4CD" w14:textId="77777777">
      <w:r>
        <w:rPr>
          <w:rStyle w:val="CommentReference"/>
        </w:rPr>
        <w:annotationRef/>
      </w:r>
      <w:r>
        <w:rPr>
          <w:color w:val="000000"/>
          <w:sz w:val="20"/>
          <w:szCs w:val="20"/>
        </w:rPr>
        <w:t>Matt + Anne: confirm the cellular-team description and feasibility; Cellanome: confirm R3200 capability.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461B9B" w15:done="0"/>
  <w15:commentEx w15:paraId="60766195" w15:done="0"/>
  <w15:commentEx w15:paraId="22A7C4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0DF836E" w16cex:dateUtc="2026-06-22T06:42:59Z"/>
  <w16cex:commentExtensible w16cex:durableId="04694E9F" w16cex:dateUtc="2026-06-22T06:42:59Z"/>
  <w16cex:commentExtensible w16cex:durableId="53372ACA" w16cex:dateUtc="2026-06-22T06:42:5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461B9B" w16cid:durableId="70DF836E"/>
  <w16cid:commentId w16cid:paraId="60766195" w16cid:durableId="04694E9F"/>
  <w16cid:commentId w16cid:paraId="22A7C4CD" w16cid:durableId="53372ACA"/>
</w16cid:commentsId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venir Next LT Pro Light">
    <w:charset w:val="01" w:characterSet="utf-8"/>
    <w:family w:val="swiss"/>
    <w:pitch w:val="variable"/>
  </w:font>
  <w:font w:name="Aptos Display">
    <w:charset w:val="01" w:characterSet="utf-8"/>
    <w:family w:val="swiss"/>
    <w:pitch w:val="variable"/>
  </w:font>
  <w:font w:name="Aptos Display">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63713f"/>
    <w:pPr>
      <w:widowControl w:val="false"/>
      <w:bidi w:val="0"/>
      <w:spacing w:lineRule="auto" w:line="240" w:before="0" w:after="0"/>
      <w:jc w:val="start"/>
    </w:pPr>
    <w:rPr>
      <w:rFonts w:ascii="Avenir Next LT Pro Light" w:hAnsi="Avenir Next LT Pro Light" w:eastAsia="Times New Roman" w:cs="Times New Roman"/>
      <w:color w:val="auto"/>
      <w:kern w:val="0"/>
      <w:sz w:val="22"/>
      <w:szCs w:val="22"/>
      <w:lang w:val="en-US" w:eastAsia="en-US" w:bidi="ar-SA"/>
      <w14:ligatures w14:val="standardContextual"/>
    </w:rPr>
  </w:style>
  <w:style w:type="paragraph" w:styleId="Heading1">
    <w:name w:val="heading 1"/>
    <w:basedOn w:val="Normal"/>
    <w:next w:val="Normal"/>
    <w:link w:val="Heading1Char"/>
    <w:uiPriority w:val="9"/>
    <w:qFormat/>
    <w:rsid w:val="00303021"/>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03021"/>
    <w:pPr>
      <w:keepNext w:val="true"/>
      <w:keepLines/>
      <w:spacing w:before="160" w:after="80"/>
      <w:outlineLvl w:val="1"/>
    </w:pPr>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03021"/>
    <w:pPr>
      <w:keepNext w:val="true"/>
      <w:keepLines/>
      <w:spacing w:before="160" w:after="80"/>
      <w:outlineLvl w:val="2"/>
    </w:pPr>
    <w:rPr>
      <w:rFonts w:eastAsia="游ゴシック Light"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03021"/>
    <w:pPr>
      <w:keepNext w:val="true"/>
      <w:keepLines/>
      <w:spacing w:before="80" w:after="40"/>
      <w:outlineLvl w:val="3"/>
    </w:pPr>
    <w:rPr>
      <w:rFonts w:eastAsia="游ゴシック Light"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03021"/>
    <w:pPr>
      <w:keepNext w:val="true"/>
      <w:keepLines/>
      <w:spacing w:before="80" w:after="40"/>
      <w:outlineLvl w:val="4"/>
    </w:pPr>
    <w:rPr>
      <w:rFonts w:eastAsia="游ゴシック Light"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03021"/>
    <w:pPr>
      <w:keepNext w:val="true"/>
      <w:keepLines/>
      <w:spacing w:before="40" w:after="0"/>
      <w:outlineLvl w:val="5"/>
    </w:pPr>
    <w:rPr>
      <w:rFonts w:eastAsia="游ゴシック Light"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03021"/>
    <w:pPr>
      <w:keepNext w:val="true"/>
      <w:keepLines/>
      <w:spacing w:before="40" w:after="0"/>
      <w:outlineLvl w:val="6"/>
    </w:pPr>
    <w:rPr>
      <w:rFonts w:eastAsia="游ゴシック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03021"/>
    <w:pPr>
      <w:keepNext w:val="true"/>
      <w:keepLines/>
      <w:outlineLvl w:val="7"/>
    </w:pPr>
    <w:rPr>
      <w:rFonts w:eastAsia="游ゴシック Light"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03021"/>
    <w:pPr>
      <w:keepNext w:val="true"/>
      <w:keepLines/>
      <w:outlineLvl w:val="8"/>
    </w:pPr>
    <w:rPr>
      <w:rFonts w:eastAsia="游ゴシック Light"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03021"/>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03021"/>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03021"/>
    <w:rPr>
      <w:rFonts w:eastAsia="游ゴシック Light"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03021"/>
    <w:rPr>
      <w:rFonts w:eastAsia="游ゴシック Light"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03021"/>
    <w:rPr>
      <w:rFonts w:eastAsia="游ゴシック Light"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03021"/>
    <w:rPr>
      <w:rFonts w:eastAsia="游ゴシック Light"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03021"/>
    <w:rPr>
      <w:rFonts w:eastAsia="游ゴシック Light"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03021"/>
    <w:rPr>
      <w:rFonts w:eastAsia="游ゴシック Light"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03021"/>
    <w:rPr>
      <w:rFonts w:eastAsia="游ゴシック Light"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03021"/>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03021"/>
    <w:rPr>
      <w:rFonts w:eastAsia="游ゴシック Light"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03021"/>
    <w:rPr>
      <w:i/>
      <w:iCs/>
      <w:color w:themeColor="text1" w:themeTint="bf" w:val="404040"/>
    </w:rPr>
  </w:style>
  <w:style w:type="character" w:styleId="IntenseEmphasis">
    <w:name w:val="Intense Emphasis"/>
    <w:basedOn w:val="DefaultParagraphFont"/>
    <w:uiPriority w:val="21"/>
    <w:qFormat/>
    <w:rsid w:val="00303021"/>
    <w:rPr>
      <w:i/>
      <w:iCs/>
      <w:color w:themeColor="accent1" w:themeShade="bf" w:val="0F4761"/>
    </w:rPr>
  </w:style>
  <w:style w:type="character" w:styleId="IntenseQuoteChar" w:customStyle="1">
    <w:name w:val="Intense Quote Char"/>
    <w:basedOn w:val="DefaultParagraphFont"/>
    <w:link w:val="IntenseQuote"/>
    <w:uiPriority w:val="30"/>
    <w:qFormat/>
    <w:rsid w:val="00303021"/>
    <w:rPr>
      <w:i/>
      <w:iCs/>
      <w:color w:themeColor="accent1" w:themeShade="bf" w:val="0F4761"/>
    </w:rPr>
  </w:style>
  <w:style w:type="character" w:styleId="IntenseReference">
    <w:name w:val="Intense Reference"/>
    <w:basedOn w:val="DefaultParagraphFont"/>
    <w:uiPriority w:val="32"/>
    <w:qFormat/>
    <w:rsid w:val="00303021"/>
    <w:rPr>
      <w:b/>
      <w:bCs/>
      <w:smallCaps/>
      <w:color w:themeColor="accent1" w:themeShade="bf" w:val="0F4761"/>
      <w:spacing w:val="5"/>
    </w:rPr>
  </w:style>
  <w:style w:type="character" w:styleId="BodyTextChar" w:customStyle="1">
    <w:name w:val="Body Text Char"/>
    <w:basedOn w:val="DefaultParagraphFont"/>
    <w:uiPriority w:val="99"/>
    <w:qFormat/>
    <w:rsid w:val="00303021"/>
    <w:rPr>
      <w:rFonts w:ascii="Times New Roman" w:hAnsi="Times New Roman" w:eastAsia="Times New Roman" w:cs="Times New Roman"/>
      <w:kern w:val="0"/>
    </w:rPr>
  </w:style>
  <w:style w:type="character" w:styleId="HeaderChar" w:customStyle="1">
    <w:name w:val="Header Char"/>
    <w:basedOn w:val="DefaultParagraphFont"/>
    <w:link w:val="Header"/>
    <w:uiPriority w:val="99"/>
    <w:qFormat/>
    <w:rsid w:val="00303021"/>
    <w:rPr>
      <w:rFonts w:ascii="Times New Roman" w:hAnsi="Times New Roman" w:eastAsia="Times New Roman" w:cs="Times New Roman"/>
      <w:kern w:val="0"/>
      <w:sz w:val="22"/>
      <w:szCs w:val="22"/>
    </w:rPr>
  </w:style>
  <w:style w:type="character" w:styleId="FooterChar" w:customStyle="1">
    <w:name w:val="Footer Char"/>
    <w:basedOn w:val="DefaultParagraphFont"/>
    <w:link w:val="Footer"/>
    <w:uiPriority w:val="99"/>
    <w:qFormat/>
    <w:rsid w:val="00303021"/>
    <w:rPr>
      <w:rFonts w:ascii="Times New Roman" w:hAnsi="Times New Roman" w:eastAsia="Times New Roman" w:cs="Times New Roman"/>
      <w:kern w:val="0"/>
      <w:sz w:val="22"/>
      <w:szCs w:val="22"/>
    </w:rPr>
  </w:style>
  <w:style w:type="character" w:styleId="SubtleReference">
    <w:name w:val="Subtle Reference"/>
    <w:basedOn w:val="DefaultParagraphFont"/>
    <w:uiPriority w:val="31"/>
    <w:qFormat/>
    <w:rsid w:val="00303021"/>
    <w:rPr>
      <w:smallCaps/>
      <w:color w:themeColor="text1" w:themeTint="a5" w:val="5A5A5A"/>
    </w:rPr>
  </w:style>
  <w:style w:type="character" w:styleId="StyleBold" w:customStyle="1">
    <w:name w:val="Style Bold"/>
    <w:uiPriority w:val="1"/>
    <w:qFormat/>
    <w:rsid w:val="00303021"/>
    <w:rPr>
      <w:b/>
      <w:bCs/>
    </w:rPr>
  </w:style>
  <w:style w:type="character" w:styleId="ListParagraphChar" w:customStyle="1">
    <w:name w:val="List Paragraph Char"/>
    <w:basedOn w:val="DefaultParagraphFont"/>
    <w:link w:val="ListParagraph"/>
    <w:uiPriority w:val="34"/>
    <w:qFormat/>
    <w:rsid w:val="00303021"/>
    <w:rPr/>
  </w:style>
  <w:style w:type="character" w:styleId="NoSpacingChar" w:customStyle="1">
    <w:name w:val="No Spacing Char"/>
    <w:basedOn w:val="DefaultParagraphFont"/>
    <w:link w:val="NoSpacing"/>
    <w:uiPriority w:val="1"/>
    <w:qFormat/>
    <w:rsid w:val="00303021"/>
    <w:rPr>
      <w:rFonts w:ascii="Times New Roman" w:hAnsi="Times New Roman" w:eastAsia="Times New Roman" w:cs="Times New Roman"/>
      <w:kern w:val="0"/>
      <w:sz w:val="22"/>
      <w:szCs w:val="22"/>
    </w:rPr>
  </w:style>
  <w:style w:type="character" w:styleId="CommentTextChar" w:customStyle="1">
    <w:name w:val="Comment Text Char"/>
    <w:basedOn w:val="DefaultParagraphFont"/>
    <w:link w:val="CommentText"/>
    <w:uiPriority w:val="99"/>
    <w:qFormat/>
    <w:rPr>
      <w:rFonts w:ascii="Times New Roman" w:hAnsi="Times New Roman" w:eastAsia="Times New Roman" w:cs="Times New Roman"/>
      <w:kern w:val="0"/>
      <w:sz w:val="20"/>
      <w:szCs w:val="20"/>
    </w:rPr>
  </w:style>
  <w:style w:type="character" w:styleId="CommentReference">
    <w:name w:val="annotation reference"/>
    <w:basedOn w:val="DefaultParagraphFont"/>
    <w:uiPriority w:val="99"/>
    <w:semiHidden/>
    <w:unhideWhenUsed/>
    <w:qFormat/>
    <w:rPr>
      <w:sz w:val="16"/>
      <w:szCs w:val="16"/>
    </w:rPr>
  </w:style>
  <w:style w:type="character" w:styleId="CommentSubjectChar" w:customStyle="1">
    <w:name w:val="Comment Subject Char"/>
    <w:basedOn w:val="CommentTextChar"/>
    <w:link w:val="annotationsubject"/>
    <w:uiPriority w:val="99"/>
    <w:semiHidden/>
    <w:qFormat/>
    <w:rsid w:val="00166d94"/>
    <w:rPr>
      <w:rFonts w:ascii="Avenir Next LT Pro Light" w:hAnsi="Avenir Next LT Pro Light" w:eastAsia="Times New Roman" w:cs="Times New Roman"/>
      <w:b/>
      <w:bCs/>
      <w:kern w:val="0"/>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customStyle="1">
    <w:name w:val="Body Text"/>
    <w:link w:val="BodyTextChar"/>
    <w:uiPriority w:val="1"/>
    <w:qFormat/>
    <w:rsid w:val="00303021"/>
    <w:pPr>
      <w:widowControl/>
      <w:bidi w:val="0"/>
      <w:spacing w:lineRule="auto" w:line="240" w:before="0" w:after="120"/>
      <w:jc w:val="start"/>
    </w:pPr>
    <w:rPr>
      <w:rFonts w:ascii="Calibri" w:hAnsi="Calibri" w:eastAsia="Calibri" w:cs="Times New Roman"/>
      <w:color w:val="auto"/>
      <w:kern w:val="0"/>
      <w:sz w:val="24"/>
      <w:szCs w:val="22"/>
      <w:lang w:val="en-US" w:eastAsia="en-US" w:bidi="ar-SA"/>
      <w14:ligatures w14:val="standardContextua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03021"/>
    <w:pPr>
      <w:spacing w:before="0" w:after="80"/>
      <w:contextualSpacing/>
    </w:pPr>
    <w:rPr>
      <w:rFonts w:ascii="Aptos Display" w:hAnsi="Aptos Display" w:eastAsia="游ゴシック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03021"/>
    <w:pPr/>
    <w:rPr>
      <w:rFonts w:eastAsia="游ゴシック Light"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03021"/>
    <w:pPr>
      <w:spacing w:before="160" w:after="0"/>
      <w:jc w:val="center"/>
    </w:pPr>
    <w:rPr>
      <w:i/>
      <w:iCs/>
      <w:color w:themeColor="text1" w:themeTint="bf" w:val="404040"/>
    </w:rPr>
  </w:style>
  <w:style w:type="paragraph" w:styleId="ListParagraph">
    <w:name w:val="List Paragraph"/>
    <w:basedOn w:val="Normal"/>
    <w:link w:val="ListParagraphChar"/>
    <w:uiPriority w:val="34"/>
    <w:qFormat/>
    <w:rsid w:val="00303021"/>
    <w:pPr>
      <w:spacing w:before="0" w:after="0"/>
      <w:ind w:start="720"/>
      <w:contextualSpacing/>
    </w:pPr>
    <w:rPr/>
  </w:style>
  <w:style w:type="paragraph" w:styleId="IntenseQuote">
    <w:name w:val="Intense Quote"/>
    <w:basedOn w:val="Normal"/>
    <w:next w:val="Normal"/>
    <w:link w:val="IntenseQuoteChar"/>
    <w:uiPriority w:val="30"/>
    <w:qFormat/>
    <w:rsid w:val="0030302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303021"/>
    <w:pPr>
      <w:tabs>
        <w:tab w:val="clear" w:pos="720"/>
        <w:tab w:val="center" w:pos="4680" w:leader="none"/>
        <w:tab w:val="right" w:pos="9360" w:leader="none"/>
      </w:tabs>
    </w:pPr>
    <w:rPr/>
  </w:style>
  <w:style w:type="paragraph" w:styleId="Footer">
    <w:name w:val="footer"/>
    <w:basedOn w:val="Normal"/>
    <w:link w:val="FooterChar"/>
    <w:uiPriority w:val="99"/>
    <w:unhideWhenUsed/>
    <w:rsid w:val="00303021"/>
    <w:pPr>
      <w:tabs>
        <w:tab w:val="clear" w:pos="720"/>
        <w:tab w:val="center" w:pos="4680" w:leader="none"/>
        <w:tab w:val="right" w:pos="9360" w:leader="none"/>
      </w:tabs>
    </w:pPr>
    <w:rPr/>
  </w:style>
  <w:style w:type="paragraph" w:styleId="NoSpacing">
    <w:name w:val="No Spacing"/>
    <w:link w:val="NoSpacingChar"/>
    <w:uiPriority w:val="1"/>
    <w:qFormat/>
    <w:rsid w:val="00303021"/>
    <w:pPr>
      <w:widowControl w:val="false"/>
      <w:bidi w:val="0"/>
      <w:spacing w:lineRule="auto" w:line="240" w:before="0" w:after="0"/>
      <w:jc w:val="start"/>
    </w:pPr>
    <w:rPr>
      <w:rFonts w:ascii="Times New Roman" w:hAnsi="Times New Roman" w:eastAsia="Times New Roman" w:cs="Times New Roman"/>
      <w:color w:val="auto"/>
      <w:kern w:val="0"/>
      <w:sz w:val="22"/>
      <w:szCs w:val="22"/>
      <w:lang w:val="en-US" w:eastAsia="en-US" w:bidi="ar-SA"/>
      <w14:ligatures w14:val="standardContextual"/>
    </w:rPr>
  </w:style>
  <w:style w:type="paragraph" w:styleId="CommentText">
    <w:name w:val="annotation text"/>
    <w:basedOn w:val="Normal"/>
    <w:link w:val="CommentTextChar"/>
    <w:uiPriority w:val="99"/>
    <w:unhideWhenUsed/>
    <w:pPr/>
    <w:rPr>
      <w:sz w:val="20"/>
      <w:szCs w:val="20"/>
    </w:rPr>
  </w:style>
  <w:style w:type="paragraph" w:styleId="Revision">
    <w:name w:val="Revision"/>
    <w:uiPriority w:val="99"/>
    <w:semiHidden/>
    <w:qFormat/>
    <w:rsid w:val="007d1277"/>
    <w:pPr>
      <w:widowControl/>
      <w:bidi w:val="0"/>
      <w:spacing w:lineRule="auto" w:line="240" w:before="0" w:after="0"/>
      <w:jc w:val="start"/>
    </w:pPr>
    <w:rPr>
      <w:rFonts w:ascii="Times New Roman" w:hAnsi="Times New Roman" w:eastAsia="Times New Roman" w:cs="Times New Roman"/>
      <w:color w:val="auto"/>
      <w:kern w:val="0"/>
      <w:sz w:val="22"/>
      <w:szCs w:val="22"/>
      <w:lang w:val="en-US" w:eastAsia="en-US" w:bidi="ar-SA"/>
      <w14:ligatures w14:val="standardContextual"/>
    </w:rPr>
  </w:style>
  <w:style w:type="paragraph" w:styleId="annotationsubject">
    <w:name w:val="annotation subject"/>
    <w:basedOn w:val="CommentText"/>
    <w:next w:val="CommentText"/>
    <w:link w:val="CommentSubjectChar"/>
    <w:uiPriority w:val="99"/>
    <w:semiHidden/>
    <w:unhideWhenUsed/>
    <w:qFormat/>
    <w:rsid w:val="00166d94"/>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03021"/>
    <w:pPr>
      <w:spacing w:after="0" w:line="240" w:lineRule="auto"/>
    </w:pPr>
    <w:rPr>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Relationship Id="rId8" Type="http://schemas.openxmlformats.org/officeDocument/2006/relationships/comments" Target="comments.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9" ma:contentTypeDescription="Create a new document." ma:contentTypeScope="" ma:versionID="2d820eddc1b016db5dfa0a7606512de2">
  <xsd:schema xmlns:xsd="http://www.w3.org/2001/XMLSchema" xmlns:xs="http://www.w3.org/2001/XMLSchema" xmlns:p="http://schemas.microsoft.com/office/2006/metadata/properties" xmlns:ns2="9a96d420-221f-4e9d-95ed-cff15f2d7ad9" targetNamespace="http://schemas.microsoft.com/office/2006/metadata/properties" ma:root="true" ma:fieldsID="1c98942b862c46ce3952345364283d3e"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96d420-221f-4e9d-95ed-cff15f2d7ad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775C55-3102-4898-9187-058255C8F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165744-BA6F-427E-A518-013F783D0DCE}">
  <ds:schemaRefs>
    <ds:schemaRef ds:uri="http://schemas.microsoft.com/sharepoint/v3/contenttype/forms"/>
  </ds:schemaRefs>
</ds:datastoreItem>
</file>

<file path=customXml/itemProps3.xml><?xml version="1.0" encoding="utf-8"?>
<ds:datastoreItem xmlns:ds="http://schemas.openxmlformats.org/officeDocument/2006/customXml" ds:itemID="{559521C5-903D-4F28-A9B2-B2CF48B70874}">
  <ds:schemaRefs>
    <ds:schemaRef ds:uri="http://schemas.microsoft.com/office/2006/metadata/properties"/>
    <ds:schemaRef ds:uri="http://schemas.microsoft.com/office/infopath/2007/PartnerControls"/>
    <ds:schemaRef ds:uri="9a96d420-221f-4e9d-95ed-cff15f2d7ad9"/>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LibreOffice_project/620$Build-2</Application>
  <AppVersion>15.0000</AppVersion>
  <Pages>4</Pages>
  <Words>838</Words>
  <Characters>4922</Characters>
  <CharactersWithSpaces>5643</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2025-11-11T04:41:00Z</dcterms:created>
  <dc:creator>Brodo, Catherine (ARPA-H)</dc:creator>
  <dc:description/>
  <dc:language>en-US</dc:language>
  <cp:lastModifiedBy>Latrice Lyles (ARPA-H) [CTR]</cp:lastModifiedBy>
  <dcterms:modified xsi:type="dcterms:W3CDTF">2026-05-21T12:26:00Z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0x010100E83A65023F1F564684F417E82C11F0F1</vt:lpwstr>
  </property>
  <property fmtid="{D5CDD505-2E9C-101B-9397-08002B2CF9AE}" pid="4" name="MediaServiceImageTags">
    <vt:lpwstr/>
  </property>
  <property fmtid="{D5CDD505-2E9C-101B-9397-08002B2CF9AE}" pid="5" name="Order">
    <vt:r8>515000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docLang">
    <vt:lpwstr>en</vt:lpwstr>
  </property>
  <property fmtid="{D5CDD505-2E9C-101B-9397-08002B2CF9AE}" pid="10" name="xd_ProgID">
    <vt:lpwstr/>
  </property>
  <property fmtid="{D5CDD505-2E9C-101B-9397-08002B2CF9AE}" pid="11" name="xd_Signature">
    <vt:bool>0</vt:bool>
  </property>
</Properties>
</file>