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2022-03-02</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cbb0cd30-800c-467b-9951-e553d73dc44f"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cbb0cd30-800c-467b-9951-e553d73dc44f"/>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4"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649e9e40-4b0f-4d6e-ac7d-70d4d145e4aa"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649e9e40-4b0f-4d6e-ac7d-70d4d145e4aa"/>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146686b6-84cf-4161-b8ba-df687f177ce2"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146686b6-84cf-4161-b8ba-df687f177ce2"/>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explained in </w:t>
      </w:r>
      <w:r>
        <w:br/>
      </w:r>
      <w:r>
        <w:rPr>
          <w:rStyle w:val="CommentTok"/>
        </w:rPr>
        <w:t xml:space="preserve"># for example, if we get a new dataset with species Creseis conica, Abudefduf saxatilis, Labidocera gallensis, Metridia macrura, and Metridia asymmetrica  to import into bio-database.</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 </w:t>
      </w:r>
      <w:r>
        <w:rPr>
          <w:rStyle w:val="CommentTok"/>
        </w:rPr>
        <w:t xml:space="preserve">#Got taxonomy in bio-database</w:t>
      </w:r>
      <w:r>
        <w:br/>
      </w:r>
      <w:r>
        <w:rPr>
          <w:rStyle w:val="CommentTok"/>
        </w:rPr>
        <w:t xml:space="preserve"># getSciName will first retrieve query from existed taxonomy in "taxon_group" table of database.</w:t>
      </w:r>
      <w:r>
        <w:br/>
      </w:r>
      <w:r>
        <w:rPr>
          <w:rStyle w:val="CommentTok"/>
        </w:rPr>
        <w:t xml:space="preserve"># For those scientific names not in bio-database, retrieve them by web API of WORMS, Fishbase, GBIF, etc.</w:t>
      </w:r>
      <w:r>
        <w:br/>
      </w:r>
      <w:r>
        <w:rPr>
          <w:rStyle w:val="CommentTok"/>
        </w:rPr>
        <w:t xml:space="preserve"># Internally its magic is done through R pacage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NormalTok"/>
        </w:rPr>
        <w:t xml:space="preserve">                               </w:t>
      </w:r>
      <w:r>
        <w:rPr>
          <w:rStyle w:val="CommentTok"/>
        </w:rPr>
        <w:t xml:space="preserve"># Only the latter three species are new to the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 Get taxonomy from international database by its web API</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SourceCode"/>
      </w:pPr>
      <w:r>
        <w:rPr>
          <w:rStyle w:val="FunctionTok"/>
        </w:rPr>
        <w:t xml:space="preserve">dbDisconnect</w:t>
      </w:r>
      <w:r>
        <w:rPr>
          <w:rStyle w:val="NormalTok"/>
        </w:rPr>
        <w:t xml:space="preserve">(pconn) </w:t>
      </w:r>
      <w:r>
        <w:rPr>
          <w:rStyle w:val="CommentTok"/>
        </w:rPr>
        <w:t xml:space="preserve"># Close database connection</w:t>
      </w:r>
    </w:p>
    <w:p>
      <w:pPr>
        <w:pStyle w:val="TableCaption"/>
      </w:pPr>
      <w:r>
        <w:t xml:space="preserve">Table</w:t>
      </w:r>
      <w:r>
        <w:t xml:space="preserve"> </w:t>
      </w:r>
      <w:bookmarkStart w:id="9336eecf-62e2-4803-af21-7d914a3a5ce9"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9336eecf-62e2-4803-af21-7d914a3a5ce9"/>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End w:id="24"/>
    <w:bookmarkStart w:id="27" w:name="X675ff07a9198ce42e7c93521f83147310798167"/>
    <w:p>
      <w:pPr>
        <w:pStyle w:val="1"/>
      </w:pPr>
      <w:r>
        <w:rPr>
          <w:rStyle w:val="SectionNumber"/>
        </w:rPr>
        <w:t xml:space="preserve">3</w:t>
      </w:r>
      <w:r>
        <w:tab/>
      </w:r>
      <w:r>
        <w:t xml:space="preserve">OpenCPU framework for internal web APIs of bio-database</w:t>
      </w:r>
    </w:p>
    <w:bookmarkStart w:id="25" w:name="opencpu-server-configuration"/>
    <w:p>
      <w:pPr>
        <w:pStyle w:val="2"/>
      </w:pPr>
      <w:r>
        <w:rPr>
          <w:rStyle w:val="SectionNumber"/>
        </w:rPr>
        <w:t xml:space="preserve">3.1</w:t>
      </w:r>
      <w:r>
        <w:tab/>
      </w:r>
      <w:r>
        <w:t xml:space="preserve">OpenCPU server configuration</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688fe8fe-3044-4e7b-bec8-7a4e07875109"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688fe8fe-3044-4e7b-bec8-7a4e07875109"/>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mpg</w:t>
            </w:r>
          </w:p>
        </w:tc>
        <w:tc>
          <w:p>
            <w:pPr>
              <w:pStyle w:val="a"/>
            </w:pPr>
            <w:r>
              <w:t>cyl</w:t>
            </w:r>
          </w:p>
        </w:tc>
        <w:tc>
          <w:p>
            <w:pPr>
              <w:pStyle w:val="a"/>
            </w:pPr>
            <w:r>
              <w:t>disp</w:t>
            </w:r>
          </w:p>
        </w:tc>
        <w:tc>
          <w:p>
            <w:pPr>
              <w:pStyle w:val="a"/>
            </w:pPr>
            <w:r>
              <w:t>hp</w:t>
            </w:r>
          </w:p>
        </w:tc>
        <w:tc>
          <w:p>
            <w:pPr>
              <w:pStyle w:val="a"/>
            </w:pPr>
            <w:r>
              <w:t>drat</w:t>
            </w:r>
          </w:p>
        </w:tc>
      </w:tr>
      <w:tr>
        <w:tc>
          <w:p>
            <w:pPr>
              <w:pStyle w:val="a"/>
            </w:pPr>
            <w:r>
              <w:t>21.0</w:t>
            </w:r>
          </w:p>
        </w:tc>
        <w:tc>
          <w:p>
            <w:pPr>
              <w:pStyle w:val="a"/>
            </w:pPr>
            <w:r>
              <w:t>6</w:t>
            </w:r>
          </w:p>
        </w:tc>
        <w:tc>
          <w:p>
            <w:pPr>
              <w:pStyle w:val="a"/>
            </w:pPr>
            <w:r>
              <w:t>160</w:t>
            </w:r>
          </w:p>
        </w:tc>
        <w:tc>
          <w:p>
            <w:pPr>
              <w:pStyle w:val="a"/>
            </w:pPr>
            <w:r>
              <w:t>110</w:t>
            </w:r>
          </w:p>
        </w:tc>
        <w:tc>
          <w:p>
            <w:pPr>
              <w:pStyle w:val="a"/>
            </w:pPr>
            <w:r>
              <w:t>3.90</w:t>
            </w:r>
          </w:p>
        </w:tc>
      </w:tr>
      <w:tr>
        <w:tc>
          <w:p>
            <w:pPr>
              <w:pStyle w:val="a"/>
            </w:pPr>
            <w:r>
              <w:t>21.0</w:t>
            </w:r>
          </w:p>
        </w:tc>
        <w:tc>
          <w:p>
            <w:pPr>
              <w:pStyle w:val="a"/>
            </w:pPr>
            <w:r>
              <w:t>6</w:t>
            </w:r>
          </w:p>
        </w:tc>
        <w:tc>
          <w:p>
            <w:pPr>
              <w:pStyle w:val="a"/>
            </w:pPr>
            <w:r>
              <w:t>160</w:t>
            </w:r>
          </w:p>
        </w:tc>
        <w:tc>
          <w:p>
            <w:pPr>
              <w:pStyle w:val="a"/>
            </w:pPr>
            <w:r>
              <w:t>110</w:t>
            </w:r>
          </w:p>
        </w:tc>
        <w:tc>
          <w:p>
            <w:pPr>
              <w:pStyle w:val="a"/>
            </w:pPr>
            <w:r>
              <w:t>3.90</w:t>
            </w:r>
          </w:p>
        </w:tc>
      </w:tr>
      <w:tr>
        <w:tc>
          <w:p>
            <w:pPr>
              <w:pStyle w:val="a"/>
            </w:pPr>
            <w:r>
              <w:t>22.8</w:t>
            </w:r>
          </w:p>
        </w:tc>
        <w:tc>
          <w:p>
            <w:pPr>
              <w:pStyle w:val="a"/>
            </w:pPr>
            <w:r>
              <w:t>4</w:t>
            </w:r>
          </w:p>
        </w:tc>
        <w:tc>
          <w:p>
            <w:pPr>
              <w:pStyle w:val="a"/>
            </w:pPr>
            <w:r>
              <w:t>108</w:t>
            </w:r>
          </w:p>
        </w:tc>
        <w:tc>
          <w:p>
            <w:pPr>
              <w:pStyle w:val="a"/>
            </w:pPr>
            <w:r>
              <w:t>93</w:t>
            </w:r>
          </w:p>
        </w:tc>
        <w:tc>
          <w:p>
            <w:pPr>
              <w:pStyle w:val="a"/>
            </w:pPr>
            <w:r>
              <w:t>3.85</w:t>
            </w:r>
          </w:p>
        </w:tc>
      </w:tr>
      <w:tr>
        <w:tc>
          <w:p>
            <w:pPr>
              <w:pStyle w:val="a"/>
            </w:pPr>
            <w:r>
              <w:t>21.4</w:t>
            </w:r>
          </w:p>
        </w:tc>
        <w:tc>
          <w:p>
            <w:pPr>
              <w:pStyle w:val="a"/>
            </w:pPr>
            <w:r>
              <w:t>6</w:t>
            </w:r>
          </w:p>
        </w:tc>
        <w:tc>
          <w:p>
            <w:pPr>
              <w:pStyle w:val="a"/>
            </w:pPr>
            <w:r>
              <w:t>258</w:t>
            </w:r>
          </w:p>
        </w:tc>
        <w:tc>
          <w:p>
            <w:pPr>
              <w:pStyle w:val="a"/>
            </w:pPr>
            <w:r>
              <w:t>110</w:t>
            </w:r>
          </w:p>
        </w:tc>
        <w:tc>
          <w:p>
            <w:pPr>
              <w:pStyle w:val="a"/>
            </w:pPr>
            <w:r>
              <w:t>3.08</w:t>
            </w:r>
          </w:p>
        </w:tc>
      </w:tr>
      <w:tr>
        <w:tc>
          <w:p>
            <w:pPr>
              <w:pStyle w:val="a"/>
            </w:pPr>
            <w:r>
              <w:t>18.7</w:t>
            </w:r>
          </w:p>
        </w:tc>
        <w:tc>
          <w:p>
            <w:pPr>
              <w:pStyle w:val="a"/>
            </w:pPr>
            <w:r>
              <w:t>8</w:t>
            </w:r>
          </w:p>
        </w:tc>
        <w:tc>
          <w:p>
            <w:pPr>
              <w:pStyle w:val="a"/>
            </w:pPr>
            <w:r>
              <w:t>360</w:t>
            </w:r>
          </w:p>
        </w:tc>
        <w:tc>
          <w:p>
            <w:pPr>
              <w:pStyle w:val="a"/>
            </w:pPr>
            <w:r>
              <w:t>175</w:t>
            </w:r>
          </w:p>
        </w:tc>
        <w:tc>
          <w:p>
            <w:pPr>
              <w:pStyle w:val="a"/>
            </w:pPr>
            <w:r>
              <w:t>3.15</w:t>
            </w:r>
          </w:p>
        </w:tc>
      </w:tr>
    </w:tbl>
    <w:bookmarkEnd w:id="25"/>
    <w:bookmarkStart w:id="26" w:name="internal-api-package-odbapi"/>
    <w:p>
      <w:pPr>
        <w:pStyle w:val="2"/>
      </w:pPr>
      <w:r>
        <w:rPr>
          <w:rStyle w:val="SectionNumber"/>
        </w:rPr>
        <w:t xml:space="preserve">3.2</w:t>
      </w:r>
      <w:r>
        <w:tab/>
      </w:r>
      <w:r>
        <w:t xml:space="preserve">Internal API package: odbapi</w:t>
      </w:r>
    </w:p>
    <w:bookmarkEnd w:id="26"/>
    <w:bookmarkEnd w:id="2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9f43f501cf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2022-03-01T16:17:54Z</dcterms:created>
  <dcterms:modified xsi:type="dcterms:W3CDTF">2022-03-02T00:17:54Z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2022-03-02</vt:lpwstr>
  </property>
  <property fmtid="{D5CDD505-2E9C-101B-9397-08002B2CF9AE}" pid="3" name="output">
    <vt:lpwstr/>
  </property>
</Properties>
</file>