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Ресёрч: боль ИП и МСП под мини-апп в MAX</w:t>
      </w:r>
    </w:p>
    <w:p>
      <w:pPr/>
      <w:r>
        <w:t xml:space="preserve">Sep 20, 2026</w:t>
      </w:r>
      <w:r>
        <w:t xml:space="preserve"> · </w:t>
      </w:r>
      <w:r>
        <w:t xml:space="preserve">@Ilia Mel</w:t>
      </w:r>
    </w:p>
    <w:p>
      <w:pPr>
        <w:pStyle w:val="Heading2"/>
      </w:pPr>
      <w:r>
        <w:t xml:space="preserve">Резюме</w:t>
      </w:r>
    </w:p>
    <w:p>
      <w:pPr/>
      <w:r>
        <w:t xml:space="preserve">Берём </w:t>
      </w:r>
      <w:r>
        <w:rPr>
          <w:b/>
        </w:rPr>
        <w:t xml:space="preserve">микробизнес офлайн-услуг с 5–30 исполнителями-самозанятыми</w:t>
      </w:r>
      <w:r>
        <w:t xml:space="preserve"> и один процесс — </w:t>
      </w:r>
      <w:r>
        <w:rPr>
          <w:b/>
        </w:rPr>
        <w:t xml:space="preserve">еженедельное закрытие расчётов: выплата → чек НПД → акт → контроль лимитов переквалификации</w:t>
      </w:r>
      <w:r>
        <w:t xml:space="preserve">.</w:t>
      </w:r>
    </w:p>
    <w:p>
      <w:pPr/>
      <w:r>
        <w:t xml:space="preserve">Почему именно это: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Боль свежая и с датой.</w:t>
      </w:r>
      <w:r>
        <w:t xml:space="preserve"> С 16.02.2026 ФНС ведёт квартальный скоринг от 10 самозанятых, а с 01.10.2026 — через одиннадцать дней — платформы обязаны блокировать связку исполнитель–заказчик при превышении 6 месяцев и 160 часов в месяц.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Цена боли в деньгах есть.</w:t>
      </w:r>
      <w:r>
        <w:t xml:space="preserve"> Штраф 50–200 тыс. ₽ плюс доначисление НДФЛ и взносов за весь период и 20 % по ст. 123 НК. ФНС уже видит признаки подмены у 182 тыс. самозанятых.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Ниша свободна.</w:t>
      </w:r>
      <w:r>
        <w:t xml:space="preserve"> YCLIENTS и DIKIDI закрывают клиента, бухгалтерские сервисы — квартальную отчётность. Еженедельный сбор чеков с пятнадцати человек не закрывает никто.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Формат совпадает с ограничениями MAX.</w:t>
      </w:r>
      <w:r>
        <w:t xml:space="preserve"> Процессу не нужны ни платежи, ни дискавери, которых в MAX нет. Вторую сторону — мастера — приводит сам владелец, а </w:t>
      </w:r>
      <w:r>
        <w:rPr>
          <w:rStyle w:val="CodeChar"/>
        </w:rPr>
        <w:t xml:space="preserve">requestContact</w:t>
      </w:r>
      <w:r>
        <w:t xml:space="preserve"> даёт подключение в один тап.</w:t>
      </w:r>
    </w:p>
    <w:p>
      <w:pPr/>
      <w:r>
        <w:t xml:space="preserve">От чего отказались: запись и no-show в бьюти (ниша занята бесплатным DIKIDI с собственной витриной), селлеры маркетплейсов (боль живёт в кабинете, не в мессенджере), маркировка и НДС на УСН (ядро в кассе и бухгалтерии).</w:t>
      </w:r>
    </w:p>
    <w:p>
      <w:pPr>
        <w:pStyle w:val="Quote"/>
      </w:pPr>
      <w:r>
        <w:rPr>
          <w:b/>
        </w:rPr>
        <w:t xml:space="preserve">Главная слабость этой рекомендации.</w:t>
      </w:r>
      <w:r>
        <w:t xml:space="preserve"> Размер сегмента и цена боли в часах не измерены ни одним публичным источником — процессный слой в российских опросах почти не замерен. Регуляторная часть проверена и твёрдая, коммерческая — гипотеза. Первые 8–10 интервью должны закрыть именно это, а не подтверждать идею.</w:t>
      </w:r>
    </w:p>
    <w:p>
      <w:pPr>
        <w:pStyle w:val="Heading2"/>
      </w:pPr>
      <w:r>
        <w:t xml:space="preserve">Методология</w:t>
      </w:r>
    </w:p>
    <w:p>
      <w:pPr/>
      <w:r>
        <w:t xml:space="preserve">Порядок жёсткий: сегмент → проблема → ценность. Обратный ход («есть платформа MAX, придумаем под неё продукт») даёт решение в поиске проблемы, поэтому платформа подключается последней — как фильтр, а не как отправная точка.</w:t>
      </w:r>
    </w:p>
    <w:p>
      <w:pPr/>
      <w:r>
        <w:rPr>
          <w:b/>
        </w:rPr>
        <w:t xml:space="preserve">Сегмент</w:t>
      </w:r>
      <w:r>
        <w:t xml:space="preserve"> — не отрасль, а группа с квалификаторами: вид деятельности + размер + модель работы с клиентом + текущий канал. «Бьюти» сегментом не считается; «мастер-одиночка на аренде кресла, 40–80 клиентов в месяц, запись через личные сообщения» — считается.</w:t>
      </w:r>
    </w:p>
    <w:p>
      <w:pPr/>
      <w:r>
        <w:rPr>
          <w:b/>
        </w:rPr>
        <w:t xml:space="preserve">Проблема</w:t>
      </w:r>
      <w:r>
        <w:t xml:space="preserve"> — не тема, а повторяющийся процесс, разложенный по шагам, с частотой и точками отказа. Меряется в часах и рублях на одного предпринимателя в месяц.</w:t>
      </w:r>
    </w:p>
    <w:p>
      <w:pPr/>
      <w:r>
        <w:rPr>
          <w:b/>
        </w:rPr>
        <w:t xml:space="preserve">Ценность</w:t>
      </w:r>
      <w:r>
        <w:t xml:space="preserve"> — что именно исчезает из его дня, если процесс починить, и готов ли он за это платить.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Критерий отбора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смотрим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отсекает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Размер</w:t>
            </w:r>
          </w:p>
        </w:tc>
        <w:tc>
          <w:tcPr>
            <w:tcW w:w="3120" w:type="dxa"/>
          </w:tcPr>
          <w:p>
            <w:pPr/>
            <w:r>
              <w:t xml:space="preserve">число субъектов в реестре МСП, а не объём рынка в деньгах</w:t>
            </w:r>
          </w:p>
        </w:tc>
        <w:tc>
          <w:tcPr>
            <w:tcW w:w="3120" w:type="dxa"/>
          </w:tcPr>
          <w:p>
            <w:pPr/>
            <w:r>
              <w:t xml:space="preserve">нишу на три тысячи компаний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Частота процесса</w:t>
            </w:r>
          </w:p>
        </w:tc>
        <w:tc>
          <w:tcPr>
            <w:tcW w:w="3120" w:type="dxa"/>
          </w:tcPr>
          <w:p>
            <w:pPr/>
            <w:r>
              <w:t xml:space="preserve">сколько раз в неделю предприниматель в него попадает</w:t>
            </w:r>
          </w:p>
        </w:tc>
        <w:tc>
          <w:tcPr>
            <w:tcW w:w="3120" w:type="dxa"/>
          </w:tcPr>
          <w:p>
            <w:pPr/>
            <w:r>
              <w:t xml:space="preserve">годовые процессы вроде отчётности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Цена боли</w:t>
            </w:r>
          </w:p>
        </w:tc>
        <w:tc>
          <w:tcPr>
            <w:tcW w:w="3120" w:type="dxa"/>
          </w:tcPr>
          <w:p>
            <w:pPr/>
            <w:r>
              <w:t xml:space="preserve">часы и рубли потерь в месяц на одного</w:t>
            </w:r>
          </w:p>
        </w:tc>
        <w:tc>
          <w:tcPr>
            <w:tcW w:w="3120" w:type="dxa"/>
          </w:tcPr>
          <w:p>
            <w:pPr/>
            <w:r>
              <w:t xml:space="preserve">раздражение без денег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Платёжеспособность</w:t>
            </w:r>
          </w:p>
        </w:tc>
        <w:tc>
          <w:tcPr>
            <w:tcW w:w="3120" w:type="dxa"/>
          </w:tcPr>
          <w:p>
            <w:pPr/>
            <w:r>
              <w:t xml:space="preserve">за какой софт сегмент уже платит</w:t>
            </w:r>
          </w:p>
        </w:tc>
        <w:tc>
          <w:tcPr>
            <w:tcW w:w="3120" w:type="dxa"/>
          </w:tcPr>
          <w:p>
            <w:pPr/>
            <w:r>
              <w:t xml:space="preserve">тех, кто не платит ни за что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Конкурентная дыра</w:t>
            </w:r>
          </w:p>
        </w:tc>
        <w:tc>
          <w:tcPr>
            <w:tcW w:w="3120" w:type="dxa"/>
          </w:tcPr>
          <w:p>
            <w:pPr/>
            <w:r>
              <w:t xml:space="preserve">почему существующие сервисы не закрывают</w:t>
            </w:r>
          </w:p>
        </w:tc>
        <w:tc>
          <w:tcPr>
            <w:tcW w:w="3120" w:type="dxa"/>
          </w:tcPr>
          <w:p>
            <w:pPr/>
            <w:r>
              <w:t xml:space="preserve">занятые ниши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Фит с мессенджером</w:t>
            </w:r>
          </w:p>
        </w:tc>
        <w:tc>
          <w:tcPr>
            <w:tcW w:w="3120" w:type="dxa"/>
          </w:tcPr>
          <w:p>
            <w:pPr/>
            <w:r>
              <w:t xml:space="preserve">нужен ли процессу клиент на той стороне</w:t>
            </w:r>
          </w:p>
        </w:tc>
        <w:tc>
          <w:tcPr>
            <w:tcW w:w="3120" w:type="dxa"/>
          </w:tcPr>
          <w:p>
            <w:pPr/>
            <w:r>
              <w:t xml:space="preserve">чисто внутренние бэк-офисные задачи</w:t>
            </w:r>
          </w:p>
        </w:tc>
      </w:tr>
    </w:tbl>
    <w:p>
      <w:pPr/>
      <w:r>
        <w:t xml:space="preserve">Платформенный фильтр применяется последним: боль, которая ничего не выигрывает от жизни внутри мессенджера, отбрасывается, даже если она острая.</w:t>
      </w:r>
    </w:p>
    <w:p>
      <w:pPr>
        <w:pStyle w:val="Heading2"/>
      </w:pPr>
      <w:r>
        <w:t xml:space="preserve">Ландшафт: кого вообще можно считать рынком</w:t>
      </w:r>
    </w:p>
    <w:p>
      <w:pPr/>
      <w:r>
        <w:t xml:space="preserve">«Микробизнес» — не сегмент, а почти весь рынок: 96,07 % реестра МСП — микропредприятия, 70 % — ИП. Целиться надо в квалификаторы, а не в «малый бизнес». Рынок при этом не столько растёт, сколько атомизируется: весь годовой прирост (+247 020 субъектов, +3,75 %) дают ИП, юрлица сокращаются на 5,9 % г/г, а занятость растёт на 0,42 %. На одно микропредприятие приходится </w:t>
      </w:r>
      <w:r>
        <w:rPr>
          <w:b/>
        </w:rPr>
        <w:t xml:space="preserve">1,07 наёмного работника</w:t>
      </w:r>
      <w:r>
        <w:t xml:space="preserve">: типичный субъект рынка — соло-ИП без бухгалтера и без времени на внедрение софта (</w:t>
      </w:r>
      <w:hyperlink r:id="rId3" w:history="1">
        <w:r>
          <w:rPr>
            <w:rStyle w:val="Hyperlink"/>
          </w:rPr>
          <w:t xml:space="preserve">реестр ФНС</w:t>
        </w:r>
      </w:hyperlink>
      <w:r>
        <w:t xml:space="preserve">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Единый реестр МСП на 10.09.2026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Количество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Доля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Всего субъектов</w:t>
            </w:r>
          </w:p>
        </w:tc>
        <w:tc>
          <w:tcPr>
            <w:tcW w:w="3120" w:type="dxa"/>
          </w:tcPr>
          <w:p>
            <w:pPr/>
            <w:r>
              <w:t xml:space="preserve">6 767 441</w:t>
            </w:r>
          </w:p>
        </w:tc>
        <w:tc>
          <w:tcPr>
            <w:tcW w:w="3120" w:type="dxa"/>
          </w:tcPr>
          <w:p>
            <w:pPr/>
            <w:r>
              <w:t xml:space="preserve">100 %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из них микропредприятия</w:t>
            </w:r>
          </w:p>
        </w:tc>
        <w:tc>
          <w:tcPr>
            <w:tcW w:w="3120" w:type="dxa"/>
          </w:tcPr>
          <w:p>
            <w:pPr/>
            <w:r>
              <w:t xml:space="preserve">6 501 764</w:t>
            </w:r>
          </w:p>
        </w:tc>
        <w:tc>
          <w:tcPr>
            <w:tcW w:w="3120" w:type="dxa"/>
          </w:tcPr>
          <w:p>
            <w:pPr/>
            <w:r>
              <w:t xml:space="preserve">96,07 %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из них малые</w:t>
            </w:r>
          </w:p>
        </w:tc>
        <w:tc>
          <w:tcPr>
            <w:tcW w:w="3120" w:type="dxa"/>
          </w:tcPr>
          <w:p>
            <w:pPr/>
            <w:r>
              <w:t xml:space="preserve">241 279</w:t>
            </w:r>
          </w:p>
        </w:tc>
        <w:tc>
          <w:tcPr>
            <w:tcW w:w="3120" w:type="dxa"/>
          </w:tcPr>
          <w:p>
            <w:pPr/>
            <w:r>
              <w:t xml:space="preserve">3,6 %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из них средние</w:t>
            </w:r>
          </w:p>
        </w:tc>
        <w:tc>
          <w:tcPr>
            <w:tcW w:w="3120" w:type="dxa"/>
          </w:tcPr>
          <w:p>
            <w:pPr/>
            <w:r>
              <w:t xml:space="preserve">24 398</w:t>
            </w:r>
          </w:p>
        </w:tc>
        <w:tc>
          <w:tcPr>
            <w:tcW w:w="3120" w:type="dxa"/>
          </w:tcPr>
          <w:p>
            <w:pPr/>
            <w:r>
              <w:t xml:space="preserve">0,4 %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ИП</w:t>
            </w:r>
          </w:p>
        </w:tc>
        <w:tc>
          <w:tcPr>
            <w:tcW w:w="3120" w:type="dxa"/>
          </w:tcPr>
          <w:p>
            <w:pPr/>
            <w:r>
              <w:t xml:space="preserve">4 738 217</w:t>
            </w:r>
          </w:p>
        </w:tc>
        <w:tc>
          <w:tcPr>
            <w:tcW w:w="3120" w:type="dxa"/>
          </w:tcPr>
          <w:p>
            <w:pPr/>
            <w:r>
              <w:t xml:space="preserve">70,0 %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Юрлица</w:t>
            </w:r>
          </w:p>
        </w:tc>
        <w:tc>
          <w:tcPr>
            <w:tcW w:w="3120" w:type="dxa"/>
          </w:tcPr>
          <w:p>
            <w:pPr/>
            <w:r>
              <w:t xml:space="preserve">2 029 224</w:t>
            </w:r>
          </w:p>
        </w:tc>
        <w:tc>
          <w:tcPr>
            <w:tcW w:w="3120" w:type="dxa"/>
          </w:tcPr>
          <w:p>
            <w:pPr/>
            <w:r>
              <w:t xml:space="preserve">30,0 %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Самозанятые (НПД) на 21.08.2026</w:t>
            </w:r>
          </w:p>
        </w:tc>
        <w:tc>
          <w:tcPr>
            <w:tcW w:w="3120" w:type="dxa"/>
          </w:tcPr>
          <w:p>
            <w:pPr/>
            <w:r>
              <w:t xml:space="preserve">17 263 000</w:t>
            </w:r>
          </w:p>
        </w:tc>
        <w:tc>
          <w:tcPr>
            <w:tcW w:w="3120" w:type="dxa"/>
          </w:tcPr>
          <w:p>
            <w:pPr/>
            <w:r>
              <w:t xml:space="preserve">кумулятивный реестр</w:t>
            </w:r>
          </w:p>
        </w:tc>
      </w:tr>
    </w:tbl>
    <w:p>
      <w:pPr/>
      <w:r>
        <w:t xml:space="preserve">Рядом с реестром МСП лежит второй, втрое больший пласт — 17,26 млн самозанятых. Но брать его целиком в рынок нельзя: в июле 2026 самозанятые выбили 227,5 млн чеков на 299,2 млрд ₽ — это около </w:t>
      </w:r>
      <w:r>
        <w:rPr>
          <w:b/>
        </w:rPr>
        <w:t xml:space="preserve">17 тыс. ₽ выручки на человека в месяц</w:t>
      </w:r>
      <w:r>
        <w:t xml:space="preserve"> и средний чек около 1 300 ₽. Это подработка, а не бизнес, и платить за софт такой человек не будет. В сегмент самозанятые попадают только как исполнители внутри чужого бизнеса: мастер в салоне, подрядчик в бригаде, курьер в доставке — и тогда платит за них владелец.</w:t>
      </w:r>
    </w:p>
    <w:p>
      <w:pPr/>
      <w:r>
        <w:t xml:space="preserve">По данным ФНС, чаще всего самозанятые работают в ремонте, автоперевозках, IT и бьюти — три из четырёх отраслей здесь это локальные услуги с живым клиентом на той стороне.</w:t>
      </w:r>
    </w:p>
    <w:p>
      <w:pPr>
        <w:pStyle w:val="Heading2"/>
      </w:pPr>
      <w:r>
        <w:t xml:space="preserve">Скан сегментов: кто отвалился и почему</w:t>
      </w:r>
    </w:p>
    <w:p>
      <w:pPr/>
      <w:r>
        <w:t xml:space="preserve">Два сегмента отвалились раньше, чем дошли до скоринга.</w:t>
      </w:r>
    </w:p>
    <w:p>
      <w:pPr/>
      <w:r>
        <w:rPr>
          <w:b/>
        </w:rPr>
        <w:t xml:space="preserve">Селлеры маркетплейсов.</w:t>
      </w:r>
      <w:r>
        <w:t xml:space="preserve"> Их боли живут в кабинете площадки и выгрузках отчётов, а не в переписке с клиентом (</w:t>
      </w:r>
      <w:hyperlink r:id="rId4" w:history="1">
        <w:r>
          <w:rPr>
            <w:rStyle w:val="Hyperlink"/>
          </w:rPr>
          <w:t xml:space="preserve">Data Insight, n=709, 30.07.2025</w:t>
        </w:r>
      </w:hyperlink>
      <w:r>
        <w:t xml:space="preserve">). Мессенджер для них не рабочее место.</w:t>
      </w:r>
    </w:p>
    <w:p>
      <w:pPr/>
      <w:r>
        <w:rPr>
          <w:b/>
        </w:rPr>
        <w:t xml:space="preserve">Бьюти через онлайн-запись.</w:t>
      </w:r>
      <w:r>
        <w:t xml:space="preserve"> Ниша занята сверху донизу: </w:t>
      </w:r>
      <w:hyperlink r:id="rId5" w:history="1">
        <w:r>
          <w:rPr>
            <w:rStyle w:val="Hyperlink"/>
          </w:rPr>
          <w:t xml:space="preserve">DIKIDI</w:t>
        </w:r>
      </w:hyperlink>
      <w:r>
        <w:t xml:space="preserve"> даёт бессрочный бесплатный тариф и собственную витрину с 2,5 млн пользователей в месяц, YCLIENTS — от 512–771 ₽/мес, а </w:t>
      </w:r>
      <w:hyperlink r:id="rId6" w:history="1">
        <w:r>
          <w:rPr>
            <w:rStyle w:val="Hyperlink"/>
          </w:rPr>
          <w:t xml:space="preserve">ценовое дно рынка</w:t>
        </w:r>
      </w:hyperlink>
      <w:r>
        <w:t xml:space="preserve"> уже 390–490 ₽ (Masters, Calink, Rubitime). Заходить туда с «ещё одной записью, но в мессенджере» — воевать с бесплатным лидером, у которого свой трафик.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Сегмент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Размер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Острота боли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Платёжеспособность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Фит с мессенджером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Конкурентная дыра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Итог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Услуги с исполнителями-самозанятыми</w:t>
            </w:r>
          </w:p>
        </w:tc>
        <w:tc>
          <w:tcPr>
            <w:tcW w:w="1337" w:type="dxa"/>
          </w:tcPr>
          <w:p>
            <w:pPr/>
            <w:r>
              <w:t xml:space="preserve">высокий</w:t>
            </w:r>
          </w:p>
        </w:tc>
        <w:tc>
          <w:tcPr>
            <w:tcW w:w="1337" w:type="dxa"/>
          </w:tcPr>
          <w:p>
            <w:pPr/>
            <w:r>
              <w:t xml:space="preserve">высокая, дедлайн 01.10.2026</w:t>
            </w:r>
          </w:p>
        </w:tc>
        <w:tc>
          <w:tcPr>
            <w:tcW w:w="1337" w:type="dxa"/>
          </w:tcPr>
          <w:p>
            <w:pPr/>
            <w:r>
              <w:t xml:space="preserve">средняя</w:t>
            </w:r>
          </w:p>
        </w:tc>
        <w:tc>
          <w:tcPr>
            <w:tcW w:w="1337" w:type="dxa"/>
          </w:tcPr>
          <w:p>
            <w:pPr/>
            <w:r>
              <w:t xml:space="preserve">высокий, обе стороны в чате</w:t>
            </w:r>
          </w:p>
        </w:tc>
        <w:tc>
          <w:tcPr>
            <w:tcW w:w="1337" w:type="dxa"/>
          </w:tcPr>
          <w:p>
            <w:pPr/>
            <w:r>
              <w:t xml:space="preserve">широкая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берём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Бьюти: запись и no-show</w:t>
            </w:r>
          </w:p>
        </w:tc>
        <w:tc>
          <w:tcPr>
            <w:tcW w:w="1337" w:type="dxa"/>
          </w:tcPr>
          <w:p>
            <w:pPr/>
            <w:r>
              <w:t xml:space="preserve">высокий</w:t>
            </w:r>
          </w:p>
        </w:tc>
        <w:tc>
          <w:tcPr>
            <w:tcW w:w="1337" w:type="dxa"/>
          </w:tcPr>
          <w:p>
            <w:pPr/>
            <w:r>
              <w:t xml:space="preserve">средняя</w:t>
            </w:r>
          </w:p>
        </w:tc>
        <w:tc>
          <w:tcPr>
            <w:tcW w:w="1337" w:type="dxa"/>
          </w:tcPr>
          <w:p>
            <w:pPr/>
            <w:r>
              <w:t xml:space="preserve">средняя</w:t>
            </w:r>
          </w:p>
        </w:tc>
        <w:tc>
          <w:tcPr>
            <w:tcW w:w="1337" w:type="dxa"/>
          </w:tcPr>
          <w:p>
            <w:pPr/>
            <w:r>
              <w:t xml:space="preserve">высокий</w:t>
            </w:r>
          </w:p>
        </w:tc>
        <w:tc>
          <w:tcPr>
            <w:tcW w:w="1337" w:type="dxa"/>
          </w:tcPr>
          <w:p>
            <w:pPr/>
            <w:r>
              <w:t xml:space="preserve">нет</w:t>
            </w:r>
          </w:p>
        </w:tc>
        <w:tc>
          <w:tcPr>
            <w:tcW w:w="1337" w:type="dxa"/>
          </w:tcPr>
          <w:p>
            <w:pPr/>
            <w:r>
              <w:t xml:space="preserve">мимо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Селлеры маркетплейсов</w:t>
            </w:r>
          </w:p>
        </w:tc>
        <w:tc>
          <w:tcPr>
            <w:tcW w:w="1337" w:type="dxa"/>
          </w:tcPr>
          <w:p>
            <w:pPr/>
            <w:r>
              <w:t xml:space="preserve">средний</w:t>
            </w:r>
          </w:p>
        </w:tc>
        <w:tc>
          <w:tcPr>
            <w:tcW w:w="1337" w:type="dxa"/>
          </w:tcPr>
          <w:p>
            <w:pPr/>
            <w:r>
              <w:t xml:space="preserve">высокая</w:t>
            </w:r>
          </w:p>
        </w:tc>
        <w:tc>
          <w:tcPr>
            <w:tcW w:w="1337" w:type="dxa"/>
          </w:tcPr>
          <w:p>
            <w:pPr/>
            <w:r>
              <w:t xml:space="preserve">высокая</w:t>
            </w:r>
          </w:p>
        </w:tc>
        <w:tc>
          <w:tcPr>
            <w:tcW w:w="1337" w:type="dxa"/>
          </w:tcPr>
          <w:p>
            <w:pPr/>
            <w:r>
              <w:t xml:space="preserve">низкий</w:t>
            </w:r>
          </w:p>
        </w:tc>
        <w:tc>
          <w:tcPr>
            <w:tcW w:w="1337" w:type="dxa"/>
          </w:tcPr>
          <w:p>
            <w:pPr/>
            <w:r>
              <w:t xml:space="preserve">средняя</w:t>
            </w:r>
          </w:p>
        </w:tc>
        <w:tc>
          <w:tcPr>
            <w:tcW w:w="1337" w:type="dxa"/>
          </w:tcPr>
          <w:p>
            <w:pPr/>
            <w:r>
              <w:t xml:space="preserve">мимо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Розница под маркировку</w:t>
            </w:r>
          </w:p>
        </w:tc>
        <w:tc>
          <w:tcPr>
            <w:tcW w:w="1337" w:type="dxa"/>
          </w:tcPr>
          <w:p>
            <w:pPr/>
            <w:r>
              <w:t xml:space="preserve">средний</w:t>
            </w:r>
          </w:p>
        </w:tc>
        <w:tc>
          <w:tcPr>
            <w:tcW w:w="1337" w:type="dxa"/>
          </w:tcPr>
          <w:p>
            <w:pPr/>
            <w:r>
              <w:t xml:space="preserve">высокая, дедлайны 2026</w:t>
            </w:r>
          </w:p>
        </w:tc>
        <w:tc>
          <w:tcPr>
            <w:tcW w:w="1337" w:type="dxa"/>
          </w:tcPr>
          <w:p>
            <w:pPr/>
            <w:r>
              <w:t xml:space="preserve">средняя</w:t>
            </w:r>
          </w:p>
        </w:tc>
        <w:tc>
          <w:tcPr>
            <w:tcW w:w="1337" w:type="dxa"/>
          </w:tcPr>
          <w:p>
            <w:pPr/>
            <w:r>
              <w:t xml:space="preserve">низкий, ядро в кассе и ЭДО</w:t>
            </w:r>
          </w:p>
        </w:tc>
        <w:tc>
          <w:tcPr>
            <w:tcW w:w="1337" w:type="dxa"/>
          </w:tcPr>
          <w:p>
            <w:pPr/>
            <w:r>
              <w:t xml:space="preserve">средняя</w:t>
            </w:r>
          </w:p>
        </w:tc>
        <w:tc>
          <w:tcPr>
            <w:tcW w:w="1337" w:type="dxa"/>
          </w:tcPr>
          <w:p>
            <w:pPr/>
            <w:r>
              <w:t xml:space="preserve">мимо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Микро-ИП под НДС на УСН</w:t>
            </w:r>
          </w:p>
        </w:tc>
        <w:tc>
          <w:tcPr>
            <w:tcW w:w="1337" w:type="dxa"/>
          </w:tcPr>
          <w:p>
            <w:pPr/>
            <w:r>
              <w:t xml:space="preserve">оценка</w:t>
            </w:r>
          </w:p>
        </w:tc>
        <w:tc>
          <w:tcPr>
            <w:tcW w:w="1337" w:type="dxa"/>
          </w:tcPr>
          <w:p>
            <w:pPr/>
            <w:r>
              <w:t xml:space="preserve">высокая</w:t>
            </w:r>
          </w:p>
        </w:tc>
        <w:tc>
          <w:tcPr>
            <w:tcW w:w="1337" w:type="dxa"/>
          </w:tcPr>
          <w:p>
            <w:pPr/>
            <w:r>
              <w:t xml:space="preserve">средняя</w:t>
            </w:r>
          </w:p>
        </w:tc>
        <w:tc>
          <w:tcPr>
            <w:tcW w:w="1337" w:type="dxa"/>
          </w:tcPr>
          <w:p>
            <w:pPr/>
            <w:r>
              <w:t xml:space="preserve">низкий, процесс бухгалтерский</w:t>
            </w:r>
          </w:p>
        </w:tc>
        <w:tc>
          <w:tcPr>
            <w:tcW w:w="1337" w:type="dxa"/>
          </w:tcPr>
          <w:p>
            <w:pPr/>
            <w:r>
              <w:t xml:space="preserve">средняя</w:t>
            </w:r>
          </w:p>
        </w:tc>
        <w:tc>
          <w:tcPr>
            <w:tcW w:w="1337" w:type="dxa"/>
          </w:tcPr>
          <w:p>
            <w:pPr/>
            <w:r>
              <w:t xml:space="preserve">мимо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HoReCa и локальная доставка</w:t>
            </w:r>
          </w:p>
        </w:tc>
        <w:tc>
          <w:tcPr>
            <w:tcW w:w="1337" w:type="dxa"/>
          </w:tcPr>
          <w:p>
            <w:pPr/>
            <w:r>
              <w:t xml:space="preserve">средний</w:t>
            </w:r>
          </w:p>
        </w:tc>
        <w:tc>
          <w:tcPr>
            <w:tcW w:w="1337" w:type="dxa"/>
          </w:tcPr>
          <w:p>
            <w:pPr/>
            <w:r>
              <w:t xml:space="preserve">средняя</w:t>
            </w:r>
          </w:p>
        </w:tc>
        <w:tc>
          <w:tcPr>
            <w:tcW w:w="1337" w:type="dxa"/>
          </w:tcPr>
          <w:p>
            <w:pPr/>
            <w:r>
              <w:t xml:space="preserve">низкая</w:t>
            </w:r>
          </w:p>
        </w:tc>
        <w:tc>
          <w:tcPr>
            <w:tcW w:w="1337" w:type="dxa"/>
          </w:tcPr>
          <w:p>
            <w:pPr/>
            <w:r>
              <w:t xml:space="preserve">средний</w:t>
            </w:r>
          </w:p>
        </w:tc>
        <w:tc>
          <w:tcPr>
            <w:tcW w:w="1337" w:type="dxa"/>
          </w:tcPr>
          <w:p>
            <w:pPr/>
            <w:r>
              <w:t xml:space="preserve">узкая</w:t>
            </w:r>
          </w:p>
        </w:tc>
        <w:tc>
          <w:tcPr>
            <w:tcW w:w="1337" w:type="dxa"/>
          </w:tcPr>
          <w:p>
            <w:pPr/>
            <w:r>
              <w:t xml:space="preserve">мимо</w:t>
            </w:r>
          </w:p>
        </w:tc>
      </w:tr>
    </w:tbl>
    <w:p>
      <w:pPr/>
      <w:r>
        <w:t xml:space="preserve">Порог НДС для УСН намеренно не взят в основу: цифра движущаяся, </w:t>
      </w:r>
      <w:hyperlink r:id="rId7" w:history="1">
        <w:r>
          <w:rPr>
            <w:rStyle w:val="Hyperlink"/>
          </w:rPr>
          <w:t xml:space="preserve">обсуждается заморозка на 2027 год</w:t>
        </w:r>
      </w:hyperlink>
      <w:r>
        <w:t xml:space="preserve">. Строить продукт на норме, которую могут отложить, рискованно.</w:t>
      </w:r>
    </w:p>
    <w:p>
      <w:pPr>
        <w:pStyle w:val="Heading2"/>
      </w:pPr>
      <w:r>
        <w:t xml:space="preserve">Сегмент: микробизнес услуг, который платит исполнителям-самозанятым</w:t>
      </w:r>
    </w:p>
    <w:p>
      <w:pPr/>
      <w:r>
        <w:t xml:space="preserve">Не «бьюти» и не «услуги» целиком. Сегмент задаётся не отраслью, а способом работы с людьми.</w:t>
      </w:r>
    </w:p>
    <w:p>
      <w:pPr/>
      <w:r>
        <w:rPr>
          <w:b/>
        </w:rPr>
        <w:t xml:space="preserve">Квалификаторы:</w:t>
      </w:r>
    </w:p>
    <w:p>
      <w:pPr>
        <w:pStyle w:val="ListParagraph"/>
        <w:numPr>
          <w:ilvl w:val="0"/>
          <w:numId w:val="3"/>
        </w:numPr>
      </w:pPr>
      <w:r>
        <w:t xml:space="preserve">ИП или микро-ООО в офлайн-услугах: бьюти-студия, барбершоп, ремонтная или строительная бригада, клининг, локальная доставка, автосервис</w:t>
      </w:r>
    </w:p>
    <w:p>
      <w:pPr>
        <w:pStyle w:val="ListParagraph"/>
        <w:numPr>
          <w:ilvl w:val="0"/>
          <w:numId w:val="3"/>
        </w:numPr>
      </w:pPr>
      <w:r>
        <w:t xml:space="preserve">от 5 до 30 исполнителей на НПД или ГПХ, не в штате</w:t>
      </w:r>
    </w:p>
    <w:p>
      <w:pPr>
        <w:pStyle w:val="ListParagraph"/>
        <w:numPr>
          <w:ilvl w:val="0"/>
          <w:numId w:val="3"/>
        </w:numPr>
      </w:pPr>
      <w:r>
        <w:t xml:space="preserve">выделенного бухгалтера нет — расчёты ведёт владелец или администратор</w:t>
      </w:r>
    </w:p>
    <w:p>
      <w:pPr>
        <w:pStyle w:val="ListParagraph"/>
        <w:numPr>
          <w:ilvl w:val="0"/>
          <w:numId w:val="3"/>
        </w:numPr>
      </w:pPr>
      <w:r>
        <w:t xml:space="preserve">расчёты происходят еженедельно или чаще, по факту смены или заказа</w:t>
      </w:r>
    </w:p>
    <w:p>
      <w:pPr>
        <w:pStyle w:val="ListParagraph"/>
        <w:numPr>
          <w:ilvl w:val="0"/>
          <w:numId w:val="3"/>
        </w:numPr>
      </w:pPr>
      <w:r>
        <w:t xml:space="preserve">переписка с исполнителями уже идёт в мессенджере, а не в учётной системе</w:t>
      </w:r>
    </w:p>
    <w:p>
      <w:pPr/>
      <w:r>
        <w:rPr>
          <w:b/>
        </w:rPr>
        <w:t xml:space="preserve">Размер — честная дыра в данных.</w:t>
      </w:r>
      <w:r>
        <w:t xml:space="preserve"> Публичного среза «сколько микрокомпаний работают с самозанятыми и сколько у них исполнителей» нет ни у ФНС, ни в отраслевых исследованиях. Его придётся закрывать интервью. Косвенные ориентиры: 17,26 млн плательщиков НПД при 6,6 млн субъектов МСП, и ФНС уже видит признаки подмены трудовых отношений у 182 тыс. самозанятых — это нижняя граница числа заказчиков в зоне риска.</w:t>
      </w:r>
    </w:p>
    <w:p>
      <w:pPr/>
      <w:r>
        <w:rPr>
          <w:b/>
        </w:rPr>
        <w:t xml:space="preserve">Что у него с временем.</w:t>
      </w:r>
      <w:r>
        <w:t xml:space="preserve"> 70 % предпринимателей работают больше 60 часов в неделю, 43 % тратят более 4 часов в день на операционку, и управление персоналом забирает 22 % этого времени (</w:t>
      </w:r>
      <w:hyperlink r:id="rId8" w:history="1">
        <w:r>
          <w:rPr>
            <w:rStyle w:val="Hyperlink"/>
          </w:rPr>
          <w:t xml:space="preserve">Яндекс Go для бизнеса, n&gt;1200, май 2025</w:t>
        </w:r>
      </w:hyperlink>
      <w:r>
        <w:t xml:space="preserve">).</w:t>
      </w:r>
    </w:p>
    <w:p>
      <w:pPr>
        <w:pStyle w:val="Heading2"/>
      </w:pPr>
      <w:r>
        <w:t xml:space="preserve">Процесс: закрытие расчётов с исполнителем</w:t>
      </w:r>
    </w:p>
    <w:p>
      <w:pPr/>
      <w:r>
        <w:t xml:space="preserve">Процесс повторяется по каждому исполнителю каждую неделю и целиком живёт в переписке и Excel.</w:t>
      </w:r>
    </w:p>
    <w:p>
      <w:pPr>
        <w:pStyle w:val="Code"/>
      </w:pPr>
      <w:bookmarkStart w:id="1" w:name="bongo_lang_mermaid_1"/>
      <w:bookmarkEnd w:id="1"/>
      <w:r>
        <w:t xml:space="preserve">flowchart TD</w:t>
        <w:br/>
        <w:t xml:space="preserve">  A[Исполнитель отработал&lt;br/&gt;смену или заказ] --&gt; B[Владелец считает&lt;br/&gt;сумму в Excel]</w:t>
        <w:br/>
        <w:t xml:space="preserve">  B --&gt; C[Перевод на карту]</w:t>
        <w:br/>
        <w:t xml:space="preserve">  C --&gt; D{Чек НПД&lt;br/&gt;пробит?}</w:t>
        <w:br/>
        <w:t xml:space="preserve">  D --&gt;|нет| E[Напоминание&lt;br/&gt;в переписке]</w:t>
        <w:br/>
        <w:t xml:space="preserve">  E --&gt; D</w:t>
        <w:br/>
        <w:t xml:space="preserve">  D --&gt;|да| F[Чек прислан&lt;br/&gt;скриншотом в чат]</w:t>
        <w:br/>
        <w:t xml:space="preserve">  F --&gt; G[Акт не оформлен&lt;br/&gt;договор один на всех]</w:t>
        <w:br/>
        <w:t xml:space="preserve">  G --&gt; H[Расход не подтверждён&lt;br/&gt;риск переквалификации]</w:t>
      </w:r>
    </w:p>
    <w:p>
      <w:pPr/>
      <w:r>
        <w:t xml:space="preserve">Пять точек отказа: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Чек пробивает сам исполнитель.</w:t>
      </w:r>
      <w:r>
        <w:t xml:space="preserve"> Заказчик на это не влияет, но без чека из «Моего налога» расход не подтверждён.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Чеки приходят скриншотами</w:t>
      </w:r>
      <w:r>
        <w:t xml:space="preserve"> в общий чат и там теряются. Через полгода собрать их невозможно.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Акты не оформляются</w:t>
      </w:r>
      <w:r>
        <w:t xml:space="preserve">, а договор часто один шаблон на всех — первое, что читается как трудовые отношения.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Лимиты никто не считает.</w:t>
      </w:r>
      <w:r>
        <w:t xml:space="preserve"> Сколько месяцев подряд и сколько часов в месяц человек работает на одного заказчика — именно это с 01.10.2026 включает блокировку.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Бывшие сотрудники, переведённые в самозанятые</w:t>
      </w:r>
      <w:r>
        <w:t xml:space="preserve"> — прямой красный флаг квартального скоринга, и владелец часто не знает, что это отдельный критерий.</w:t>
      </w:r>
    </w:p>
    <w:p>
      <w:pPr>
        <w:pStyle w:val="Heading3"/>
      </w:pPr>
      <w:r>
        <w:t xml:space="preserve">Что именно поменялось в 2026 и сделало боль свежей</w:t>
      </w:r>
    </w:p>
    <w:p>
      <w:pPr/>
      <w:r>
        <w:t xml:space="preserve">С </w:t>
      </w:r>
      <w:r>
        <w:rPr>
          <w:b/>
        </w:rPr>
        <w:t xml:space="preserve">16.02.2026</w:t>
      </w:r>
      <w:r>
        <w:t xml:space="preserve"> ФНС работает по двухуровневому скорингу (</w:t>
      </w:r>
      <w:hyperlink r:id="rId9" w:history="1">
        <w:r>
          <w:rPr>
            <w:rStyle w:val="Hyperlink"/>
          </w:rPr>
          <w:t xml:space="preserve">Приказ Минтруда от 19.11.2025 № 657н, разбор Контура</w:t>
        </w:r>
      </w:hyperlink>
      <w:r>
        <w:t xml:space="preserve">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Уровень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Кого берёт в работу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Годовой мониторинг</w:t>
            </w:r>
          </w:p>
        </w:tc>
        <w:tc>
          <w:tcPr>
            <w:tcW w:w="4680" w:type="dxa"/>
          </w:tcPr>
          <w:p>
            <w:pPr/>
            <w:r>
              <w:t xml:space="preserve">более 35 самозанятых, среднемесячный доход каждого свыше 35 000 ₽, средняя длительность сотрудничества свыше 3 месяцев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Квартальный мониторинг (новое)</w:t>
            </w:r>
          </w:p>
        </w:tc>
        <w:tc>
          <w:tcPr>
            <w:tcW w:w="4680" w:type="dxa"/>
          </w:tcPr>
          <w:p>
            <w:pPr/>
            <w:r>
              <w:t xml:space="preserve">более 10 самозанятых, доход каждого свыше 25 000 ₽ в месяц, исполнитель в прошлом квартале был в штате этой же компании</w:t>
            </w:r>
          </w:p>
        </w:tc>
      </w:tr>
    </w:tbl>
    <w:p>
      <w:pPr/>
      <w:r>
        <w:t xml:space="preserve">С </w:t>
      </w:r>
      <w:r>
        <w:rPr>
          <w:b/>
        </w:rPr>
        <w:t xml:space="preserve">01.10.2026</w:t>
      </w:r>
      <w:r>
        <w:t xml:space="preserve"> — через одиннадцать дней от даты этого документа — цифровые платформы обязаны технически блокировать связку исполнитель–заказчик на два календарных месяца, если одновременно выполнены два условия: сотрудничество длится более 6 месяцев и в каждом месяце человек работает на одного заказчика более 160 часов.</w:t>
      </w:r>
    </w:p>
    <w:p>
      <w:pPr/>
      <w:r>
        <w:t xml:space="preserve">Заказчик при этом обязан хранить по каждому исполнителю три документа: договор ГПХ, акт с конкретизацией результата и чек из «Моего налога».</w:t>
      </w:r>
    </w:p>
    <w:p>
      <w:pPr>
        <w:pStyle w:val="Heading2"/>
      </w:pPr>
      <w:r>
        <w:t xml:space="preserve">Цена проблемы</w:t>
      </w:r>
    </w:p>
    <w:p>
      <w:pPr/>
      <w:r>
        <w:t xml:space="preserve">Боль стоит денег дважды: регулярно — временем владельца, разово и крупно — доначислениями.</w:t>
      </w:r>
    </w:p>
    <w:p>
      <w:pPr/>
      <w:r>
        <w:rPr>
          <w:b/>
        </w:rPr>
        <w:t xml:space="preserve">Штрафы за подмену трудовых отношений</w:t>
      </w:r>
      <w:r>
        <w:t xml:space="preserve"> (</w:t>
      </w:r>
      <w:hyperlink r:id="rId9" w:history="1">
        <w:r>
          <w:rPr>
            <w:rStyle w:val="Hyperlink"/>
          </w:rPr>
          <w:t xml:space="preserve">Контур</w:t>
        </w:r>
      </w:hyperlink>
      <w:r>
        <w:t xml:space="preserve">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Кто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Первое нарушение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Повторное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Организация</w:t>
            </w:r>
          </w:p>
        </w:tc>
        <w:tc>
          <w:tcPr>
            <w:tcW w:w="3120" w:type="dxa"/>
          </w:tcPr>
          <w:p>
            <w:pPr/>
            <w:r>
              <w:t xml:space="preserve">50 000–100 000 ₽</w:t>
            </w:r>
          </w:p>
        </w:tc>
        <w:tc>
          <w:tcPr>
            <w:tcW w:w="3120" w:type="dxa"/>
          </w:tcPr>
          <w:p>
            <w:pPr/>
            <w:r>
              <w:t xml:space="preserve">100 000–200 000 ₽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Должностное лицо</w:t>
            </w:r>
          </w:p>
        </w:tc>
        <w:tc>
          <w:tcPr>
            <w:tcW w:w="3120" w:type="dxa"/>
          </w:tcPr>
          <w:p>
            <w:pPr/>
            <w:r>
              <w:t xml:space="preserve">10 000–20 000 ₽</w:t>
            </w:r>
          </w:p>
        </w:tc>
        <w:tc>
          <w:tcPr>
            <w:tcW w:w="3120" w:type="dxa"/>
          </w:tcPr>
          <w:p>
            <w:pPr/>
            <w:r>
              <w:t xml:space="preserve">20 000–30 000 ₽ или дисквалификация 1–3 года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ИП</w:t>
            </w:r>
          </w:p>
        </w:tc>
        <w:tc>
          <w:tcPr>
            <w:tcW w:w="3120" w:type="dxa"/>
          </w:tcPr>
          <w:p>
            <w:pPr/>
            <w:r>
              <w:t xml:space="preserve">5 000–10 000 ₽</w:t>
            </w:r>
          </w:p>
        </w:tc>
        <w:tc>
          <w:tcPr>
            <w:tcW w:w="3120" w:type="dxa"/>
          </w:tcPr>
          <w:p>
            <w:pPr/>
            <w:r>
              <w:t xml:space="preserve">30 000–40 000 ₽</w:t>
            </w:r>
          </w:p>
        </w:tc>
      </w:tr>
    </w:tbl>
    <w:p>
      <w:pPr/>
      <w:r>
        <w:t xml:space="preserve">Сам штраф — не главное. Главное идёт следом: доначисление НДФЛ и страховых взносов за весь период плюс 20 % от неудержанного НДФЛ по ст. 123 НК РФ. Для студии с 12 мастерами и выплатами по 60 тыс. ₽ в месяц годовой фонд — около 8,6 млн ₽, и порядок доначислений при переквалификации — миллионы, а не десятки тысяч. Это </w:t>
      </w:r>
      <w:r>
        <w:rPr>
          <w:b/>
        </w:rPr>
        <w:t xml:space="preserve">мой расчёт на модельном примере, не замер</w:t>
      </w:r>
      <w:r>
        <w:t xml:space="preserve"> — фактические суммы зависят от глубины проверки и позиции суда.</w:t>
      </w:r>
    </w:p>
    <w:p>
      <w:pPr/>
      <w:r>
        <w:rPr>
          <w:b/>
        </w:rPr>
        <w:t xml:space="preserve">Масштаб риска.</w:t>
      </w:r>
      <w:r>
        <w:t xml:space="preserve"> ФНС уже выявила признаки подмены у 182 тыс. самозанятых — 1,25 % от 14,6 млн на момент замера.</w:t>
      </w:r>
    </w:p>
    <w:p>
      <w:pPr/>
      <w:r>
        <w:rPr>
          <w:b/>
        </w:rPr>
        <w:t xml:space="preserve">Время.</w:t>
      </w:r>
      <w:r>
        <w:t xml:space="preserve"> Прямого замера «сколько часов уходит на сбор чеков НПД» в открытых источниках нет — процессный слой в российских опросах почти не замерен. Есть только верхняя рамка: 43 % предпринимателей тратят более 4 часов в день на операционку, из них 22 % — управление персоналом. Цену боли в часах придётся мерять самому, на интервью.</w:t>
      </w:r>
    </w:p>
    <w:p>
      <w:pPr/>
      <w:r>
        <w:t xml:space="preserve">Готовность платить косвенно подтверждена: 24 % предпринимателей хотят делегировать 50–75 % нагрузки, ещё 30 % — минимум четверть.</w:t>
      </w:r>
    </w:p>
    <w:p>
      <w:pPr>
        <w:pStyle w:val="Heading2"/>
      </w:pPr>
      <w:r>
        <w:t xml:space="preserve">Конкуренты и заменители</w:t>
      </w:r>
    </w:p>
    <w:p>
      <w:pPr/>
      <w:r>
        <w:t xml:space="preserve">Никто из крупных игроков не закрывает именно еженедельный цикл «выплатил → собрал чек → оформил акт → проверил лимиты» для заказчика с 5–30 исполнителями.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Кто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Что закрывает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Цена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Почему не закрывает эту боль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YCLIENTS</w:t>
            </w:r>
          </w:p>
        </w:tc>
        <w:tc>
          <w:tcPr>
            <w:tcW w:w="2340" w:type="dxa"/>
          </w:tcPr>
          <w:p>
            <w:pPr/>
            <w:r>
              <w:t xml:space="preserve">запись, клиентская база, касса</w:t>
            </w:r>
          </w:p>
        </w:tc>
        <w:tc>
          <w:tcPr>
            <w:tcW w:w="2340" w:type="dxa"/>
          </w:tcPr>
          <w:p>
            <w:pPr/>
            <w:r>
              <w:t xml:space="preserve">от 512–771 ₽/мес, free нет</w:t>
            </w:r>
          </w:p>
        </w:tc>
        <w:tc>
          <w:tcPr>
            <w:tcW w:w="2340" w:type="dxa"/>
          </w:tcPr>
          <w:p>
            <w:pPr/>
            <w:r>
              <w:t xml:space="preserve">про клиента, не про исполнителя и не про чеки НПД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DIKIDI</w:t>
            </w:r>
          </w:p>
        </w:tc>
        <w:tc>
          <w:tcPr>
            <w:tcW w:w="2340" w:type="dxa"/>
          </w:tcPr>
          <w:p>
            <w:pPr/>
            <w:r>
              <w:t xml:space="preserve">запись, база, финансы, витрина</w:t>
            </w:r>
          </w:p>
        </w:tc>
        <w:tc>
          <w:tcPr>
            <w:tcW w:w="2340" w:type="dxa"/>
          </w:tcPr>
          <w:p>
            <w:pPr/>
            <w:r>
              <w:t xml:space="preserve">бессрочный бесплатный тариф</w:t>
            </w:r>
          </w:p>
        </w:tc>
        <w:tc>
          <w:tcPr>
            <w:tcW w:w="2340" w:type="dxa"/>
          </w:tcPr>
          <w:p>
            <w:pPr/>
            <w:r>
              <w:t xml:space="preserve">то же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Контур, Эльба, СБИС, 1С</w:t>
            </w:r>
          </w:p>
        </w:tc>
        <w:tc>
          <w:tcPr>
            <w:tcW w:w="2340" w:type="dxa"/>
          </w:tcPr>
          <w:p>
            <w:pPr/>
            <w:r>
              <w:t xml:space="preserve">отчётность и ЭДО</w:t>
            </w:r>
          </w:p>
        </w:tc>
        <w:tc>
          <w:tcPr>
            <w:tcW w:w="2340" w:type="dxa"/>
          </w:tcPr>
          <w:p>
            <w:pPr/>
            <w:r>
              <w:t xml:space="preserve">тысячи ₽/мес</w:t>
            </w:r>
          </w:p>
        </w:tc>
        <w:tc>
          <w:tcPr>
            <w:tcW w:w="2340" w:type="dxa"/>
          </w:tcPr>
          <w:p>
            <w:pPr/>
            <w:r>
              <w:t xml:space="preserve">квартальный цикл бухгалтера, а не ежесменный сбор чеков с пятнадцати человек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Платформы занятости (Консоль.Про, Рокет Ворк и аналоги)</w:t>
            </w:r>
          </w:p>
        </w:tc>
        <w:tc>
          <w:tcPr>
            <w:tcW w:w="2340" w:type="dxa"/>
          </w:tcPr>
          <w:p>
            <w:pPr/>
            <w:r>
              <w:t xml:space="preserve">полный цикл расчётов с самозанятыми</w:t>
            </w:r>
          </w:p>
        </w:tc>
        <w:tc>
          <w:tcPr>
            <w:tcW w:w="2340" w:type="dxa"/>
          </w:tcPr>
          <w:p>
            <w:pPr/>
            <w:r>
              <w:t xml:space="preserve">комиссия с оборота, </w:t>
            </w:r>
            <w:r>
              <w:rPr>
                <w:b/>
              </w:rPr>
              <w:t xml:space="preserve">тарифы в этом ресёрче не проверены</w:t>
            </w:r>
          </w:p>
        </w:tc>
        <w:tc>
          <w:tcPr>
            <w:tcW w:w="2340" w:type="dxa"/>
          </w:tcPr>
          <w:p>
            <w:pPr/>
            <w:r>
              <w:t xml:space="preserve">заточены под сотни исполнителей; для микро с 5–30 мастерами процент с оборота дороже подписки — гипотеза, требует проверки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Мессенджер + Excel</w:t>
            </w:r>
          </w:p>
        </w:tc>
        <w:tc>
          <w:tcPr>
            <w:tcW w:w="2340" w:type="dxa"/>
          </w:tcPr>
          <w:p>
            <w:pPr/>
            <w:r>
              <w:t xml:space="preserve">ничего</w:t>
            </w:r>
          </w:p>
        </w:tc>
        <w:tc>
          <w:tcPr>
            <w:tcW w:w="2340" w:type="dxa"/>
          </w:tcPr>
          <w:p>
            <w:pPr/>
            <w:r>
              <w:t xml:space="preserve">0 ₽</w:t>
            </w:r>
          </w:p>
        </w:tc>
        <w:tc>
          <w:tcPr>
            <w:tcW w:w="2340" w:type="dxa"/>
          </w:tcPr>
          <w:p>
            <w:pPr/>
            <w:r>
              <w:t xml:space="preserve">текущее состояние: чеки скриншотами, лимиты никто не считает</w:t>
            </w:r>
          </w:p>
        </w:tc>
      </w:tr>
    </w:tbl>
    <w:p>
      <w:pPr/>
      <w:r>
        <w:t xml:space="preserve">Главный конкурент здесь — последняя строка, а не первые четыре. Продукт борется не с YCLIENTS, а с привычкой вести всё в переписке.</w:t>
      </w:r>
    </w:p>
    <w:p>
      <w:pPr>
        <w:pStyle w:val="Quote"/>
      </w:pPr>
      <w:r>
        <w:rPr>
          <w:b/>
        </w:rPr>
        <w:t xml:space="preserve">Честная оговорка.</w:t>
      </w:r>
      <w:r>
        <w:t xml:space="preserve"> Тезис «конкурентная дыра» по этому процессу не подтверждён замером. Цены YCLIENTS и DIKIDI взяты из каталогов-агрегаторов, а не из прайсов вендоров, и расходятся между собой (512 против 771 ₽). Тарифы платформ занятости не проверены вообще — это первое, что надо закрыть, потому что именно они могут оказаться настоящим конкурентом.</w:t>
      </w:r>
    </w:p>
    <w:p>
      <w:pPr>
        <w:pStyle w:val="Heading2"/>
      </w:pPr>
      <w:r>
        <w:t xml:space="preserve">Платформа MAX: что реально можно построить</w:t>
      </w:r>
    </w:p>
    <w:p>
      <w:pPr/>
      <w:hyperlink r:id="rId10" w:history="1">
        <w:r>
          <w:rPr>
            <w:rStyle w:val="Hyperlink"/>
          </w:rPr>
          <w:t xml:space="preserve">Мини-приложение в MAX</w:t>
        </w:r>
      </w:hyperlink>
      <w:r>
        <w:t xml:space="preserve"> — это обычное веб-приложение на HTML/JS/CSS, которое запускается </w:t>
      </w:r>
      <w:r>
        <w:rPr>
          <w:b/>
        </w:rPr>
        <w:t xml:space="preserve">только внутри чат-бота</w:t>
      </w:r>
      <w:r>
        <w:t xml:space="preserve"> и общается с платформой через </w:t>
      </w:r>
      <w:hyperlink r:id="rId11" w:history="1">
        <w:r>
          <w:rPr>
            <w:rStyle w:val="Hyperlink"/>
          </w:rPr>
          <w:t xml:space="preserve">MAX Bridge</w:t>
        </w:r>
      </w:hyperlink>
      <w:r>
        <w:t xml:space="preserve">. Автономно оно не живёт: точка входа — бот, а значит дистрибуция идёт через бота, диплинки и шеринг в чаты.</w:t>
      </w:r>
    </w:p>
    <w:p>
      <w:pPr>
        <w:pStyle w:val="Heading3"/>
      </w:pPr>
      <w:r>
        <w:t xml:space="preserve">Аудитория: цифры платформы и независимый замер расходятся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Метрика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Значение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Дата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Кто считал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Зарегистрировано</w:t>
            </w:r>
          </w:p>
        </w:tc>
        <w:tc>
          <w:tcPr>
            <w:tcW w:w="2340" w:type="dxa"/>
          </w:tcPr>
          <w:p>
            <w:pPr/>
            <w:r>
              <w:t xml:space="preserve">107 млн, из них 5 млн иностранцев</w:t>
            </w:r>
          </w:p>
        </w:tc>
        <w:tc>
          <w:tcPr>
            <w:tcW w:w="2340" w:type="dxa"/>
          </w:tcPr>
          <w:p>
            <w:pPr/>
            <w:r>
              <w:t xml:space="preserve">март 2026</w:t>
            </w:r>
          </w:p>
        </w:tc>
        <w:tc>
          <w:tcPr>
            <w:tcW w:w="2340" w:type="dxa"/>
          </w:tcPr>
          <w:p>
            <w:pPr/>
            <w:r>
              <w:t xml:space="preserve">VK, </w:t>
            </w:r>
            <w:hyperlink r:id="rId12" w:history="1">
              <w:r>
                <w:rPr>
                  <w:rStyle w:val="Hyperlink"/>
                </w:rPr>
                <w:t xml:space="preserve">Ведомости</w:t>
              </w:r>
            </w:hyperlink>
          </w:p>
        </w:tc>
      </w:tr>
      <w:tr>
        <w:tc>
          <w:tcPr>
            <w:tcW w:w="2340" w:type="dxa"/>
          </w:tcPr>
          <w:p>
            <w:pPr/>
            <w:r>
              <w:t xml:space="preserve">DAU по данным платформы</w:t>
            </w:r>
          </w:p>
        </w:tc>
        <w:tc>
          <w:tcPr>
            <w:tcW w:w="2340" w:type="dxa"/>
          </w:tcPr>
          <w:p>
            <w:pPr/>
            <w:r>
              <w:t xml:space="preserve">77 млн → 85 млн</w:t>
            </w:r>
          </w:p>
        </w:tc>
        <w:tc>
          <w:tcPr>
            <w:tcW w:w="2340" w:type="dxa"/>
          </w:tcPr>
          <w:p>
            <w:pPr/>
            <w:r>
              <w:t xml:space="preserve">март → май 2026</w:t>
            </w:r>
          </w:p>
        </w:tc>
        <w:tc>
          <w:tcPr>
            <w:tcW w:w="2340" w:type="dxa"/>
          </w:tcPr>
          <w:p>
            <w:pPr/>
            <w:r>
              <w:t xml:space="preserve">пресс-служба MAX, </w:t>
            </w:r>
            <w:hyperlink r:id="rId13" w:history="1">
              <w:r>
                <w:rPr>
                  <w:rStyle w:val="Hyperlink"/>
                </w:rPr>
                <w:t xml:space="preserve">Москва 24</w:t>
              </w:r>
            </w:hyperlink>
          </w:p>
        </w:tc>
      </w:tr>
      <w:tr>
        <w:tc>
          <w:tcPr>
            <w:tcW w:w="2340" w:type="dxa"/>
          </w:tcPr>
          <w:p>
            <w:pPr/>
            <w:r>
              <w:t xml:space="preserve">DAU по независимому замеру</w:t>
            </w:r>
          </w:p>
        </w:tc>
        <w:tc>
          <w:tcPr>
            <w:tcW w:w="2340" w:type="dxa"/>
          </w:tcPr>
          <w:p>
            <w:pPr/>
            <w:r>
              <w:t xml:space="preserve">69,9 млн</w:t>
            </w:r>
          </w:p>
        </w:tc>
        <w:tc>
          <w:tcPr>
            <w:tcW w:w="2340" w:type="dxa"/>
          </w:tcPr>
          <w:p>
            <w:pPr/>
            <w:r>
              <w:t xml:space="preserve">сентябрь 2026</w:t>
            </w:r>
          </w:p>
        </w:tc>
        <w:tc>
          <w:tcPr>
            <w:tcW w:w="2340" w:type="dxa"/>
          </w:tcPr>
          <w:p>
            <w:pPr/>
            <w:r>
              <w:t xml:space="preserve">Mediascope, </w:t>
            </w:r>
            <w:hyperlink r:id="rId14" w:history="1">
              <w:r>
                <w:rPr>
                  <w:rStyle w:val="Hyperlink"/>
                </w:rPr>
                <w:t xml:space="preserve">Эксперт</w:t>
              </w:r>
            </w:hyperlink>
          </w:p>
        </w:tc>
      </w:tr>
      <w:tr>
        <w:tc>
          <w:tcPr>
            <w:tcW w:w="2340" w:type="dxa"/>
          </w:tcPr>
          <w:p>
            <w:pPr/>
            <w:r>
              <w:t xml:space="preserve">Telegram DAU</w:t>
            </w:r>
          </w:p>
        </w:tc>
        <w:tc>
          <w:tcPr>
            <w:tcW w:w="2340" w:type="dxa"/>
          </w:tcPr>
          <w:p>
            <w:pPr/>
            <w:r>
              <w:t xml:space="preserve">33,8 млн (−33 %)</w:t>
            </w:r>
          </w:p>
        </w:tc>
        <w:tc>
          <w:tcPr>
            <w:tcW w:w="2340" w:type="dxa"/>
          </w:tcPr>
          <w:p>
            <w:pPr/>
            <w:r>
              <w:t xml:space="preserve">сентябрь 2026</w:t>
            </w:r>
          </w:p>
        </w:tc>
        <w:tc>
          <w:tcPr>
            <w:tcW w:w="2340" w:type="dxa"/>
          </w:tcPr>
          <w:p>
            <w:pPr/>
            <w:r>
              <w:t xml:space="preserve">Mediascope, </w:t>
            </w:r>
            <w:hyperlink r:id="rId14" w:history="1">
              <w:r>
                <w:rPr>
                  <w:rStyle w:val="Hyperlink"/>
                </w:rPr>
                <w:t xml:space="preserve">Эксперт</w:t>
              </w:r>
            </w:hyperlink>
          </w:p>
        </w:tc>
      </w:tr>
      <w:tr>
        <w:tc>
          <w:tcPr>
            <w:tcW w:w="2340" w:type="dxa"/>
          </w:tcPr>
          <w:p>
            <w:pPr/>
            <w:r>
              <w:t xml:space="preserve">WhatsApp DAU</w:t>
            </w:r>
          </w:p>
        </w:tc>
        <w:tc>
          <w:tcPr>
            <w:tcW w:w="2340" w:type="dxa"/>
          </w:tcPr>
          <w:p>
            <w:pPr/>
            <w:r>
              <w:t xml:space="preserve">22,6 млн (−24 %)</w:t>
            </w:r>
          </w:p>
        </w:tc>
        <w:tc>
          <w:tcPr>
            <w:tcW w:w="2340" w:type="dxa"/>
          </w:tcPr>
          <w:p>
            <w:pPr/>
            <w:r>
              <w:t xml:space="preserve">сентябрь 2026</w:t>
            </w:r>
          </w:p>
        </w:tc>
        <w:tc>
          <w:tcPr>
            <w:tcW w:w="2340" w:type="dxa"/>
          </w:tcPr>
          <w:p>
            <w:pPr/>
            <w:r>
              <w:t xml:space="preserve">Mediascope, </w:t>
            </w:r>
            <w:hyperlink r:id="rId14" w:history="1">
              <w:r>
                <w:rPr>
                  <w:rStyle w:val="Hyperlink"/>
                </w:rPr>
                <w:t xml:space="preserve">Эксперт</w:t>
              </w:r>
            </w:hyperlink>
          </w:p>
        </w:tc>
      </w:tr>
    </w:tbl>
    <w:p>
      <w:pPr/>
      <w:r>
        <w:t xml:space="preserve">Главное ограничение платформы не техническое, а поведенческое. Аудитория на месте — привычки пользоваться внутренними сервисами пока нет: по оценке </w:t>
      </w:r>
      <w:hyperlink r:id="rId14" w:history="1">
        <w:r>
          <w:rPr>
            <w:rStyle w:val="Hyperlink"/>
          </w:rPr>
          <w:t xml:space="preserve">Эксперта</w:t>
        </w:r>
      </w:hyperlink>
      <w:r>
        <w:t xml:space="preserve">, значимая часть заходов — это авторизация через Госуслуги с быстрым выходом. Для продукта это значит: органического трафика внутри MAX ждать не стоит, приводить пользователя придётся снаружи.</w:t>
      </w:r>
    </w:p>
    <w:p>
      <w:pPr>
        <w:pStyle w:val="Heading3"/>
      </w:pPr>
      <w:r>
        <w:t xml:space="preserve">Что Bridge умеет</w:t>
      </w:r>
    </w:p>
    <w:p>
      <w:pPr>
        <w:pStyle w:val="ListParagraph"/>
        <w:numPr>
          <w:ilvl w:val="0"/>
          <w:numId w:val="5"/>
        </w:numPr>
      </w:pPr>
      <w:r>
        <w:t xml:space="preserve">Данные пользователя и чата на старте (</w:t>
      </w:r>
      <w:r>
        <w:rPr>
          <w:rStyle w:val="CodeChar"/>
        </w:rPr>
        <w:t xml:space="preserve">initData</w:t>
      </w:r>
      <w:r>
        <w:t xml:space="preserve"> / </w:t>
      </w:r>
      <w:r>
        <w:rPr>
          <w:rStyle w:val="CodeChar"/>
        </w:rPr>
        <w:t xml:space="preserve">initDataUnsafe</w:t>
      </w:r>
      <w:r>
        <w:t xml:space="preserve">) с </w:t>
      </w:r>
      <w:hyperlink r:id="rId15" w:history="1">
        <w:r>
          <w:rPr>
            <w:rStyle w:val="Hyperlink"/>
          </w:rPr>
          <w:t xml:space="preserve">серверной валидацией подписи</w:t>
        </w:r>
      </w:hyperlink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requestContact()</w:t>
      </w:r>
      <w:r>
        <w:t xml:space="preserve"> — запрос номера телефона, фактически регистрация без формы и SMS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DeviceStorage</w:t>
      </w:r>
      <w:r>
        <w:t xml:space="preserve"> и </w:t>
      </w:r>
      <w:r>
        <w:rPr>
          <w:rStyle w:val="CodeChar"/>
        </w:rPr>
        <w:t xml:space="preserve">SecureStorage</w:t>
      </w:r>
      <w:r>
        <w:t xml:space="preserve"> — хранение на устройстве, в том числе зашифрованное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BiometricManager</w:t>
      </w:r>
      <w:r>
        <w:t xml:space="preserve"> — биометрическая аутентификация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openCodeReader()</w:t>
      </w:r>
      <w:r>
        <w:t xml:space="preserve"> — сканер QR; </w:t>
      </w:r>
      <w:r>
        <w:rPr>
          <w:rStyle w:val="CodeChar"/>
        </w:rPr>
        <w:t xml:space="preserve">NfcManager</w:t>
      </w:r>
      <w:r>
        <w:t xml:space="preserve"> — NFC на Android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shareMaxContent()</w:t>
      </w:r>
      <w:r>
        <w:t xml:space="preserve"> и </w:t>
      </w:r>
      <w:r>
        <w:rPr>
          <w:rStyle w:val="CodeChar"/>
        </w:rPr>
        <w:t xml:space="preserve">shareContent()</w:t>
      </w:r>
      <w:r>
        <w:t xml:space="preserve"> — шеринг внутрь MAX и наружу, плюс диплинки для параметров запуска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downloadFile()</w:t>
      </w:r>
      <w:r>
        <w:t xml:space="preserve">, </w:t>
      </w:r>
      <w:r>
        <w:rPr>
          <w:rStyle w:val="CodeChar"/>
        </w:rPr>
        <w:t xml:space="preserve">HapticFeedback</w:t>
      </w:r>
      <w:r>
        <w:t xml:space="preserve">, </w:t>
      </w:r>
      <w:r>
        <w:rPr>
          <w:rStyle w:val="CodeChar"/>
        </w:rPr>
        <w:t xml:space="preserve">BackButton</w:t>
      </w:r>
      <w:r>
        <w:t xml:space="preserve">, управление яркостью экрана</w:t>
      </w:r>
    </w:p>
    <w:p>
      <w:pPr>
        <w:pStyle w:val="ListParagraph"/>
        <w:numPr>
          <w:ilvl w:val="0"/>
          <w:numId w:val="5"/>
        </w:numPr>
      </w:pPr>
      <w:r>
        <w:t xml:space="preserve">Готовые React-компоненты </w:t>
      </w:r>
      <w:hyperlink r:id="rId16" w:history="1">
        <w:r>
          <w:rPr>
            <w:rStyle w:val="Hyperlink"/>
          </w:rPr>
          <w:t xml:space="preserve">MAX UI</w:t>
        </w:r>
      </w:hyperlink>
      <w:r>
        <w:t xml:space="preserve"> и Figma-гайдлайн</w:t>
      </w:r>
    </w:p>
    <w:p>
      <w:pPr>
        <w:pStyle w:val="Heading3"/>
      </w:pPr>
      <w:r>
        <w:t xml:space="preserve">Чего нет — и это определяет выбор проблемы</w:t>
      </w:r>
    </w:p>
    <w:p>
      <w:pPr/>
      <w:r>
        <w:t xml:space="preserve">Ни в Bridge, ни в </w:t>
      </w:r>
      <w:hyperlink r:id="rId17" w:history="1">
        <w:r>
          <w:rPr>
            <w:rStyle w:val="Hyperlink"/>
          </w:rPr>
          <w:t xml:space="preserve">Bot API</w:t>
        </w:r>
      </w:hyperlink>
      <w:r>
        <w:t xml:space="preserve"> нет нативных платежей и подписок. Оплата собирается внешними провайдерами — например, </w:t>
      </w:r>
      <w:hyperlink r:id="rId18" w:history="1">
        <w:r>
          <w:rPr>
            <w:rStyle w:val="Hyperlink"/>
          </w:rPr>
          <w:t xml:space="preserve">Prodamus</w:t>
        </w:r>
      </w:hyperlink>
      <w:r>
        <w:t xml:space="preserve"> сделал мини-апп с платёжными ссылками. Значит, деньги всегда идут мимо платформы, а оплата внутри мини-аппа — это всегда переход на чужую платёжную страницу с потерей конверсии. Геолокации в Bridge тоже нет.</w:t>
      </w:r>
    </w:p>
    <w:p>
      <w:pPr>
        <w:pStyle w:val="Heading3"/>
      </w:pPr>
      <w:r>
        <w:t xml:space="preserve">Кто может подключиться</w:t>
      </w:r>
    </w:p>
    <w:p>
      <w:pPr/>
      <w:hyperlink r:id="rId19" w:history="1">
        <w:r>
          <w:rPr>
            <w:rStyle w:val="Hyperlink"/>
          </w:rPr>
          <w:t xml:space="preserve">Юрлица, ИП и самозанятые — резиденты РФ</w:t>
        </w:r>
      </w:hyperlink>
      <w:r>
        <w:t xml:space="preserve">. Верификация через Госуслуги, Т-Бизнес ID или Альфа ID. Физлица и нерезиденты — нет. Лимиты для юрлиц/ИП: до 10 каналов и 5 чат-ботов.</w:t>
      </w:r>
    </w:p>
    <w:p>
      <w:pPr/>
      <w:r>
        <w:t xml:space="preserve">Отдельно стоит </w:t>
      </w:r>
      <w:hyperlink r:id="rId20" w:history="1">
        <w:r>
          <w:rPr>
            <w:rStyle w:val="Hyperlink"/>
          </w:rPr>
          <w:t xml:space="preserve">Цифровой ID</w:t>
        </w:r>
      </w:hyperlink>
      <w:r>
        <w:t xml:space="preserve"> — подтверждение совершеннолетия и льготных статусов через Госуслуги, предъявляется QR-кодом (обновляется каждые 25 секунд) или по NFC. Для продавцов доступен только юрлицам и ИП, самозанятые исключены.</w:t>
      </w:r>
    </w:p>
    <w:p>
      <w:pPr>
        <w:pStyle w:val="Heading3"/>
      </w:pPr>
      <w:r>
        <w:t xml:space="preserve">Что из этого следует для выбора проблемы</w:t>
      </w:r>
    </w:p>
    <w:p>
      <w:pPr/>
      <w:r>
        <w:t xml:space="preserve">Платформа хорошо ложится на процессы, где клиент или сотрудник уже в MAX, нужна лёгкая идентификация по телефону и ценность отдаётся за один экран. Плохо — там, где ядро ценности в сложном платёжном флоу, фоновой геолокации или долгой работе с большими таблицами.</w:t>
      </w:r>
    </w:p>
    <w:p>
      <w:pPr>
        <w:pStyle w:val="Heading2"/>
      </w:pPr>
      <w:r>
        <w:t xml:space="preserve">Фит: почему именно мини-апп в MAX</w:t>
      </w:r>
    </w:p>
    <w:p>
      <w:pPr/>
      <w:r>
        <w:t xml:space="preserve">Довод не в том, что в MAX много людей. Довод в том, что этому процессу не нужно ничего из того, чего в MAX нет.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Вторая сторона — не клиент, а исполнитель.</w:t>
      </w:r>
      <w:r>
        <w:t xml:space="preserve"> Это единственный из рассмотренных процессов, где пользователя на той стороне приводит сам владелец — он просто кидает ссылку в рабочий чат. Клиента в MAX ещё надо привести, исполнителя — нет.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Нет дискавери — и не надо.</w:t>
      </w:r>
      <w:r>
        <w:t xml:space="preserve"> Главный аргумент против MAX — в нём нет поверхности спроса, как у Авито или DIKIDI. Для клиентского сценария это убийственно, для внутреннего B2B — безразлично.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Нет платежей — и не надо.</w:t>
      </w:r>
      <w:r>
        <w:t xml:space="preserve"> Деньги владелец переводит так же, как переводил. Продукт про документы и контроль, а не про эквайринг. Отсутствие нативных платежей, которое хоронит сценарии с предоплатой, здесь ничего не ломает.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  <w:b/>
        </w:rPr>
        <w:t xml:space="preserve">requestContact</w:t>
      </w:r>
      <w:r>
        <w:rPr>
          <w:b/>
        </w:rPr>
        <w:t xml:space="preserve"> снимает главный барьер.</w:t>
      </w:r>
      <w:r>
        <w:t xml:space="preserve"> Пятнадцать мастеров никогда не поставят отдельное приложение и не заведут пароль. Подключение по номеру в один тап — единственный реалистичный онбординг.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Тема совпадает с платформой.</w:t>
      </w:r>
      <w:r>
        <w:t xml:space="preserve"> Верификация издателя идёт через Госуслуги и банковские ID, а самозанятые получили доступ к партнёрской платформе с 15.06.2026. Госориентированный комплаенс-продукт здесь уместен.</w:t>
      </w:r>
    </w:p>
    <w:p>
      <w:pPr/>
      <w:r>
        <w:rPr>
          <w:b/>
        </w:rPr>
        <w:t xml:space="preserve">Что говорит против.</w:t>
      </w:r>
      <w:r>
        <w:t xml:space="preserve"> Всё то же самое сегодня делается в Telegram Mini Apps, где есть и нативные платежи, и более привычная для предпринимателя среда. Оставшиеся 33,8 млн DAU — это всё ещё много. Ставка на MAX — это ставка на то, что давление на зарубежные мессенджеры продолжится, а не на то, что MAX сейчас удобнее. Это надо называть своими именами: ставка на регулятора, а не на продукт.</w:t>
      </w:r>
    </w:p>
    <w:p>
      <w:pPr>
        <w:pStyle w:val="Heading2"/>
      </w:pPr>
      <w:r>
        <w:t xml:space="preserve">Гипотеза решения и план проверки</w:t>
      </w:r>
    </w:p>
    <w:p>
      <w:pPr/>
      <w:r>
        <w:rPr>
          <w:b/>
        </w:rPr>
        <w:t xml:space="preserve">JTBD.</w:t>
      </w:r>
      <w:r>
        <w:t xml:space="preserve"> Когда я закрываю неделю и рассчитываюсь с мастерами, я хочу за один проход собрать чеки и акты и увидеть, кто из них близок к порогу проверки, чтобы не собирать скриншоты по чатам и не получить доначисление.</w:t>
      </w:r>
    </w:p>
    <w:p>
      <w:pPr/>
      <w:r>
        <w:rPr>
          <w:b/>
        </w:rPr>
        <w:t xml:space="preserve">MVP — один экран и одна кнопка:</w:t>
      </w:r>
    </w:p>
    <w:p>
      <w:pPr>
        <w:pStyle w:val="ListParagraph"/>
        <w:numPr>
          <w:ilvl w:val="0"/>
          <w:numId w:val="7"/>
        </w:numPr>
      </w:pPr>
      <w:r>
        <w:t xml:space="preserve">реестр исполнителей: кто, с какого месяца, сколько часов в этом месяц</w:t>
      </w:r>
    </w:p>
    <w:p>
      <w:pPr>
        <w:pStyle w:val="ListParagraph"/>
        <w:numPr>
          <w:ilvl w:val="0"/>
          <w:numId w:val="7"/>
        </w:numPr>
      </w:pPr>
      <w:r>
        <w:t xml:space="preserve">светофор риска по четырём критериям ФНС: больше 6 месяцев, больше 160 часов, бывший сотрудник, больше 10 исполнителей со средним доходом свыше 25 тыс. ₽</w:t>
      </w:r>
    </w:p>
    <w:p>
      <w:pPr>
        <w:pStyle w:val="ListParagraph"/>
        <w:numPr>
          <w:ilvl w:val="0"/>
          <w:numId w:val="7"/>
        </w:numPr>
      </w:pPr>
      <w:r>
        <w:t xml:space="preserve">кнопка «запросить чек» → исполнителю в MAX прилетает карточка, он прикладывает чек из «Моего налога», чек падает в реестр</w:t>
      </w:r>
    </w:p>
    <w:p>
      <w:pPr>
        <w:pStyle w:val="ListParagraph"/>
        <w:numPr>
          <w:ilvl w:val="0"/>
          <w:numId w:val="7"/>
        </w:numPr>
      </w:pPr>
      <w:r>
        <w:t xml:space="preserve">автоакт по шаблону за период и выгрузка папки по каждому исполнителю</w:t>
      </w:r>
    </w:p>
    <w:p>
      <w:pPr/>
      <w:r>
        <w:rPr>
          <w:b/>
        </w:rPr>
        <w:t xml:space="preserve">Метрики: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Метрика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Цель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Доля выплат с собранным чеком за 48 часов</w:t>
            </w:r>
          </w:p>
        </w:tc>
        <w:tc>
          <w:tcPr>
            <w:tcW w:w="4680" w:type="dxa"/>
          </w:tcPr>
          <w:p>
            <w:pPr/>
            <w:r>
              <w:t xml:space="preserve">более 90 %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Время владельца на закрытие недели</w:t>
            </w:r>
          </w:p>
        </w:tc>
        <w:tc>
          <w:tcPr>
            <w:tcW w:w="4680" w:type="dxa"/>
          </w:tcPr>
          <w:p>
            <w:pPr/>
            <w:r>
              <w:t xml:space="preserve">минус 70 % к базе с интервью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Доля приглашённых мастеров, дошедших до первого чека</w:t>
            </w:r>
          </w:p>
        </w:tc>
        <w:tc>
          <w:tcPr>
            <w:tcW w:w="4680" w:type="dxa"/>
          </w:tcPr>
          <w:p>
            <w:pPr/>
            <w:r>
              <w:t xml:space="preserve">более 60 %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Retention владельца на четвёртой неделе</w:t>
            </w:r>
          </w:p>
        </w:tc>
        <w:tc>
          <w:tcPr>
            <w:tcW w:w="4680" w:type="dxa"/>
          </w:tcPr>
          <w:p>
            <w:pPr/>
            <w:r>
              <w:t xml:space="preserve">более 40 %</w:t>
            </w:r>
          </w:p>
        </w:tc>
      </w:tr>
    </w:tbl>
    <w:p>
      <w:pPr/>
      <w:r>
        <w:rPr>
          <w:b/>
        </w:rPr>
        <w:t xml:space="preserve">Что делать на следующей неделе:</w:t>
      </w:r>
    </w:p>
    <w:p>
      <w:pPr>
        <w:pStyle w:val="ListParagraph"/>
        <w:numPr>
          <w:ilvl w:val="0"/>
          <w:numId w:val="8"/>
        </w:numPr>
      </w:pPr>
      <w:r>
        <w:t xml:space="preserve">8–10 проблемных интервью с владельцами, у которых 5–30 самозанятых. Вопрос не «удобно ли вам», а «покажите, как вы закрывали прошлую неделю», с секундомером.</w:t>
      </w:r>
    </w:p>
    <w:p>
      <w:pPr>
        <w:pStyle w:val="ListParagraph"/>
        <w:numPr>
          <w:ilvl w:val="0"/>
          <w:numId w:val="8"/>
        </w:numPr>
      </w:pPr>
      <w:r>
        <w:t xml:space="preserve">Закрыть дыру в данных: сколько микрокомпаний реально работают с самозанятыми и сколько исполнителей у типичного.</w:t>
      </w:r>
    </w:p>
    <w:p>
      <w:pPr>
        <w:pStyle w:val="ListParagraph"/>
        <w:numPr>
          <w:ilvl w:val="0"/>
          <w:numId w:val="8"/>
        </w:numPr>
      </w:pPr>
      <w:r>
        <w:t xml:space="preserve">Проверить тарифы Консоль.Про, Рокет Ворк и аналогов — это главный конкурентный риск.</w:t>
      </w:r>
    </w:p>
    <w:p>
      <w:pPr>
        <w:pStyle w:val="ListParagraph"/>
        <w:numPr>
          <w:ilvl w:val="0"/>
          <w:numId w:val="8"/>
        </w:numPr>
      </w:pPr>
      <w:r>
        <w:t xml:space="preserve">Проверить в документации MAX правила уведомлений и лимиты рассылок для ботов — вся модель «бот напоминает мастеру» держится на этом.</w:t>
      </w:r>
    </w:p>
    <w:p>
      <w:pPr>
        <w:pStyle w:val="ListParagraph"/>
        <w:numPr>
          <w:ilvl w:val="0"/>
          <w:numId w:val="8"/>
        </w:numPr>
      </w:pPr>
      <w:r>
        <w:t xml:space="preserve">Кликабельный прототип на компонентах MAX UI и тест на пяти владельцах.</w:t>
      </w:r>
    </w:p>
    <w:p>
      <w:pPr>
        <w:pStyle w:val="Heading2"/>
      </w:pPr>
      <w:r>
        <w:t xml:space="preserve">Риски: что может убить идею</w:t>
      </w:r>
    </w:p>
    <w:p>
      <w:pPr/>
      <w:r>
        <w:t xml:space="preserve">Риски расставлены по тому, насколько быстро каждый из них обнуляет продукт.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Размер сегмента не подтверждён.</w:t>
      </w:r>
      <w:r>
        <w:t xml:space="preserve"> Ни ФНС, ни отраслевые исследования не дают среза «сколько заказчиков работают с 5–30 самозанятыми». Если их окажется десятки тысяч, а не сотни, экономика не сойдётся. Это самый большой риск.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Цена боли в часах не измерена.</w:t>
      </w:r>
      <w:r>
        <w:t xml:space="preserve"> Все цифры по времени — косвенные. Может оказаться, что закрытие недели занимает 20 минут и никого не раздражает.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Регуляторный триггер может не сработать.</w:t>
      </w:r>
      <w:r>
        <w:t xml:space="preserve"> Нормы приняты, но правоприменение может оказаться мягким. Без реальных проверок страх не конвертируется в покупку.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Чек пробивает не пользователь-плательщик.</w:t>
      </w:r>
      <w:r>
        <w:t xml:space="preserve"> Продукт не может гарантировать результат, только снизить трение. Если мастера игнорируют карточки — ценность рушится.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Платформы занятости спустятся вниз.</w:t>
      </w:r>
      <w:r>
        <w:t xml:space="preserve"> У них уже есть весь функционал; сделать бесплатный тариф для микро им дешевле, чем вам выйти на рынок.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Канальное преимущество MAX обратимо.</w:t>
      </w:r>
      <w:r>
        <w:t xml:space="preserve"> Оно держится на ограничениях Telegram и WhatsApp, а не на продуктовом превосходстве.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Поведенческий риск платформы.</w:t>
      </w:r>
      <w:r>
        <w:t xml:space="preserve"> Значимая часть заходов в MAX — авторизация через Госуслуги с быстрым выходом. Привычки открывать там сервисы пока нет.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Риск позиционирования.</w:t>
      </w:r>
      <w:r>
        <w:t xml:space="preserve"> Продукт, помогающий «правильно оформлять» самозанятых, легко читается как помощь в обходе закона. Позиционироваться надо как комплаенс, иначе модерация госориентированной платформы станет проблемой.</w:t>
      </w:r>
    </w:p>
    <w:p>
      <w:pPr>
        <w:pStyle w:val="Heading2"/>
      </w:pPr>
      <w:r>
        <w:t xml:space="preserve">Ещё шесть болей-кандидатов</w:t>
      </w:r>
    </w:p>
    <w:p>
      <w:pPr/>
      <w:r>
        <w:t xml:space="preserve">Расчёты с самозанятыми — не единственный вариант, а первый по сумме критериев. Ниже — остальные шесть, с честной пометкой, на чём каждая держится и что её убивает.</w:t>
      </w:r>
    </w:p>
    <w:p>
      <w:pPr>
        <w:pStyle w:val="Heading3"/>
      </w:pPr>
      <w:r>
        <w:t xml:space="preserve">Б — Проверка возраста на кассе через Цифровой ID</w:t>
      </w:r>
    </w:p>
    <w:p>
      <w:pPr/>
      <w:r>
        <w:t xml:space="preserve">Единственная идея в списке, которую физически нельзя повторить в Telegram.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Сегмент:</w:t>
      </w:r>
      <w:r>
        <w:t xml:space="preserve"> малая розница с возрастными товарами — алкоголь, табак, вейпы, энергетики; точки с одним-двумя кассирами без СБ и юриста.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Процесс:</w:t>
      </w:r>
      <w:r>
        <w:t xml:space="preserve"> кассир проверяет возраст глазами по паспорту — или не проверяет вовсе, потому что очередь. Доказать потом, что проверял, нечем.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Почему MAX:</w:t>
      </w:r>
      <w:r>
        <w:t xml:space="preserve"> </w:t>
      </w:r>
      <w:hyperlink r:id="rId20" w:history="1">
        <w:r>
          <w:rPr>
            <w:rStyle w:val="Hyperlink"/>
          </w:rPr>
          <w:t xml:space="preserve">Цифровой ID</w:t>
        </w:r>
      </w:hyperlink>
      <w:r>
        <w:t xml:space="preserve"> — штатная функция платформы: покупатель предъявляет QR (обновляется каждые 25 секунд) или NFC, данные подтягиваются из Госуслуг. Мини-апп на стороне кассира читает код через </w:t>
      </w:r>
      <w:r>
        <w:rPr>
          <w:rStyle w:val="CodeChar"/>
        </w:rPr>
        <w:t xml:space="preserve">openCodeReader</w:t>
      </w:r>
      <w:r>
        <w:t xml:space="preserve"> или NFC и пишет журнал проверок.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Доказанность:</w:t>
      </w:r>
      <w:r>
        <w:t xml:space="preserve"> платформенная часть проверена по документации. Размер сегмента и частота штрафов не замерялись.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Что убивает:</w:t>
      </w:r>
      <w:r>
        <w:t xml:space="preserve"> для продавцов сервис доступен только юрлицам и ИП, и подключение идёт через API с токеном на год — это скорее интеграция в кассу, чем самостоятельный продукт. И сети сделают себе сами.</w:t>
      </w:r>
    </w:p>
    <w:p>
      <w:pPr>
        <w:pStyle w:val="Heading3"/>
      </w:pPr>
      <w:r>
        <w:t xml:space="preserve">В — Утренняя сводка по нескольким кабинетам маркетплейсов</w:t>
      </w:r>
    </w:p>
    <w:p>
      <w:pPr/>
      <w:r>
        <w:t xml:space="preserve">Единственная боль во всём ресёрче, пережившая состязательную проверку со счётом 3–0.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Сегмент:</w:t>
      </w:r>
      <w:r>
        <w:t xml:space="preserve"> селлеры, торгующие одновременно на 2–3 площадках — 26,6 % выборки, со сдвигом в высокооборотных, доля растёт: 21 % в 2023 → 22 % в 2024 → 26,6 % в 2025 (</w:t>
      </w:r>
      <w:hyperlink r:id="rId4" w:history="1">
        <w:r>
          <w:rPr>
            <w:rStyle w:val="Hyperlink"/>
          </w:rPr>
          <w:t xml:space="preserve">Data Insight/Точка, n=709</w:t>
        </w:r>
      </w:hyperlink>
      <w:r>
        <w:t xml:space="preserve">).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Процесс:</w:t>
      </w:r>
      <w:r>
        <w:t xml:space="preserve"> каждое утро человек обходит три кабинета руками: остатки, новые заказы, возвраты, выплаты, штрафы.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Почему MAX:</w:t>
      </w:r>
      <w:r>
        <w:t xml:space="preserve"> продукт не заменяет кабинет, а даёт </w:t>
      </w:r>
      <w:r>
        <w:rPr>
          <w:b/>
        </w:rPr>
        <w:t xml:space="preserve">одну карточку в чате: «что горит сегодня по трём площадкам»</w:t>
      </w:r>
      <w:r>
        <w:t xml:space="preserve">. Только чтение и алерты, работа остаётся в кабинете.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Доказанность:</w:t>
      </w:r>
      <w:r>
        <w:t xml:space="preserve"> самая высокая в ресёрче. Платёжеспособность тоже высокая.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Что убивает:</w:t>
      </w:r>
      <w:r>
        <w:t xml:space="preserve"> рынок аналитики маркетплейсов перегрет: MPStats, Moneyplace, Seller24 и десятки других. Дыра не в аналитике, а разве что в формате «одна карточка вместо дашборда». Плюс доступ к кабинетам — это ключи API площадок с их правилами.</w:t>
      </w:r>
    </w:p>
    <w:p>
      <w:pPr>
        <w:pStyle w:val="Heading3"/>
      </w:pPr>
      <w:r>
        <w:t xml:space="preserve">Г — Табель часов и смен у бригад и точек</w:t>
      </w:r>
    </w:p>
    <w:p>
      <w:pPr/>
      <w:r>
        <w:t xml:space="preserve">Узкий кусок основной идеи, который можно запустить отдельно и быстрее.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Сегмент:</w:t>
      </w:r>
      <w:r>
        <w:t xml:space="preserve"> тот же, что в основной рекомендации, плюс точки с почасовиками и подменами: кофейни, пункты выдачи, склады, мойки.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Процесс:</w:t>
      </w:r>
      <w:r>
        <w:t xml:space="preserve"> кто когда вышел, кто кого подменил, сколько часов набежало. Живёт в групповом чате сообщениями вроде «я завтра не могу».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Почему MAX:</w:t>
      </w:r>
      <w:r>
        <w:t xml:space="preserve"> график — это ровно то, что уже обсуждается в чате. Мини-апп вместо переписки — минимальный скачок привычки.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Доказанность:</w:t>
      </w:r>
      <w:r>
        <w:t xml:space="preserve"> косвенная. Управление персоналом забирает 22 % операционного времени предпринимателя — но это вендорский опрос.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Что убивает:</w:t>
      </w:r>
      <w:r>
        <w:t xml:space="preserve"> низкая готовность платить. График на десять человек прекрасно живёт в закреплённом сообщении бесплатно. Сам по себе — витамин, а не обезболивающее; осмыслен только в связке с лимитами 160 часов.</w:t>
      </w:r>
    </w:p>
    <w:p>
      <w:pPr>
        <w:pStyle w:val="Heading3"/>
      </w:pPr>
      <w:r>
        <w:t xml:space="preserve">Д — Личный календарь маркировки «Честного знака»</w:t>
      </w:r>
    </w:p>
    <w:p>
      <w:pPr/>
      <w:r>
        <w:t xml:space="preserve">Самая плотная сетка дедлайнов из всего, что нашлось.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Дата 2026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Товарная группа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01.03</w:t>
            </w:r>
          </w:p>
        </w:tc>
        <w:tc>
          <w:tcPr>
            <w:tcW w:w="4680" w:type="dxa"/>
          </w:tcPr>
          <w:p>
            <w:pPr/>
            <w:r>
              <w:t xml:space="preserve">сладости; лёгкая промышленность, 4-я волна; регистрация радиоэлектроники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01.04</w:t>
            </w:r>
          </w:p>
        </w:tc>
        <w:tc>
          <w:tcPr>
            <w:tcW w:w="4680" w:type="dxa"/>
          </w:tcPr>
          <w:p>
            <w:pPr/>
            <w:r>
              <w:t xml:space="preserve">растворимый чай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01.05</w:t>
            </w:r>
          </w:p>
        </w:tc>
        <w:tc>
          <w:tcPr>
            <w:tcW w:w="4680" w:type="dxa"/>
          </w:tcPr>
          <w:p>
            <w:pPr/>
            <w:r>
              <w:t xml:space="preserve">круассаны, пирожные, торты; маркировка радиоэлектроники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01.06</w:t>
            </w:r>
          </w:p>
        </w:tc>
        <w:tc>
          <w:tcPr>
            <w:tcW w:w="4680" w:type="dxa"/>
          </w:tcPr>
          <w:p>
            <w:pPr/>
            <w:r>
              <w:t xml:space="preserve">кофе и цикорий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01.07</w:t>
            </w:r>
          </w:p>
        </w:tc>
        <w:tc>
          <w:tcPr>
            <w:tcW w:w="4680" w:type="dxa"/>
          </w:tcPr>
          <w:p>
            <w:pPr/>
            <w:r>
              <w:t xml:space="preserve">шоколад, драже, карамель, жвачка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01.08</w:t>
            </w:r>
          </w:p>
        </w:tc>
        <w:tc>
          <w:tcPr>
            <w:tcW w:w="4680" w:type="dxa"/>
          </w:tcPr>
          <w:p>
            <w:pPr/>
            <w:r>
              <w:t xml:space="preserve">готовые мясные продукты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01.09</w:t>
            </w:r>
          </w:p>
        </w:tc>
        <w:tc>
          <w:tcPr>
            <w:tcW w:w="4680" w:type="dxa"/>
          </w:tcPr>
          <w:p>
            <w:pPr/>
            <w:r>
              <w:t xml:space="preserve">бакалея: макароны, мёд, мюсли; медизделия 2.0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01.10</w:t>
            </w:r>
          </w:p>
        </w:tc>
        <w:tc>
          <w:tcPr>
            <w:tcW w:w="4680" w:type="dxa"/>
          </w:tcPr>
          <w:p>
            <w:pPr/>
            <w:r>
              <w:t xml:space="preserve">колбасные изделия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01.12</w:t>
            </w:r>
          </w:p>
        </w:tc>
        <w:tc>
          <w:tcPr>
            <w:tcW w:w="4680" w:type="dxa"/>
          </w:tcPr>
          <w:p>
            <w:pPr/>
            <w:r>
              <w:t xml:space="preserve">мука, крупы, сухие супы; ЭДО в поэкземплярном учёте радиоэлектроники</w:t>
            </w:r>
          </w:p>
        </w:tc>
      </w:tr>
    </w:tbl>
    <w:p>
      <w:pPr>
        <w:pStyle w:val="ListParagraph"/>
        <w:numPr>
          <w:ilvl w:val="0"/>
          <w:numId w:val="13"/>
        </w:numPr>
      </w:pPr>
      <w:r>
        <w:rPr>
          <w:b/>
        </w:rPr>
        <w:t xml:space="preserve">Сегмент:</w:t>
      </w:r>
      <w:r>
        <w:t xml:space="preserve"> малая продуктовая розница, пекарни, кофейни с витриной, локальные производства.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Процесс:</w:t>
      </w:r>
      <w:r>
        <w:t xml:space="preserve"> понять, какая из десятков групп касается именно твоей витрины и с какого числа.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Почему MAX:</w:t>
      </w:r>
      <w:r>
        <w:t xml:space="preserve"> напоминание в чате — естественный формат для дедлайна; мини-апп спрашивает пару вопросов о товарах и собирает личный список дат.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Доказанность:</w:t>
      </w:r>
      <w:r>
        <w:t xml:space="preserve"> сам календарь — факт с датами (</w:t>
      </w:r>
      <w:hyperlink r:id="rId21" w:history="1">
        <w:r>
          <w:rPr>
            <w:rStyle w:val="Hyperlink"/>
          </w:rPr>
          <w:t xml:space="preserve">Контур.Маркировка</w:t>
        </w:r>
      </w:hyperlink>
      <w:r>
        <w:t xml:space="preserve">). Готовность платить за календарь — нет.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Что убивает:</w:t>
      </w:r>
      <w:r>
        <w:t xml:space="preserve"> ценность тонкая. Реальная работа — касса, сканер и ЭДО, а операторы ЭДО раздают такие календари бесплатно как маркетинг. Годится как точка входа, а не как продукт.</w:t>
      </w:r>
    </w:p>
    <w:p>
      <w:pPr>
        <w:pStyle w:val="Heading3"/>
      </w:pPr>
      <w:r>
        <w:t xml:space="preserve">Е — НДС на УСН: календарь и выбор ставки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Сегмент:</w:t>
      </w:r>
      <w:r>
        <w:t xml:space="preserve"> ИП на УСН, которые с понижением порога до 20 млн ₽ впервые становятся плательщиками НДС — это ровно офлайн-услуги и малая розница.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Процесс:</w:t>
      </w:r>
      <w:r>
        <w:t xml:space="preserve"> выставить СФ или УПД с выделенным налогом на каждую продажу, вести реестры, сдать декларацию до 25 числа и заплатить тремя долями до 28 числа.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Почему MAX:</w:t>
      </w:r>
      <w:r>
        <w:t xml:space="preserve"> калькулятор «5 %, 7 % или общий порядок — что выгоднее при моём входящем НДС» плюс напоминания по датам.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Доказанность:</w:t>
      </w:r>
      <w:r>
        <w:t xml:space="preserve"> норма действует, но порог — движущаяся цель: обсуждается заморозка на 2027.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Что убивает:</w:t>
      </w:r>
      <w:r>
        <w:t xml:space="preserve"> территория Контура, Эльбы и Моёго дела, у которых это уже встроено в подписку. И ошибка в калькуляторе стоит пользователю денег — это ответственность, которую надо осознавать.</w:t>
      </w:r>
    </w:p>
    <w:p>
      <w:pPr>
        <w:pStyle w:val="Heading3"/>
      </w:pPr>
      <w:r>
        <w:t xml:space="preserve">Ж — Приём заявок после блокировки звонков</w:t>
      </w:r>
    </w:p>
    <w:p>
      <w:pPr/>
      <w:r>
        <w:t xml:space="preserve">Самый очевидный и самый слабый вариант — включён, чтобы его больше не рассматривать.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Сегмент:</w:t>
      </w:r>
      <w:r>
        <w:t xml:space="preserve"> любой микробизнес, у которого канал связи с клиентом развалился после ограничения звонков в Telegram и WhatsApp.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Почему не работает:</w:t>
      </w:r>
      <w:r>
        <w:t xml:space="preserve"> в MAX нет дискавери, а критерий № 1 при выборе решения у предпринимателя — лидогенерация (40 %). Клиента в мини-апп придётся приводить снаружи и за свои деньги, а потом он всё равно напишет в личку.</w:t>
      </w:r>
    </w:p>
    <w:p>
      <w:pPr>
        <w:pStyle w:val="Heading3"/>
      </w:pPr>
      <w:r>
        <w:t xml:space="preserve">Если выбирать быстро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Вариант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Доказанность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Фит с MAX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Свободно от конкурентов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Берём?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А. Расчёты с самозанятыми</w:t>
            </w:r>
          </w:p>
        </w:tc>
        <w:tc>
          <w:tcPr>
            <w:tcW w:w="1872" w:type="dxa"/>
          </w:tcPr>
          <w:p>
            <w:pPr/>
            <w:r>
              <w:t xml:space="preserve">средняя</w:t>
            </w:r>
          </w:p>
        </w:tc>
        <w:tc>
          <w:tcPr>
            <w:tcW w:w="1872" w:type="dxa"/>
          </w:tcPr>
          <w:p>
            <w:pPr/>
            <w:r>
              <w:t xml:space="preserve">высокий</w:t>
            </w:r>
          </w:p>
        </w:tc>
        <w:tc>
          <w:tcPr>
            <w:tcW w:w="1872" w:type="dxa"/>
          </w:tcPr>
          <w:p>
            <w:pPr/>
            <w:r>
              <w:t xml:space="preserve">да</w:t>
            </w:r>
          </w:p>
        </w:tc>
        <w:tc>
          <w:tcPr>
            <w:tcW w:w="1872" w:type="dxa"/>
          </w:tcPr>
          <w:p>
            <w:pPr/>
            <w:r>
              <w:t xml:space="preserve">основной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Б. Цифровой ID на кассе</w:t>
            </w:r>
          </w:p>
        </w:tc>
        <w:tc>
          <w:tcPr>
            <w:tcW w:w="1872" w:type="dxa"/>
          </w:tcPr>
          <w:p>
            <w:pPr/>
            <w:r>
              <w:t xml:space="preserve">низкая</w:t>
            </w:r>
          </w:p>
        </w:tc>
        <w:tc>
          <w:tcPr>
            <w:tcW w:w="1872" w:type="dxa"/>
          </w:tcPr>
          <w:p>
            <w:pPr/>
            <w:r>
              <w:t xml:space="preserve">уникальный для MAX</w:t>
            </w:r>
          </w:p>
        </w:tc>
        <w:tc>
          <w:tcPr>
            <w:tcW w:w="1872" w:type="dxa"/>
          </w:tcPr>
          <w:p>
            <w:pPr/>
            <w:r>
              <w:t xml:space="preserve">да</w:t>
            </w:r>
          </w:p>
        </w:tc>
        <w:tc>
          <w:tcPr>
            <w:tcW w:w="1872" w:type="dxa"/>
          </w:tcPr>
          <w:p>
            <w:pPr/>
            <w:r>
              <w:t xml:space="preserve">второй номер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В. Сводка по кабинетам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высокая</w:t>
            </w:r>
          </w:p>
        </w:tc>
        <w:tc>
          <w:tcPr>
            <w:tcW w:w="1872" w:type="dxa"/>
          </w:tcPr>
          <w:p>
            <w:pPr/>
            <w:r>
              <w:t xml:space="preserve">средний</w:t>
            </w:r>
          </w:p>
        </w:tc>
        <w:tc>
          <w:tcPr>
            <w:tcW w:w="1872" w:type="dxa"/>
          </w:tcPr>
          <w:p>
            <w:pPr/>
            <w:r>
              <w:t xml:space="preserve">нет</w:t>
            </w:r>
          </w:p>
        </w:tc>
        <w:tc>
          <w:tcPr>
            <w:tcW w:w="1872" w:type="dxa"/>
          </w:tcPr>
          <w:p>
            <w:pPr/>
            <w:r>
              <w:t xml:space="preserve">только как алерты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Г. Табель часов</w:t>
            </w:r>
          </w:p>
        </w:tc>
        <w:tc>
          <w:tcPr>
            <w:tcW w:w="1872" w:type="dxa"/>
          </w:tcPr>
          <w:p>
            <w:pPr/>
            <w:r>
              <w:t xml:space="preserve">низкая</w:t>
            </w:r>
          </w:p>
        </w:tc>
        <w:tc>
          <w:tcPr>
            <w:tcW w:w="1872" w:type="dxa"/>
          </w:tcPr>
          <w:p>
            <w:pPr/>
            <w:r>
              <w:t xml:space="preserve">высокий</w:t>
            </w:r>
          </w:p>
        </w:tc>
        <w:tc>
          <w:tcPr>
            <w:tcW w:w="1872" w:type="dxa"/>
          </w:tcPr>
          <w:p>
            <w:pPr/>
            <w:r>
              <w:t xml:space="preserve">да</w:t>
            </w:r>
          </w:p>
        </w:tc>
        <w:tc>
          <w:tcPr>
            <w:tcW w:w="1872" w:type="dxa"/>
          </w:tcPr>
          <w:p>
            <w:pPr/>
            <w:r>
              <w:t xml:space="preserve">модуль внутри А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Д. Календарь маркировки</w:t>
            </w:r>
          </w:p>
        </w:tc>
        <w:tc>
          <w:tcPr>
            <w:tcW w:w="1872" w:type="dxa"/>
          </w:tcPr>
          <w:p>
            <w:pPr/>
            <w:r>
              <w:t xml:space="preserve">высокая по датам</w:t>
            </w:r>
          </w:p>
        </w:tc>
        <w:tc>
          <w:tcPr>
            <w:tcW w:w="1872" w:type="dxa"/>
          </w:tcPr>
          <w:p>
            <w:pPr/>
            <w:r>
              <w:t xml:space="preserve">средний</w:t>
            </w:r>
          </w:p>
        </w:tc>
        <w:tc>
          <w:tcPr>
            <w:tcW w:w="1872" w:type="dxa"/>
          </w:tcPr>
          <w:p>
            <w:pPr/>
            <w:r>
              <w:t xml:space="preserve">нет</w:t>
            </w:r>
          </w:p>
        </w:tc>
        <w:tc>
          <w:tcPr>
            <w:tcW w:w="1872" w:type="dxa"/>
          </w:tcPr>
          <w:p>
            <w:pPr/>
            <w:r>
              <w:t xml:space="preserve">точка входа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Е. НДС на УСН</w:t>
            </w:r>
          </w:p>
        </w:tc>
        <w:tc>
          <w:tcPr>
            <w:tcW w:w="1872" w:type="dxa"/>
          </w:tcPr>
          <w:p>
            <w:pPr/>
            <w:r>
              <w:t xml:space="preserve">средняя</w:t>
            </w:r>
          </w:p>
        </w:tc>
        <w:tc>
          <w:tcPr>
            <w:tcW w:w="1872" w:type="dxa"/>
          </w:tcPr>
          <w:p>
            <w:pPr/>
            <w:r>
              <w:t xml:space="preserve">средний</w:t>
            </w:r>
          </w:p>
        </w:tc>
        <w:tc>
          <w:tcPr>
            <w:tcW w:w="1872" w:type="dxa"/>
          </w:tcPr>
          <w:p>
            <w:pPr/>
            <w:r>
              <w:t xml:space="preserve">нет</w:t>
            </w:r>
          </w:p>
        </w:tc>
        <w:tc>
          <w:tcPr>
            <w:tcW w:w="1872" w:type="dxa"/>
          </w:tcPr>
          <w:p>
            <w:pPr/>
            <w:r>
              <w:t xml:space="preserve">нет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Ж. Приём заявок</w:t>
            </w:r>
          </w:p>
        </w:tc>
        <w:tc>
          <w:tcPr>
            <w:tcW w:w="1872" w:type="dxa"/>
          </w:tcPr>
          <w:p>
            <w:pPr/>
            <w:r>
              <w:t xml:space="preserve">низкая</w:t>
            </w:r>
          </w:p>
        </w:tc>
        <w:tc>
          <w:tcPr>
            <w:tcW w:w="1872" w:type="dxa"/>
          </w:tcPr>
          <w:p>
            <w:pPr/>
            <w:r>
              <w:t xml:space="preserve">низкий</w:t>
            </w:r>
          </w:p>
        </w:tc>
        <w:tc>
          <w:tcPr>
            <w:tcW w:w="1872" w:type="dxa"/>
          </w:tcPr>
          <w:p>
            <w:pPr/>
            <w:r>
              <w:t xml:space="preserve">нет</w:t>
            </w:r>
          </w:p>
        </w:tc>
        <w:tc>
          <w:tcPr>
            <w:tcW w:w="1872" w:type="dxa"/>
          </w:tcPr>
          <w:p>
            <w:pPr/>
            <w:r>
              <w:t xml:space="preserve">нет</w:t>
            </w:r>
          </w:p>
        </w:tc>
      </w:tr>
    </w:tbl>
    <w:p>
      <w:pPr/>
      <w:r>
        <w:t xml:space="preserve">Общая логика списка: всё, что выживает, стоит на двух опорах сразу — государство создало дедлайн, а вторая сторона процесса уже в чате у владельца. Где есть только одна опора — идея рассыпается.</w:t>
      </w:r>
    </w:p>
    <w:p>
      <w:pPr/>
      <w:r>
        <w:t xml:space="preserve">Каждая из шести разобрана подробно в той же рамке, что основная: </w:t>
      </w:r>
      <w:r>
        <w:t xml:space="preserve">Карточки болей Б–Ж</w:t>
      </w:r>
    </w:p>
    <w:p>
      <w:pPr>
        <w:pStyle w:val="Heading2"/>
      </w:pPr>
      <w:r>
        <w:t xml:space="preserve">Источники и степень доверия</w:t>
      </w:r>
    </w:p>
    <w:p>
      <w:pPr/>
      <w:r>
        <w:t xml:space="preserve">Из 115 извлечённых утверждений на состязательную проверку пошли 25, выжили 6. Отсюда разметка ниже.</w:t>
      </w:r>
    </w:p>
    <w:p>
      <w:pPr/>
      <w:r>
        <w:rPr>
          <w:b/>
        </w:rPr>
        <w:t xml:space="preserve">Подтверждено по первоисточнику</w:t>
      </w:r>
    </w:p>
    <w:p>
      <w:pPr>
        <w:pStyle w:val="ListParagraph"/>
        <w:numPr>
          <w:ilvl w:val="0"/>
          <w:numId w:val="16"/>
        </w:numPr>
      </w:pPr>
      <w:hyperlink r:id="rId3" w:history="1">
        <w:r>
          <w:rPr>
            <w:rStyle w:val="Hyperlink"/>
          </w:rPr>
          <w:t xml:space="preserve">Единый реестр субъектов МСП ФНС</w:t>
        </w:r>
      </w:hyperlink>
      <w:r>
        <w:t xml:space="preserve"> — структура и динамика рынка, срез 10.09.2026</w:t>
      </w:r>
    </w:p>
    <w:p>
      <w:pPr>
        <w:pStyle w:val="ListParagraph"/>
        <w:numPr>
          <w:ilvl w:val="0"/>
          <w:numId w:val="16"/>
        </w:numPr>
      </w:pPr>
      <w:hyperlink r:id="rId10" w:history="1">
        <w:r>
          <w:rPr>
            <w:rStyle w:val="Hyperlink"/>
          </w:rPr>
          <w:t xml:space="preserve">Мини-приложения MAX</w:t>
        </w:r>
      </w:hyperlink>
      <w:r>
        <w:t xml:space="preserve">, </w:t>
      </w:r>
      <w:hyperlink r:id="rId11" w:history="1">
        <w:r>
          <w:rPr>
            <w:rStyle w:val="Hyperlink"/>
          </w:rPr>
          <w:t xml:space="preserve">MAX Bridge</w:t>
        </w:r>
      </w:hyperlink>
      <w:r>
        <w:t xml:space="preserve">, </w:t>
      </w:r>
      <w:hyperlink r:id="rId17" w:history="1">
        <w:r>
          <w:rPr>
            <w:rStyle w:val="Hyperlink"/>
          </w:rPr>
          <w:t xml:space="preserve">Bot API</w:t>
        </w:r>
      </w:hyperlink>
      <w:r>
        <w:t xml:space="preserve">, </w:t>
      </w:r>
      <w:hyperlink r:id="rId19" w:history="1">
        <w:r>
          <w:rPr>
            <w:rStyle w:val="Hyperlink"/>
          </w:rPr>
          <w:t xml:space="preserve">подключение бизнеса</w:t>
        </w:r>
      </w:hyperlink>
      <w:r>
        <w:t xml:space="preserve">, </w:t>
      </w:r>
      <w:hyperlink r:id="rId20" w:history="1">
        <w:r>
          <w:rPr>
            <w:rStyle w:val="Hyperlink"/>
          </w:rPr>
          <w:t xml:space="preserve">Цифровой ID</w:t>
        </w:r>
      </w:hyperlink>
    </w:p>
    <w:p>
      <w:pPr>
        <w:pStyle w:val="ListParagraph"/>
        <w:numPr>
          <w:ilvl w:val="0"/>
          <w:numId w:val="16"/>
        </w:numPr>
      </w:pPr>
      <w:hyperlink r:id="rId4" w:history="1">
        <w:r>
          <w:rPr>
            <w:rStyle w:val="Hyperlink"/>
          </w:rPr>
          <w:t xml:space="preserve">Data Insight: селлеры маркетплейсов, n=709, 30.07.2025</w:t>
        </w:r>
      </w:hyperlink>
    </w:p>
    <w:p>
      <w:pPr/>
      <w:r>
        <w:rPr>
          <w:b/>
        </w:rPr>
        <w:t xml:space="preserve">Вторичные, но проверенные мной напрямую</w:t>
      </w:r>
    </w:p>
    <w:p>
      <w:pPr>
        <w:pStyle w:val="ListParagraph"/>
        <w:numPr>
          <w:ilvl w:val="0"/>
          <w:numId w:val="17"/>
        </w:numPr>
      </w:pPr>
      <w:hyperlink r:id="rId9" w:history="1">
        <w:r>
          <w:rPr>
            <w:rStyle w:val="Hyperlink"/>
          </w:rPr>
          <w:t xml:space="preserve">Контур: работа с самозанятыми в 2026</w:t>
        </w:r>
      </w:hyperlink>
      <w:r>
        <w:t xml:space="preserve"> — критерии скоринга, блокировки, штрафы; ссылается на Приказ Минтруда от 19.11.2025 № 657н</w:t>
      </w:r>
    </w:p>
    <w:p>
      <w:pPr>
        <w:pStyle w:val="ListParagraph"/>
        <w:numPr>
          <w:ilvl w:val="0"/>
          <w:numId w:val="17"/>
        </w:numPr>
      </w:pPr>
      <w:hyperlink r:id="rId22" w:history="1">
        <w:r>
          <w:rPr>
            <w:rStyle w:val="Hyperlink"/>
          </w:rPr>
          <w:t xml:space="preserve">ФНС по самозанятым, 21.08.2026</w:t>
        </w:r>
      </w:hyperlink>
      <w:r>
        <w:t xml:space="preserve"> — 17,263 млн плательщиков НПД</w:t>
      </w:r>
    </w:p>
    <w:p>
      <w:pPr>
        <w:pStyle w:val="ListParagraph"/>
        <w:numPr>
          <w:ilvl w:val="0"/>
          <w:numId w:val="17"/>
        </w:numPr>
      </w:pPr>
      <w:hyperlink r:id="rId12" w:history="1">
        <w:r>
          <w:rPr>
            <w:rStyle w:val="Hyperlink"/>
          </w:rPr>
          <w:t xml:space="preserve">Ведомости</w:t>
        </w:r>
      </w:hyperlink>
      <w:r>
        <w:t xml:space="preserve">, </w:t>
      </w:r>
      <w:hyperlink r:id="rId13" w:history="1">
        <w:r>
          <w:rPr>
            <w:rStyle w:val="Hyperlink"/>
          </w:rPr>
          <w:t xml:space="preserve">Москва 24</w:t>
        </w:r>
      </w:hyperlink>
      <w:r>
        <w:t xml:space="preserve">, </w:t>
      </w:r>
      <w:hyperlink r:id="rId14" w:history="1">
        <w:r>
          <w:rPr>
            <w:rStyle w:val="Hyperlink"/>
          </w:rPr>
          <w:t xml:space="preserve">Эксперт с данными Mediascope</w:t>
        </w:r>
      </w:hyperlink>
      <w:r>
        <w:t xml:space="preserve"> — аудитория MAX и рынок мессенджеров</w:t>
      </w:r>
    </w:p>
    <w:p>
      <w:pPr>
        <w:pStyle w:val="ListParagraph"/>
        <w:numPr>
          <w:ilvl w:val="0"/>
          <w:numId w:val="17"/>
        </w:numPr>
      </w:pPr>
      <w:hyperlink r:id="rId23" w:history="1">
        <w:r>
          <w:rPr>
            <w:rStyle w:val="Hyperlink"/>
          </w:rPr>
          <w:t xml:space="preserve">Контур.Фокус по реестру МСП</w:t>
        </w:r>
      </w:hyperlink>
      <w:r>
        <w:t xml:space="preserve">, </w:t>
      </w:r>
      <w:hyperlink r:id="rId24" w:history="1">
        <w:r>
          <w:rPr>
            <w:rStyle w:val="Hyperlink"/>
          </w:rPr>
          <w:t xml:space="preserve">Контур по НДС на УСН</w:t>
        </w:r>
      </w:hyperlink>
      <w:r>
        <w:t xml:space="preserve">, </w:t>
      </w:r>
      <w:hyperlink r:id="rId21" w:history="1">
        <w:r>
          <w:rPr>
            <w:rStyle w:val="Hyperlink"/>
          </w:rPr>
          <w:t xml:space="preserve">календарь маркировки</w:t>
        </w:r>
      </w:hyperlink>
    </w:p>
    <w:p>
      <w:pPr/>
      <w:r>
        <w:rPr>
          <w:b/>
        </w:rPr>
        <w:t xml:space="preserve">Взято как гипотеза, не как факт</w:t>
      </w:r>
    </w:p>
    <w:p>
      <w:pPr>
        <w:pStyle w:val="ListParagraph"/>
        <w:numPr>
          <w:ilvl w:val="0"/>
          <w:numId w:val="18"/>
        </w:numPr>
      </w:pPr>
      <w:hyperlink r:id="rId8" w:history="1">
        <w:r>
          <w:rPr>
            <w:rStyle w:val="Hyperlink"/>
          </w:rPr>
          <w:t xml:space="preserve">Яндекс Go для бизнеса о часах предпринимателя</w:t>
        </w:r>
      </w:hyperlink>
      <w:r>
        <w:t xml:space="preserve"> — вендорский опрос</w:t>
      </w:r>
    </w:p>
    <w:p>
      <w:pPr>
        <w:pStyle w:val="ListParagraph"/>
        <w:numPr>
          <w:ilvl w:val="0"/>
          <w:numId w:val="18"/>
        </w:numPr>
      </w:pPr>
      <w:hyperlink r:id="rId6" w:history="1">
        <w:r>
          <w:rPr>
            <w:rStyle w:val="Hyperlink"/>
          </w:rPr>
          <w:t xml:space="preserve">Цены аналогов YCLIENTS</w:t>
        </w:r>
      </w:hyperlink>
      <w:r>
        <w:t xml:space="preserve"> и </w:t>
      </w:r>
      <w:hyperlink r:id="rId5" w:history="1">
        <w:r>
          <w:rPr>
            <w:rStyle w:val="Hyperlink"/>
          </w:rPr>
          <w:t xml:space="preserve">сравнение DIKIDI/YCLIENTS</w:t>
        </w:r>
      </w:hyperlink>
      <w:r>
        <w:t xml:space="preserve"> — каталоги-агрегаторы с расхождениями</w:t>
      </w:r>
    </w:p>
    <w:p>
      <w:pPr>
        <w:pStyle w:val="ListParagraph"/>
        <w:numPr>
          <w:ilvl w:val="0"/>
          <w:numId w:val="18"/>
        </w:numPr>
      </w:pPr>
      <w:hyperlink r:id="rId18" w:history="1">
        <w:r>
          <w:rPr>
            <w:rStyle w:val="Hyperlink"/>
          </w:rPr>
          <w:t xml:space="preserve">Prodamus о приёме оплат в MAX</w:t>
        </w:r>
      </w:hyperlink>
      <w:r>
        <w:t xml:space="preserve"> — материал вендора</w:t>
      </w:r>
    </w:p>
    <w:p>
      <w:pPr/>
      <w:r>
        <w:rPr>
          <w:b/>
        </w:rPr>
        <w:t xml:space="preserve">Отклонено проверкой — не использовать</w:t>
      </w:r>
    </w:p>
    <w:p>
      <w:pPr>
        <w:pStyle w:val="ListParagraph"/>
        <w:numPr>
          <w:ilvl w:val="0"/>
          <w:numId w:val="19"/>
        </w:numPr>
      </w:pPr>
      <w:hyperlink r:id="rId25" w:history="1">
        <w:r>
          <w:rPr>
            <w:rStyle w:val="Hyperlink"/>
          </w:rPr>
          <w:t xml:space="preserve">Опрос МТС Optimus и Авито Услуг</w:t>
        </w:r>
      </w:hyperlink>
      <w:r>
        <w:t xml:space="preserve"> — отклонён 0–3 трижды: вендорский PR без раскрытия выборки, 27 % — это «отдельные CRM», а не покрытие</w:t>
      </w:r>
    </w:p>
    <w:p>
      <w:pPr>
        <w:pStyle w:val="ListParagraph"/>
        <w:numPr>
          <w:ilvl w:val="0"/>
          <w:numId w:val="19"/>
        </w:numPr>
      </w:pPr>
      <w:hyperlink r:id="rId26" w:history="1">
        <w:r>
          <w:rPr>
            <w:rStyle w:val="Hyperlink"/>
          </w:rPr>
          <w:t xml:space="preserve">РБК о бьюти-рынке</w:t>
        </w:r>
      </w:hyperlink>
      <w:r>
        <w:t xml:space="preserve"> и </w:t>
      </w:r>
      <w:hyperlink r:id="rId27" w:history="1">
        <w:r>
          <w:rPr>
            <w:rStyle w:val="Hyperlink"/>
          </w:rPr>
          <w:t xml:space="preserve">статья про no-show</w:t>
        </w:r>
      </w:hyperlink>
      <w:r>
        <w:t xml:space="preserve"> — методология не раскрыта, весь бьюти-тезис не прошёл проверку</w:t>
      </w:r>
    </w:p>
    <w:p>
      <w:pPr/>
      <w:r>
        <w:t xml:space="preserve">«Отклонено» не значит «ложно» — значит «не доказано источником, на который сослались».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ofd.nalog.ru/statistics.html" TargetMode="External"/><Relationship Id="rId4" Type="http://schemas.openxmlformats.org/officeDocument/2006/relationships/hyperlink" Target="https://datainsight.ru/DI_marketplaces_sellers" TargetMode="External"/><Relationship Id="rId5" Type="http://schemas.openxmlformats.org/officeDocument/2006/relationships/hyperlink" Target="https://a2is.ru/catalog/rejting-crm-sistem/compare/dikidi-business/yclients" TargetMode="External"/><Relationship Id="rId6" Type="http://schemas.openxmlformats.org/officeDocument/2006/relationships/hyperlink" Target="https://planerka.app/analogi/yclients" TargetMode="External"/><Relationship Id="rId7" Type="http://schemas.openxmlformats.org/officeDocument/2006/relationships/hyperlink" Target="https://realnoevremya.ru/news/398686-okolo-50-tys-kompaniy-na-usn-izbezhat-uplaty-nds-v-2027-godu" TargetMode="External"/><Relationship Id="rId8" Type="http://schemas.openxmlformats.org/officeDocument/2006/relationships/hyperlink" Target="https://biz.cnews.ru/news/line/2025-05-26_70_rossijskih_predprinimatelej" TargetMode="External"/><Relationship Id="rId9" Type="http://schemas.openxmlformats.org/officeDocument/2006/relationships/hyperlink" Target="https://kontur.ru/articles/50781-rabotat_s_samozanyatymi_i_ne_narushit_zakon" TargetMode="External"/><Relationship Id="rId10" Type="http://schemas.openxmlformats.org/officeDocument/2006/relationships/hyperlink" Target="https://dev.max.ru/docs/webapps/introduction" TargetMode="External"/><Relationship Id="rId11" Type="http://schemas.openxmlformats.org/officeDocument/2006/relationships/hyperlink" Target="https://dev.max.ru/docs/webapps/bridge" TargetMode="External"/><Relationship Id="rId12" Type="http://schemas.openxmlformats.org/officeDocument/2006/relationships/hyperlink" Target="https://www.vedomosti.ru/technology/news/2026/03/26/1185749-max-nabral" TargetMode="External"/><Relationship Id="rId13" Type="http://schemas.openxmlformats.org/officeDocument/2006/relationships/hyperlink" Target="https://www.m24.ru/news/tehnologii/06052026/898087" TargetMode="External"/><Relationship Id="rId14" Type="http://schemas.openxmlformats.org/officeDocument/2006/relationships/hyperlink" Target="https://expert.ru/tekhnologii/kak-max-obognal-telegram" TargetMode="External"/><Relationship Id="rId15" Type="http://schemas.openxmlformats.org/officeDocument/2006/relationships/hyperlink" Target="https://dev.max.ru/docs/webapps/validation" TargetMode="External"/><Relationship Id="rId16" Type="http://schemas.openxmlformats.org/officeDocument/2006/relationships/hyperlink" Target="https://github.com/max-messenger/max-ui" TargetMode="External"/><Relationship Id="rId17" Type="http://schemas.openxmlformats.org/officeDocument/2006/relationships/hyperlink" Target="https://dev.max.ru/docs-api" TargetMode="External"/><Relationship Id="rId18" Type="http://schemas.openxmlformats.org/officeDocument/2006/relationships/hyperlink" Target="https://prodamus.ru/app-max" TargetMode="External"/><Relationship Id="rId19" Type="http://schemas.openxmlformats.org/officeDocument/2006/relationships/hyperlink" Target="https://dev.max.ru/docs/maxbusiness/connection" TargetMode="External"/><Relationship Id="rId20" Type="http://schemas.openxmlformats.org/officeDocument/2006/relationships/hyperlink" Target="https://dev.max.ru/docs/digital-id" TargetMode="External"/><Relationship Id="rId21" Type="http://schemas.openxmlformats.org/officeDocument/2006/relationships/hyperlink" Target="https://kontur.ru/markirovka/spravka/54370-kalendar_markirovki_tovarov" TargetMode="External"/><Relationship Id="rId22" Type="http://schemas.openxmlformats.org/officeDocument/2006/relationships/hyperlink" Target="https://www.klerk.ru/buh/news/705627/" TargetMode="External"/><Relationship Id="rId23" Type="http://schemas.openxmlformats.org/officeDocument/2006/relationships/hyperlink" Target="https://kontur.ru/press/news/83611-chislo_subektov_msp_rastet_za_schet_ip" TargetMode="External"/><Relationship Id="rId24" Type="http://schemas.openxmlformats.org/officeDocument/2006/relationships/hyperlink" Target="https://kontur.ru/elba/spravka/52375-nds_na_usn" TargetMode="External"/><Relationship Id="rId25" Type="http://schemas.openxmlformats.org/officeDocument/2006/relationships/hyperlink" Target="https://moskva.mts.ru/about/media-centr/soobshheniya-kompanii/novosti-mts-v-rossii-i-mire/2025-12-24/issledovanie-mts-optimus-i-avito-uslug-57-predprinimatelej-vedut-biznes-v-smartfone" TargetMode="External"/><Relationship Id="rId26" Type="http://schemas.openxmlformats.org/officeDocument/2006/relationships/hyperlink" Target="https://www.rbc.ru/radio/12/09/2025/68c3ee5b9a79476b5ae20a1b" TargetMode="External"/><Relationship Id="rId27" Type="http://schemas.openxmlformats.org/officeDocument/2006/relationships/hyperlink" Target="https://www.sostav.ru/blogs/284006/66483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Ресёрч боль ИП и МСП под мини-апп в MAX</dc:title>
  <dc:description>Claude Docs node/0000cdcd-1107@19 docx-w6</dc:description>
  <cp:revision>19</cp:revision>
</cp:coreProperties>
</file>