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6.svg" ContentType="image/svg"/>
  <Override PartName="/word/media/image2.svg" ContentType="image/svg"/>
  <Override PartName="/word/media/image8.svg" ContentType="image/svg"/>
  <Override PartName="/word/media/image4.svg" ContentType="image/svg"/>
  <Override PartName="/word/media/image10.svg" ContentType="image/svg"/>
  <Override PartName="/word/media/image12.svg" ContentType="image/sv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bidi w:val="0"/>
        <w:spacing w:lineRule="auto" w:line="312" w:before="0" w:after="57"/>
        <w:jc w:val="center"/>
        <w:rPr>
          <w:b/>
          <w:i w:val="false"/>
          <w:vanish w:val="false"/>
          <w:color w:val="D2A03F"/>
          <w:sz w:val="21"/>
        </w:rPr>
      </w:pPr>
      <w:bookmarkStart w:id="0" w:name="wp_cover_kicker"/>
      <w:r>
        <w:rPr>
          <w:b/>
          <w:i w:val="false"/>
          <w:vanish w:val="false"/>
          <w:color w:val="D2A03F"/>
          <w:sz w:val="21"/>
        </w:rPr>
        <w:t>FROM-SCRATCH UNO REGRESSION · WRITER EDITION</w:t>
      </w:r>
      <w:bookmarkEnd w:id="0"/>
    </w:p>
    <w:p>
      <w:pPr>
        <w:pStyle w:val="Normal"/>
        <w:numPr>
          <w:ilvl w:val="0"/>
          <w:numId w:val="0"/>
        </w:numPr>
        <w:bidi w:val="0"/>
        <w:spacing w:lineRule="auto" w:line="252" w:before="0" w:after="28"/>
        <w:jc w:val="center"/>
        <w:rPr>
          <w:b/>
          <w:i w:val="false"/>
          <w:vanish w:val="false"/>
          <w:color w:val="17324D"/>
          <w:sz w:val="54"/>
        </w:rPr>
      </w:pPr>
      <w:bookmarkStart w:id="1" w:name="wp_cover_title"/>
      <w:r>
        <w:rPr>
          <w:vanish w:val="false"/>
          <w:color w:val="17324D"/>
        </w:rPr>
        <w:t>詹姆斯</w:t>
      </w:r>
      <w:r>
        <w:rPr>
          <w:b/>
          <w:i w:val="false"/>
          <w:vanish w:val="false"/>
          <w:color w:val="17324D"/>
          <w:sz w:val="54"/>
        </w:rPr>
        <w:t>·</w:t>
      </w:r>
      <w:r>
        <w:rPr>
          <w:vanish w:val="false"/>
          <w:color w:val="17324D"/>
        </w:rPr>
        <w:t>韦布空间望远镜</w:t>
      </w:r>
      <w:bookmarkEnd w:id="1"/>
    </w:p>
    <w:p>
      <w:pPr>
        <w:pStyle w:val="Normal"/>
        <w:numPr>
          <w:ilvl w:val="0"/>
          <w:numId w:val="0"/>
        </w:numPr>
        <w:bidi w:val="0"/>
        <w:spacing w:lineRule="auto" w:line="312" w:before="0" w:after="113"/>
        <w:jc w:val="center"/>
        <w:rPr>
          <w:b w:val="false"/>
          <w:i w:val="false"/>
          <w:vanish w:val="false"/>
          <w:color w:val="1F7782"/>
          <w:sz w:val="31"/>
        </w:rPr>
      </w:pPr>
      <w:bookmarkStart w:id="2" w:name="wp_cover_subtitle"/>
      <w:r>
        <w:rPr>
          <w:vanish w:val="false"/>
          <w:color w:val="1F7782"/>
        </w:rPr>
        <w:t>从折叠工程到红外宇宙</w:t>
      </w:r>
      <w:bookmarkEnd w:id="2"/>
    </w:p>
    <w:p>
      <w:pPr>
        <w:pStyle w:val="Normal"/>
        <w:numPr>
          <w:ilvl w:val="0"/>
          <w:numId w:val="0"/>
        </w:numPr>
        <w:bidi w:val="0"/>
        <w:spacing w:lineRule="auto" w:line="312" w:before="0" w:after="85"/>
        <w:jc w:val="center"/>
        <w:rPr>
          <w:b w:val="false"/>
          <w:i w:val="false"/>
          <w:vanish w:val="false"/>
          <w:color w:val="1F7782"/>
          <w:sz w:val="31"/>
        </w:rPr>
      </w:pPr>
      <w:r>
        <w:rPr>
          <w:b w:val="false"/>
          <w:i w:val="false"/>
          <w:vanish w:val="false"/>
          <w:color w:val="1F7782"/>
          <w:sz w:val="31"/>
        </w:rPr>
        <w:drawing>
          <wp:inline distT="0" distB="0" distL="0" distR="0">
            <wp:extent cx="5975985" cy="3361690"/>
            <wp:effectExtent l="0" t="0" r="0" b="0"/>
            <wp:docPr id="1" name="wp_cover_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p_cover_hero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336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bidi w:val="0"/>
        <w:spacing w:lineRule="auto" w:line="324" w:before="0" w:after="74"/>
        <w:jc w:val="center"/>
        <w:rPr>
          <w:b w:val="false"/>
          <w:i w:val="false"/>
          <w:vanish w:val="false"/>
          <w:color w:val="30445D"/>
          <w:sz w:val="22"/>
        </w:rPr>
      </w:pPr>
      <w:bookmarkStart w:id="3" w:name="wp_cover_summary"/>
      <w:r>
        <w:rPr>
          <w:vanish w:val="false"/>
          <w:color w:val="30445D"/>
        </w:rPr>
        <w:t xml:space="preserve">以原生 </w:t>
      </w:r>
      <w:r>
        <w:rPr>
          <w:b w:val="false"/>
          <w:i w:val="false"/>
          <w:vanish w:val="false"/>
          <w:color w:val="30445D"/>
          <w:sz w:val="22"/>
        </w:rPr>
        <w:t xml:space="preserve">LibreOffice UNO </w:t>
      </w:r>
      <w:r>
        <w:rPr>
          <w:vanish w:val="false"/>
          <w:color w:val="30445D"/>
        </w:rPr>
        <w:t xml:space="preserve">的流式 </w:t>
      </w:r>
      <w:r>
        <w:rPr>
          <w:b w:val="false"/>
          <w:i w:val="false"/>
          <w:vanish w:val="false"/>
          <w:color w:val="30445D"/>
          <w:sz w:val="22"/>
        </w:rPr>
        <w:t xml:space="preserve">Writer </w:t>
      </w:r>
      <w:r>
        <w:rPr>
          <w:vanish w:val="false"/>
          <w:color w:val="30445D"/>
        </w:rPr>
        <w:t>布局，展示分页、页眉页脚、标题层级、列表、表格、</w:t>
      </w:r>
      <w:r>
        <w:rPr>
          <w:b w:val="false"/>
          <w:i w:val="false"/>
          <w:vanish w:val="false"/>
          <w:color w:val="30445D"/>
          <w:sz w:val="22"/>
        </w:rPr>
        <w:t xml:space="preserve">SVG </w:t>
      </w:r>
      <w:r>
        <w:rPr>
          <w:vanish w:val="false"/>
          <w:color w:val="30445D"/>
        </w:rPr>
        <w:t xml:space="preserve">图片、柱状图、环形图与 </w:t>
      </w:r>
      <w:r>
        <w:rPr>
          <w:b w:val="false"/>
          <w:i w:val="false"/>
          <w:vanish w:val="false"/>
          <w:color w:val="30445D"/>
          <w:sz w:val="22"/>
        </w:rPr>
        <w:t xml:space="preserve">PDF </w:t>
      </w:r>
      <w:r>
        <w:rPr>
          <w:vanish w:val="false"/>
          <w:color w:val="30445D"/>
        </w:rPr>
        <w:t>导出。</w:t>
      </w:r>
      <w:bookmarkEnd w:id="3"/>
    </w:p>
    <w:p>
      <w:pPr>
        <w:pStyle w:val="Normal"/>
        <w:numPr>
          <w:ilvl w:val="0"/>
          <w:numId w:val="0"/>
        </w:numPr>
        <w:bidi w:val="0"/>
        <w:spacing w:lineRule="auto" w:line="312" w:before="0" w:after="0"/>
        <w:jc w:val="center"/>
        <w:rPr>
          <w:b w:val="false"/>
          <w:i w:val="false"/>
          <w:vanish w:val="false"/>
          <w:color w:val="6F7D91"/>
          <w:sz w:val="18"/>
        </w:rPr>
      </w:pPr>
      <w:bookmarkStart w:id="4" w:name="wp_cover_meta"/>
      <w:r>
        <w:rPr>
          <w:b w:val="false"/>
          <w:i w:val="false"/>
          <w:vanish w:val="false"/>
          <w:color w:val="6F7D91"/>
          <w:sz w:val="18"/>
        </w:rPr>
        <w:t xml:space="preserve">8 </w:t>
      </w:r>
      <w:r>
        <w:rPr>
          <w:vanish w:val="false"/>
          <w:color w:val="6F7D91"/>
        </w:rPr>
        <w:t xml:space="preserve">页专题报告 </w:t>
      </w:r>
      <w:r>
        <w:rPr>
          <w:b w:val="false"/>
          <w:i w:val="false"/>
          <w:vanish w:val="false"/>
          <w:color w:val="6F7D91"/>
          <w:sz w:val="18"/>
        </w:rPr>
        <w:t xml:space="preserve">· </w:t>
      </w:r>
      <w:r>
        <w:rPr>
          <w:vanish w:val="false"/>
          <w:color w:val="6F7D91"/>
        </w:rPr>
        <w:t xml:space="preserve">保存后重开 </w:t>
      </w:r>
      <w:r>
        <w:rPr>
          <w:b w:val="false"/>
          <w:i w:val="false"/>
          <w:vanish w:val="false"/>
          <w:color w:val="6F7D91"/>
          <w:sz w:val="18"/>
        </w:rPr>
        <w:t xml:space="preserve">· </w:t>
      </w:r>
      <w:r>
        <w:rPr>
          <w:vanish w:val="false"/>
          <w:color w:val="6F7D91"/>
        </w:rPr>
        <w:t xml:space="preserve">几何校验 </w:t>
      </w:r>
      <w:r>
        <w:rPr>
          <w:b w:val="false"/>
          <w:i w:val="false"/>
          <w:vanish w:val="false"/>
          <w:color w:val="6F7D91"/>
          <w:sz w:val="18"/>
        </w:rPr>
        <w:t xml:space="preserve">· PDF </w:t>
      </w:r>
      <w:r>
        <w:rPr>
          <w:vanish w:val="false"/>
          <w:color w:val="6F7D91"/>
        </w:rPr>
        <w:t>逐页检查</w:t>
      </w:r>
      <w:bookmarkEnd w:id="4"/>
      <w:r>
        <w:br w:type="page"/>
      </w:r>
    </w:p>
    <w:p>
      <w:pPr>
        <w:pStyle w:val="Normal"/>
        <w:bidi w:val="0"/>
        <w:spacing w:before="0" w:after="0"/>
        <w:jc w:val="start"/>
        <w:rPr>
          <w:vanish/>
        </w:rPr>
      </w:pPr>
      <w:bookmarkStart w:id="5" w:name="wp_break_light_path"/>
      <w:r>
        <w:rPr>
          <w:vanish/>
        </w:rPr>
        <w:t>⁠</w:t>
      </w:r>
      <w:bookmarkEnd w:id="5"/>
    </w:p>
    <w:p>
      <w:pPr>
        <w:pStyle w:val="Normal"/>
        <w:pageBreakBefore w:val="false"/>
        <w:numPr>
          <w:ilvl w:val="0"/>
          <w:numId w:val="0"/>
        </w:numPr>
        <w:bidi w:val="0"/>
        <w:spacing w:before="0" w:after="91"/>
        <w:jc w:val="center"/>
        <w:rPr>
          <w:vanish w:val="false"/>
        </w:rPr>
      </w:pPr>
      <w:r>
        <w:rPr>
          <w:vanish w:val="false"/>
        </w:rPr>
        <w:drawing>
          <wp:inline distT="0" distB="0" distL="0" distR="0">
            <wp:extent cx="5831840" cy="3166110"/>
            <wp:effectExtent l="0" t="0" r="0" b="0"/>
            <wp:docPr id="2" name="wp_light_path_first_flow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p_light_path_first_flow_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16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bidi w:val="0"/>
        <w:spacing w:lineRule="auto" w:line="312" w:before="0" w:after="34"/>
        <w:jc w:val="start"/>
        <w:rPr>
          <w:b/>
          <w:i w:val="false"/>
          <w:vanish w:val="false"/>
          <w:color w:val="D2A03F"/>
          <w:sz w:val="19"/>
        </w:rPr>
      </w:pPr>
      <w:bookmarkStart w:id="6" w:name="wp_light_path_eyebrow"/>
      <w:r>
        <w:rPr>
          <w:b/>
          <w:i w:val="false"/>
          <w:vanish w:val="false"/>
          <w:color w:val="D2A03F"/>
          <w:sz w:val="19"/>
        </w:rPr>
        <w:t>SYSTEM OVERVIEW</w:t>
      </w:r>
      <w:bookmarkEnd w:id="6"/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17324D"/>
          <w:sz w:val="48"/>
        </w:rPr>
      </w:pPr>
      <w:bookmarkStart w:id="7" w:name="wp_light_path_title"/>
      <w:r>
        <w:rPr>
          <w:color w:val="17324D"/>
        </w:rPr>
        <w:t>一束光如何变成科学数据</w:t>
      </w:r>
      <w:bookmarkEnd w:id="7"/>
    </w:p>
    <w:p>
      <w:pPr>
        <w:pStyle w:val="BodyText"/>
        <w:numPr>
          <w:ilvl w:val="0"/>
          <w:numId w:val="0"/>
        </w:numPr>
        <w:bidi w:val="0"/>
        <w:spacing w:lineRule="auto" w:line="331" w:before="0" w:after="102"/>
        <w:jc w:val="start"/>
        <w:rPr>
          <w:b w:val="false"/>
          <w:i w:val="false"/>
          <w:vanish w:val="false"/>
          <w:color w:val="30445D"/>
          <w:sz w:val="22"/>
        </w:rPr>
      </w:pPr>
      <w:bookmarkStart w:id="8" w:name="wp_light_path_intro"/>
      <w:r>
        <w:rPr>
          <w:vanish w:val="false"/>
          <w:color w:val="30445D"/>
        </w:rPr>
        <w:t>镜面、仪器、深空通信和地面处理不是孤立组件。它们构成一条端到端的信息链：收集微弱红外光，校准与分光，再把编码后的数据送回地球。</w:t>
      </w:r>
      <w:bookmarkEnd w:id="8"/>
    </w:p>
    <w:p>
      <w:pPr>
        <w:pStyle w:val="BodyText"/>
        <w:numPr>
          <w:ilvl w:val="0"/>
          <w:numId w:val="0"/>
        </w:numPr>
        <w:bidi w:val="0"/>
        <w:spacing w:lineRule="auto" w:line="331" w:before="0" w:after="102"/>
        <w:jc w:val="start"/>
        <w:rPr>
          <w:b w:val="false"/>
          <w:i w:val="false"/>
          <w:vanish/>
          <w:color w:val="30445D"/>
          <w:sz w:val="22"/>
        </w:rPr>
      </w:pPr>
      <w:bookmarkStart w:id="9" w:name="wp_light_path_stage_table"/>
      <w:r>
        <w:rPr>
          <w:b w:val="false"/>
          <w:i w:val="false"/>
          <w:vanish/>
          <w:color w:val="30445D"/>
          <w:sz w:val="22"/>
        </w:rPr>
        <w:t>⁠</w:t>
      </w:r>
      <w:bookmarkEnd w:id="9"/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55"/>
        <w:gridCol w:w="4778"/>
        <w:gridCol w:w="3219"/>
      </w:tblGrid>
      <w:tr>
        <w:trPr>
          <w:tblHeader w:val="true"/>
        </w:trPr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7324D" w:val="clear"/>
          </w:tcPr>
          <w:p>
            <w:pPr>
              <w:pStyle w:val="Style16"/>
              <w:bidi w:val="0"/>
              <w:spacing w:before="51" w:after="51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阶段</w:t>
            </w:r>
          </w:p>
        </w:tc>
        <w:tc>
          <w:tcPr>
            <w:tcW w:w="4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7324D" w:val="clear"/>
          </w:tcPr>
          <w:p>
            <w:pPr>
              <w:pStyle w:val="Style16"/>
              <w:bidi w:val="0"/>
              <w:spacing w:before="51" w:after="51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核心动作</w:t>
            </w:r>
          </w:p>
        </w:tc>
        <w:tc>
          <w:tcPr>
            <w:tcW w:w="3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24D" w:val="clear"/>
          </w:tcPr>
          <w:p>
            <w:pPr>
              <w:pStyle w:val="Style16"/>
              <w:bidi w:val="0"/>
              <w:spacing w:before="51" w:after="51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工程约束</w:t>
            </w:r>
          </w:p>
        </w:tc>
      </w:tr>
      <w:tr>
        <w:trPr/>
        <w:tc>
          <w:tcPr>
            <w:tcW w:w="1755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收集</w:t>
            </w:r>
          </w:p>
        </w:tc>
        <w:tc>
          <w:tcPr>
            <w:tcW w:w="4778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eastAsia="Microsoft YaHei"/>
                <w:color w:val="30445D"/>
                <w:sz w:val="18"/>
              </w:rPr>
              <w:t xml:space="preserve">18 </w:t>
            </w:r>
            <w:r>
              <w:rPr>
                <w:rFonts w:ascii="Microsoft YaHei" w:hAnsi="Microsoft YaHei"/>
                <w:color w:val="30445D"/>
              </w:rPr>
              <w:t>块六边形镜片协同聚光</w:t>
            </w:r>
          </w:p>
        </w:tc>
        <w:tc>
          <w:tcPr>
            <w:tcW w:w="32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极低温、纳米级波前校准</w:t>
            </w:r>
          </w:p>
        </w:tc>
      </w:tr>
      <w:tr>
        <w:trPr/>
        <w:tc>
          <w:tcPr>
            <w:tcW w:w="175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分析</w:t>
            </w:r>
          </w:p>
        </w:tc>
        <w:tc>
          <w:tcPr>
            <w:tcW w:w="477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eastAsia="Microsoft YaHei"/>
                <w:color w:val="30445D"/>
                <w:sz w:val="18"/>
              </w:rPr>
              <w:t>NIRCam</w:t>
            </w:r>
            <w:r>
              <w:rPr>
                <w:rFonts w:ascii="Microsoft YaHei" w:hAnsi="Microsoft YaHei"/>
                <w:color w:val="30445D"/>
              </w:rPr>
              <w:t>、</w:t>
            </w:r>
            <w:r>
              <w:rPr>
                <w:rFonts w:eastAsia="Microsoft YaHei"/>
                <w:color w:val="30445D"/>
                <w:sz w:val="18"/>
              </w:rPr>
              <w:t>NIRSpec</w:t>
            </w:r>
            <w:r>
              <w:rPr>
                <w:rFonts w:ascii="Microsoft YaHei" w:hAnsi="Microsoft YaHei"/>
                <w:color w:val="30445D"/>
              </w:rPr>
              <w:t>、</w:t>
            </w:r>
            <w:r>
              <w:rPr>
                <w:rFonts w:eastAsia="Microsoft YaHei"/>
                <w:color w:val="30445D"/>
                <w:sz w:val="18"/>
              </w:rPr>
              <w:t xml:space="preserve">MIRI </w:t>
            </w:r>
            <w:r>
              <w:rPr>
                <w:rFonts w:ascii="Microsoft YaHei" w:hAnsi="Microsoft YaHei"/>
                <w:color w:val="30445D"/>
              </w:rPr>
              <w:t xml:space="preserve">与 </w:t>
            </w:r>
            <w:r>
              <w:rPr>
                <w:rFonts w:eastAsia="Microsoft YaHei"/>
                <w:color w:val="30445D"/>
                <w:sz w:val="18"/>
              </w:rPr>
              <w:t xml:space="preserve">FGS/NIRISS </w:t>
            </w:r>
            <w:r>
              <w:rPr>
                <w:rFonts w:ascii="Microsoft YaHei" w:hAnsi="Microsoft YaHei"/>
                <w:color w:val="30445D"/>
              </w:rPr>
              <w:t>成像或分光</w:t>
            </w:r>
          </w:p>
        </w:tc>
        <w:tc>
          <w:tcPr>
            <w:tcW w:w="32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波段覆盖、灵敏度与视场</w:t>
            </w:r>
          </w:p>
        </w:tc>
      </w:tr>
      <w:tr>
        <w:trPr/>
        <w:tc>
          <w:tcPr>
            <w:tcW w:w="1755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传输</w:t>
            </w:r>
          </w:p>
        </w:tc>
        <w:tc>
          <w:tcPr>
            <w:tcW w:w="4778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深空网络接收遥测并回传指令</w:t>
            </w:r>
          </w:p>
        </w:tc>
        <w:tc>
          <w:tcPr>
            <w:tcW w:w="32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距离、带宽与姿态稳定</w:t>
            </w:r>
          </w:p>
        </w:tc>
      </w:tr>
      <w:tr>
        <w:trPr/>
        <w:tc>
          <w:tcPr>
            <w:tcW w:w="175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解释</w:t>
            </w:r>
          </w:p>
        </w:tc>
        <w:tc>
          <w:tcPr>
            <w:tcW w:w="477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标定、建模、交叉验证并形成论文</w:t>
            </w:r>
          </w:p>
        </w:tc>
        <w:tc>
          <w:tcPr>
            <w:tcW w:w="32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系统误差与模型不确定性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spacing w:lineRule="auto" w:line="331" w:before="0" w:after="102"/>
        <w:jc w:val="start"/>
        <w:rPr>
          <w:b w:val="false"/>
          <w:i w:val="false"/>
          <w:vanish w:val="false"/>
          <w:color w:val="30445D"/>
          <w:sz w:val="22"/>
        </w:rPr>
      </w:pPr>
      <w:r>
        <w:rPr>
          <w:b w:val="false"/>
          <w:i w:val="false"/>
          <w:vanish w:val="false"/>
          <w:color w:val="30445D"/>
          <w:sz w:val="22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vanish/>
        </w:rPr>
      </w:pPr>
      <w:bookmarkStart w:id="10" w:name="wp_break_timeline"/>
      <w:r>
        <w:rPr>
          <w:vanish/>
        </w:rPr>
        <w:t>⁠</w:t>
      </w:r>
      <w:bookmarkEnd w:id="10"/>
    </w:p>
    <w:p>
      <w:pPr>
        <w:pStyle w:val="Normal"/>
        <w:pageBreakBefore w:val="false"/>
        <w:numPr>
          <w:ilvl w:val="0"/>
          <w:numId w:val="0"/>
        </w:numPr>
        <w:bidi w:val="0"/>
        <w:spacing w:lineRule="auto" w:line="312" w:before="0" w:after="34"/>
        <w:jc w:val="start"/>
        <w:rPr>
          <w:b/>
          <w:i w:val="false"/>
          <w:vanish w:val="false"/>
          <w:color w:val="D2A03F"/>
          <w:sz w:val="19"/>
        </w:rPr>
      </w:pPr>
      <w:bookmarkStart w:id="11" w:name="wp_timeline_eyebrow"/>
      <w:r>
        <w:rPr>
          <w:b/>
          <w:i w:val="false"/>
          <w:vanish w:val="false"/>
          <w:color w:val="D2A03F"/>
          <w:sz w:val="19"/>
        </w:rPr>
        <w:t>TIMELINE + MATRIX</w:t>
      </w:r>
      <w:bookmarkEnd w:id="11"/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17324D"/>
          <w:sz w:val="48"/>
        </w:rPr>
      </w:pPr>
      <w:bookmarkStart w:id="12" w:name="wp_timeline_title"/>
      <w:r>
        <w:rPr>
          <w:color w:val="17324D"/>
        </w:rPr>
        <w:t>三十年的任务节奏</w:t>
      </w:r>
      <w:bookmarkEnd w:id="12"/>
    </w:p>
    <w:p>
      <w:pPr>
        <w:pStyle w:val="BodyText"/>
        <w:numPr>
          <w:ilvl w:val="0"/>
          <w:numId w:val="0"/>
        </w:numPr>
        <w:bidi w:val="0"/>
        <w:spacing w:lineRule="auto" w:line="331" w:before="0" w:after="102"/>
        <w:jc w:val="start"/>
        <w:rPr>
          <w:b w:val="false"/>
          <w:i w:val="false"/>
          <w:vanish w:val="false"/>
          <w:color w:val="30445D"/>
          <w:sz w:val="22"/>
        </w:rPr>
      </w:pPr>
      <w:bookmarkStart w:id="13" w:name="wp_timeline_intro"/>
      <w:r>
        <w:rPr>
          <w:vanish w:val="false"/>
          <w:color w:val="30445D"/>
        </w:rPr>
        <w:t>大型空间任务的风险不是在发射瞬间才出现。概念论证、镜片制造、整机集成、环境测试、折叠部署和在轨校准，每一步都会把前一阶段的假设变成可验证的接口。</w:t>
      </w:r>
      <w:bookmarkEnd w:id="13"/>
    </w:p>
    <w:p>
      <w:pPr>
        <w:pStyle w:val="BodyText"/>
        <w:numPr>
          <w:ilvl w:val="0"/>
          <w:numId w:val="0"/>
        </w:numPr>
        <w:bidi w:val="0"/>
        <w:spacing w:lineRule="auto" w:line="331" w:before="0" w:after="102"/>
        <w:jc w:val="start"/>
        <w:rPr>
          <w:b w:val="false"/>
          <w:i w:val="false"/>
          <w:vanish/>
          <w:color w:val="30445D"/>
          <w:sz w:val="22"/>
        </w:rPr>
      </w:pPr>
      <w:bookmarkStart w:id="14" w:name="wp_timeline_history_table"/>
      <w:r>
        <w:rPr>
          <w:b w:val="false"/>
          <w:i w:val="false"/>
          <w:vanish/>
          <w:color w:val="30445D"/>
          <w:sz w:val="22"/>
        </w:rPr>
        <w:t>⁠</w:t>
      </w:r>
      <w:bookmarkEnd w:id="14"/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57"/>
        <w:gridCol w:w="3804"/>
        <w:gridCol w:w="4291"/>
      </w:tblGrid>
      <w:tr>
        <w:trPr>
          <w:tblHeader w:val="true"/>
        </w:trPr>
        <w:tc>
          <w:tcPr>
            <w:tcW w:w="1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F7782" w:val="clear"/>
          </w:tcPr>
          <w:p>
            <w:pPr>
              <w:pStyle w:val="Style16"/>
              <w:bidi w:val="0"/>
              <w:spacing w:before="51" w:after="51"/>
              <w:rPr>
                <w:rFonts w:ascii="Microsoft YaHei" w:hAnsi="Microsoft YaHei" w:eastAsia="Microsoft YaHei"/>
                <w:b/>
                <w:color w:val="FFFFFF"/>
                <w:sz w:val="17"/>
              </w:rPr>
            </w:pPr>
            <w:r>
              <w:rPr>
                <w:rFonts w:ascii="Microsoft YaHei" w:hAnsi="Microsoft YaHei"/>
                <w:color w:val="FFFFFF"/>
              </w:rPr>
              <w:t>年份</w:t>
            </w:r>
          </w:p>
        </w:tc>
        <w:tc>
          <w:tcPr>
            <w:tcW w:w="3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F7782" w:val="clear"/>
          </w:tcPr>
          <w:p>
            <w:pPr>
              <w:pStyle w:val="Style16"/>
              <w:bidi w:val="0"/>
              <w:spacing w:before="51" w:after="51"/>
              <w:rPr>
                <w:rFonts w:ascii="Microsoft YaHei" w:hAnsi="Microsoft YaHei" w:eastAsia="Microsoft YaHei"/>
                <w:b/>
                <w:color w:val="FFFFFF"/>
                <w:sz w:val="17"/>
              </w:rPr>
            </w:pPr>
            <w:r>
              <w:rPr>
                <w:rFonts w:ascii="Microsoft YaHei" w:hAnsi="Microsoft YaHei"/>
                <w:color w:val="FFFFFF"/>
              </w:rPr>
              <w:t>里程碑</w:t>
            </w:r>
          </w:p>
        </w:tc>
        <w:tc>
          <w:tcPr>
            <w:tcW w:w="4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782" w:val="clear"/>
          </w:tcPr>
          <w:p>
            <w:pPr>
              <w:pStyle w:val="Style16"/>
              <w:bidi w:val="0"/>
              <w:spacing w:before="51" w:after="51"/>
              <w:rPr>
                <w:rFonts w:ascii="Microsoft YaHei" w:hAnsi="Microsoft YaHei" w:eastAsia="Microsoft YaHei"/>
                <w:b/>
                <w:color w:val="FFFFFF"/>
                <w:sz w:val="17"/>
              </w:rPr>
            </w:pPr>
            <w:r>
              <w:rPr>
                <w:rFonts w:ascii="Microsoft YaHei" w:hAnsi="Microsoft YaHei"/>
                <w:color w:val="FFFFFF"/>
              </w:rPr>
              <w:t>系统意义</w:t>
            </w:r>
          </w:p>
        </w:tc>
      </w:tr>
      <w:tr>
        <w:trPr/>
        <w:tc>
          <w:tcPr>
            <w:tcW w:w="1657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7"/>
              </w:rPr>
            </w:pPr>
            <w:r>
              <w:rPr>
                <w:rFonts w:eastAsia="Microsoft YaHei"/>
                <w:color w:val="30445D"/>
                <w:sz w:val="17"/>
              </w:rPr>
              <w:t>1996</w:t>
            </w:r>
          </w:p>
        </w:tc>
        <w:tc>
          <w:tcPr>
            <w:tcW w:w="3804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7"/>
              </w:rPr>
            </w:pPr>
            <w:r>
              <w:rPr>
                <w:rFonts w:ascii="Microsoft YaHei" w:hAnsi="Microsoft YaHei"/>
                <w:color w:val="30445D"/>
              </w:rPr>
              <w:t>下一代空间望远镜概念启动</w:t>
            </w:r>
          </w:p>
        </w:tc>
        <w:tc>
          <w:tcPr>
            <w:tcW w:w="42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7"/>
              </w:rPr>
            </w:pPr>
            <w:r>
              <w:rPr>
                <w:rFonts w:ascii="Microsoft YaHei" w:hAnsi="Microsoft YaHei"/>
                <w:color w:val="30445D"/>
              </w:rPr>
              <w:t>把“更冷、更大、更远”转化为任务需求</w:t>
            </w:r>
          </w:p>
        </w:tc>
      </w:tr>
      <w:tr>
        <w:trPr/>
        <w:tc>
          <w:tcPr>
            <w:tcW w:w="165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7"/>
              </w:rPr>
            </w:pPr>
            <w:r>
              <w:rPr>
                <w:rFonts w:eastAsia="Microsoft YaHei"/>
                <w:color w:val="30445D"/>
                <w:sz w:val="17"/>
              </w:rPr>
              <w:t>2002</w:t>
            </w:r>
          </w:p>
        </w:tc>
        <w:tc>
          <w:tcPr>
            <w:tcW w:w="380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7"/>
              </w:rPr>
            </w:pPr>
            <w:r>
              <w:rPr>
                <w:rFonts w:ascii="Microsoft YaHei" w:hAnsi="Microsoft YaHei"/>
                <w:color w:val="30445D"/>
              </w:rPr>
              <w:t>正式命名为詹姆斯</w:t>
            </w:r>
            <w:r>
              <w:rPr>
                <w:rFonts w:eastAsia="Microsoft YaHei"/>
                <w:color w:val="30445D"/>
                <w:sz w:val="17"/>
              </w:rPr>
              <w:t>·</w:t>
            </w:r>
            <w:r>
              <w:rPr>
                <w:rFonts w:ascii="Microsoft YaHei" w:hAnsi="Microsoft YaHei"/>
                <w:color w:val="30445D"/>
              </w:rPr>
              <w:t>韦布空间望远镜</w:t>
            </w:r>
          </w:p>
        </w:tc>
        <w:tc>
          <w:tcPr>
            <w:tcW w:w="42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7"/>
              </w:rPr>
            </w:pPr>
            <w:r>
              <w:rPr>
                <w:rFonts w:ascii="Microsoft YaHei" w:hAnsi="Microsoft YaHei"/>
                <w:color w:val="30445D"/>
              </w:rPr>
              <w:t>项目架构与合作机制逐步稳定</w:t>
            </w:r>
          </w:p>
        </w:tc>
      </w:tr>
      <w:tr>
        <w:trPr/>
        <w:tc>
          <w:tcPr>
            <w:tcW w:w="1657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7"/>
              </w:rPr>
            </w:pPr>
            <w:r>
              <w:rPr>
                <w:rFonts w:eastAsia="Microsoft YaHei"/>
                <w:color w:val="30445D"/>
                <w:sz w:val="17"/>
              </w:rPr>
              <w:t>2011</w:t>
            </w:r>
          </w:p>
        </w:tc>
        <w:tc>
          <w:tcPr>
            <w:tcW w:w="3804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7"/>
              </w:rPr>
            </w:pPr>
            <w:r>
              <w:rPr>
                <w:rFonts w:eastAsia="Microsoft YaHei"/>
                <w:color w:val="30445D"/>
                <w:sz w:val="17"/>
              </w:rPr>
              <w:t xml:space="preserve">18 </w:t>
            </w:r>
            <w:r>
              <w:rPr>
                <w:rFonts w:ascii="Microsoft YaHei" w:hAnsi="Microsoft YaHei"/>
                <w:color w:val="30445D"/>
              </w:rPr>
              <w:t>块主镜完成制造</w:t>
            </w:r>
          </w:p>
        </w:tc>
        <w:tc>
          <w:tcPr>
            <w:tcW w:w="42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7"/>
              </w:rPr>
            </w:pPr>
            <w:r>
              <w:rPr>
                <w:rFonts w:ascii="Microsoft YaHei" w:hAnsi="Microsoft YaHei"/>
                <w:color w:val="30445D"/>
              </w:rPr>
              <w:t>分段镜技术进入集成阶段</w:t>
            </w:r>
          </w:p>
        </w:tc>
      </w:tr>
      <w:tr>
        <w:trPr/>
        <w:tc>
          <w:tcPr>
            <w:tcW w:w="165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7"/>
              </w:rPr>
            </w:pPr>
            <w:r>
              <w:rPr>
                <w:rFonts w:eastAsia="Microsoft YaHei"/>
                <w:color w:val="30445D"/>
                <w:sz w:val="17"/>
              </w:rPr>
              <w:t>2016</w:t>
            </w:r>
          </w:p>
        </w:tc>
        <w:tc>
          <w:tcPr>
            <w:tcW w:w="380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7"/>
              </w:rPr>
            </w:pPr>
            <w:r>
              <w:rPr>
                <w:rFonts w:ascii="Microsoft YaHei" w:hAnsi="Microsoft YaHei"/>
                <w:color w:val="30445D"/>
              </w:rPr>
              <w:t>光学系统与科学仪器整合</w:t>
            </w:r>
          </w:p>
        </w:tc>
        <w:tc>
          <w:tcPr>
            <w:tcW w:w="42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7"/>
              </w:rPr>
            </w:pPr>
            <w:r>
              <w:rPr>
                <w:rFonts w:ascii="Microsoft YaHei" w:hAnsi="Microsoft YaHei"/>
                <w:color w:val="30445D"/>
              </w:rPr>
              <w:t>接口风险从组件转向系统</w:t>
            </w:r>
          </w:p>
        </w:tc>
      </w:tr>
      <w:tr>
        <w:trPr/>
        <w:tc>
          <w:tcPr>
            <w:tcW w:w="1657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7"/>
              </w:rPr>
            </w:pPr>
            <w:r>
              <w:rPr>
                <w:rFonts w:eastAsia="Microsoft YaHei"/>
                <w:color w:val="30445D"/>
                <w:sz w:val="17"/>
              </w:rPr>
              <w:t>2021</w:t>
            </w:r>
          </w:p>
        </w:tc>
        <w:tc>
          <w:tcPr>
            <w:tcW w:w="3804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7"/>
              </w:rPr>
            </w:pPr>
            <w:r>
              <w:rPr>
                <w:rFonts w:ascii="Microsoft YaHei" w:hAnsi="Microsoft YaHei"/>
                <w:color w:val="30445D"/>
              </w:rPr>
              <w:t xml:space="preserve">阿丽亚娜 </w:t>
            </w:r>
            <w:r>
              <w:rPr>
                <w:rFonts w:eastAsia="Microsoft YaHei"/>
                <w:color w:val="30445D"/>
                <w:sz w:val="17"/>
              </w:rPr>
              <w:t xml:space="preserve">5 </w:t>
            </w:r>
            <w:r>
              <w:rPr>
                <w:rFonts w:ascii="Microsoft YaHei" w:hAnsi="Microsoft YaHei"/>
                <w:color w:val="30445D"/>
              </w:rPr>
              <w:t>号成功发射</w:t>
            </w:r>
          </w:p>
        </w:tc>
        <w:tc>
          <w:tcPr>
            <w:tcW w:w="42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7"/>
              </w:rPr>
            </w:pPr>
            <w:r>
              <w:rPr>
                <w:rFonts w:ascii="Microsoft YaHei" w:hAnsi="Microsoft YaHei"/>
                <w:color w:val="30445D"/>
              </w:rPr>
              <w:t>进入不可维修的自动部署链</w:t>
            </w:r>
          </w:p>
        </w:tc>
      </w:tr>
      <w:tr>
        <w:trPr/>
        <w:tc>
          <w:tcPr>
            <w:tcW w:w="165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7"/>
              </w:rPr>
            </w:pPr>
            <w:r>
              <w:rPr>
                <w:rFonts w:eastAsia="Microsoft YaHei"/>
                <w:color w:val="30445D"/>
                <w:sz w:val="17"/>
              </w:rPr>
              <w:t>2022</w:t>
            </w:r>
          </w:p>
        </w:tc>
        <w:tc>
          <w:tcPr>
            <w:tcW w:w="380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7"/>
              </w:rPr>
            </w:pPr>
            <w:r>
              <w:rPr>
                <w:rFonts w:ascii="Microsoft YaHei" w:hAnsi="Microsoft YaHei"/>
                <w:color w:val="30445D"/>
              </w:rPr>
              <w:t>首批全彩科学图像发布</w:t>
            </w:r>
          </w:p>
        </w:tc>
        <w:tc>
          <w:tcPr>
            <w:tcW w:w="42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7"/>
              </w:rPr>
            </w:pPr>
            <w:r>
              <w:rPr>
                <w:rFonts w:ascii="Microsoft YaHei" w:hAnsi="Microsoft YaHei"/>
                <w:color w:val="30445D"/>
              </w:rPr>
              <w:t>完成校准并进入常规科学运行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spacing w:lineRule="auto" w:line="331" w:before="0" w:after="102"/>
        <w:jc w:val="start"/>
        <w:rPr>
          <w:b w:val="false"/>
          <w:i w:val="false"/>
          <w:vanish w:val="false"/>
          <w:color w:val="30445D"/>
          <w:sz w:val="22"/>
        </w:rPr>
      </w:pPr>
      <w:r>
        <w:rPr>
          <w:b w:val="false"/>
          <w:i w:val="false"/>
          <w:vanish w:val="false"/>
          <w:color w:val="30445D"/>
          <w:sz w:val="22"/>
        </w:rPr>
      </w:r>
    </w:p>
    <w:p>
      <w:pPr>
        <w:pStyle w:val="Heading2"/>
        <w:bidi w:val="0"/>
        <w:spacing w:lineRule="auto" w:line="274" w:before="125" w:after="102"/>
        <w:ind w:hanging="0" w:start="0"/>
        <w:jc w:val="start"/>
        <w:rPr>
          <w:b/>
          <w:i w:val="false"/>
          <w:color w:val="1F7782"/>
          <w:sz w:val="36"/>
        </w:rPr>
      </w:pPr>
      <w:bookmarkStart w:id="15" w:name="wp_timeline_lesson_title"/>
      <w:r>
        <w:rPr>
          <w:color w:val="1F7782"/>
        </w:rPr>
        <w:t>项目管理上的四个可迁移原则</w:t>
      </w:r>
      <w:bookmarkEnd w:id="15"/>
    </w:p>
    <w:p>
      <w:pPr>
        <w:pStyle w:val="BodyText"/>
        <w:numPr>
          <w:ilvl w:val="0"/>
          <w:numId w:val="2"/>
        </w:numPr>
        <w:bidi w:val="0"/>
        <w:spacing w:lineRule="auto" w:line="274" w:before="125" w:after="45"/>
        <w:jc w:val="start"/>
        <w:rPr>
          <w:b/>
          <w:i w:val="false"/>
          <w:vanish w:val="false"/>
          <w:color w:val="30445D"/>
          <w:sz w:val="20"/>
        </w:rPr>
      </w:pPr>
      <w:bookmarkStart w:id="16" w:name="wp_timeline_lessons_1"/>
      <w:r>
        <w:rPr>
          <w:vanish w:val="false"/>
          <w:color w:val="30445D"/>
        </w:rPr>
        <w:t>尽早把机械、热、光学与软件接口放进同一验证闭环。</w:t>
      </w:r>
      <w:bookmarkEnd w:id="16"/>
    </w:p>
    <w:p>
      <w:pPr>
        <w:pStyle w:val="BodyText"/>
        <w:numPr>
          <w:ilvl w:val="0"/>
          <w:numId w:val="2"/>
        </w:numPr>
        <w:bidi w:val="0"/>
        <w:spacing w:lineRule="auto" w:line="274" w:before="125" w:after="45"/>
        <w:jc w:val="start"/>
        <w:rPr>
          <w:b/>
          <w:i w:val="false"/>
          <w:vanish w:val="false"/>
          <w:color w:val="30445D"/>
          <w:sz w:val="20"/>
        </w:rPr>
      </w:pPr>
      <w:bookmarkStart w:id="17" w:name="wp_timeline_lessons_2"/>
      <w:r>
        <w:rPr>
          <w:vanish w:val="false"/>
          <w:color w:val="30445D"/>
        </w:rPr>
        <w:t>不可逆部署步骤必须拥有冗余、遥测与逐级确认。</w:t>
      </w:r>
      <w:bookmarkEnd w:id="17"/>
    </w:p>
    <w:p>
      <w:pPr>
        <w:pStyle w:val="BodyText"/>
        <w:numPr>
          <w:ilvl w:val="0"/>
          <w:numId w:val="2"/>
        </w:numPr>
        <w:bidi w:val="0"/>
        <w:spacing w:lineRule="auto" w:line="274" w:before="125" w:after="45"/>
        <w:jc w:val="start"/>
        <w:rPr>
          <w:b/>
          <w:i w:val="false"/>
          <w:vanish w:val="false"/>
          <w:color w:val="30445D"/>
          <w:sz w:val="20"/>
        </w:rPr>
      </w:pPr>
      <w:bookmarkStart w:id="18" w:name="wp_timeline_lessons_3"/>
      <w:r>
        <w:rPr>
          <w:vanish w:val="false"/>
          <w:color w:val="30445D"/>
        </w:rPr>
        <w:t>测试不是发布前的阶段，而是贯穿设计决策的反馈系统。</w:t>
      </w:r>
      <w:bookmarkEnd w:id="18"/>
    </w:p>
    <w:p>
      <w:pPr>
        <w:pStyle w:val="BodyText"/>
        <w:numPr>
          <w:ilvl w:val="0"/>
          <w:numId w:val="2"/>
        </w:numPr>
        <w:bidi w:val="0"/>
        <w:spacing w:lineRule="auto" w:line="274" w:before="125" w:after="45"/>
        <w:jc w:val="start"/>
        <w:rPr>
          <w:b/>
          <w:i w:val="false"/>
          <w:vanish w:val="false"/>
          <w:color w:val="30445D"/>
          <w:sz w:val="20"/>
        </w:rPr>
      </w:pPr>
      <w:bookmarkStart w:id="19" w:name="wp_timeline_lessons_4"/>
      <w:r>
        <w:rPr>
          <w:vanish w:val="false"/>
          <w:color w:val="30445D"/>
        </w:rPr>
        <w:t>高风险任务依靠稳定命名、版本和责任边界保持长期协作。</w:t>
      </w:r>
      <w:bookmarkEnd w:id="19"/>
      <w:r>
        <w:br w:type="page"/>
      </w:r>
    </w:p>
    <w:p>
      <w:pPr>
        <w:pStyle w:val="Normal"/>
        <w:bidi w:val="0"/>
        <w:spacing w:before="0" w:after="0"/>
        <w:jc w:val="start"/>
        <w:rPr>
          <w:vanish/>
        </w:rPr>
      </w:pPr>
      <w:bookmarkStart w:id="20" w:name="wp_break_orbit"/>
      <w:r>
        <w:rPr>
          <w:vanish/>
        </w:rPr>
        <w:t>⁠</w:t>
      </w:r>
      <w:bookmarkEnd w:id="20"/>
    </w:p>
    <w:p>
      <w:pPr>
        <w:pStyle w:val="Normal"/>
        <w:pageBreakBefore w:val="false"/>
        <w:numPr>
          <w:ilvl w:val="0"/>
          <w:numId w:val="0"/>
        </w:numPr>
        <w:bidi w:val="0"/>
        <w:spacing w:lineRule="auto" w:line="312" w:before="0" w:after="34"/>
        <w:jc w:val="start"/>
        <w:rPr>
          <w:b/>
          <w:i w:val="false"/>
          <w:vanish w:val="false"/>
          <w:color w:val="D2A03F"/>
          <w:sz w:val="19"/>
        </w:rPr>
      </w:pPr>
      <w:bookmarkStart w:id="21" w:name="wp_orbit_eyebrow"/>
      <w:r>
        <w:rPr>
          <w:b/>
          <w:i w:val="false"/>
          <w:vanish w:val="false"/>
          <w:color w:val="D2A03F"/>
          <w:sz w:val="19"/>
        </w:rPr>
        <w:t>TABLE → IMAGE REGRESSION</w:t>
      </w:r>
      <w:bookmarkEnd w:id="21"/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17324D"/>
          <w:sz w:val="48"/>
        </w:rPr>
      </w:pPr>
      <w:bookmarkStart w:id="22" w:name="wp_orbit_title"/>
      <w:r>
        <w:rPr>
          <w:color w:val="17324D"/>
        </w:rPr>
        <w:t xml:space="preserve">为什么选择太阳—地球 </w:t>
      </w:r>
      <w:r>
        <w:rPr>
          <w:b/>
          <w:i w:val="false"/>
          <w:color w:val="17324D"/>
          <w:sz w:val="48"/>
        </w:rPr>
        <w:t>L2</w:t>
      </w:r>
      <w:bookmarkEnd w:id="22"/>
    </w:p>
    <w:p>
      <w:pPr>
        <w:pStyle w:val="BodyText"/>
        <w:numPr>
          <w:ilvl w:val="0"/>
          <w:numId w:val="0"/>
        </w:numPr>
        <w:bidi w:val="0"/>
        <w:spacing w:lineRule="auto" w:line="331" w:before="0" w:after="102"/>
        <w:jc w:val="start"/>
        <w:rPr>
          <w:b w:val="false"/>
          <w:i w:val="false"/>
          <w:vanish w:val="false"/>
          <w:color w:val="30445D"/>
          <w:sz w:val="22"/>
        </w:rPr>
      </w:pPr>
      <w:bookmarkStart w:id="23" w:name="wp_orbit_intro"/>
      <w:r>
        <w:rPr>
          <w:b w:val="false"/>
          <w:i w:val="false"/>
          <w:vanish w:val="false"/>
          <w:color w:val="30445D"/>
          <w:sz w:val="22"/>
        </w:rPr>
        <w:t xml:space="preserve">L2 </w:t>
      </w:r>
      <w:r>
        <w:rPr>
          <w:vanish w:val="false"/>
          <w:color w:val="30445D"/>
        </w:rPr>
        <w:t>附近的晕轨道让太阳、地球和月球大致位于同一方向，便于遮阳板持续隔离热源。它不是静止点，而是一种需要周期修正的动力学工作区。</w:t>
      </w:r>
      <w:bookmarkEnd w:id="23"/>
    </w:p>
    <w:p>
      <w:pPr>
        <w:pStyle w:val="BodyText"/>
        <w:numPr>
          <w:ilvl w:val="0"/>
          <w:numId w:val="0"/>
        </w:numPr>
        <w:bidi w:val="0"/>
        <w:spacing w:lineRule="auto" w:line="331" w:before="0" w:after="102"/>
        <w:jc w:val="start"/>
        <w:rPr>
          <w:b w:val="false"/>
          <w:i w:val="false"/>
          <w:vanish/>
          <w:color w:val="30445D"/>
          <w:sz w:val="22"/>
        </w:rPr>
      </w:pPr>
      <w:bookmarkStart w:id="24" w:name="wp_orbit_trade_table"/>
      <w:r>
        <w:rPr>
          <w:b w:val="false"/>
          <w:i w:val="false"/>
          <w:vanish/>
          <w:color w:val="30445D"/>
          <w:sz w:val="22"/>
        </w:rPr>
        <w:t>⁠</w:t>
      </w:r>
      <w:bookmarkEnd w:id="24"/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45"/>
        <w:gridCol w:w="4388"/>
        <w:gridCol w:w="3219"/>
      </w:tblGrid>
      <w:tr>
        <w:trPr>
          <w:tblHeader w:val="true"/>
        </w:trPr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2A03F" w:val="clear"/>
          </w:tcPr>
          <w:p>
            <w:pPr>
              <w:pStyle w:val="Style16"/>
              <w:bidi w:val="0"/>
              <w:spacing w:before="51" w:after="51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设计目标</w:t>
            </w:r>
          </w:p>
        </w:tc>
        <w:tc>
          <w:tcPr>
            <w:tcW w:w="4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2A03F" w:val="clear"/>
          </w:tcPr>
          <w:p>
            <w:pPr>
              <w:pStyle w:val="Style16"/>
              <w:bidi w:val="0"/>
              <w:spacing w:before="51" w:after="51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eastAsia="Microsoft YaHei"/>
                <w:b/>
                <w:color w:val="FFFFFF"/>
                <w:sz w:val="18"/>
              </w:rPr>
              <w:t xml:space="preserve">L2 </w:t>
            </w:r>
            <w:r>
              <w:rPr>
                <w:rFonts w:ascii="Microsoft YaHei" w:hAnsi="Microsoft YaHei"/>
                <w:color w:val="FFFFFF"/>
              </w:rPr>
              <w:t>架构的响应</w:t>
            </w:r>
          </w:p>
        </w:tc>
        <w:tc>
          <w:tcPr>
            <w:tcW w:w="3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2A03F" w:val="clear"/>
          </w:tcPr>
          <w:p>
            <w:pPr>
              <w:pStyle w:val="Style16"/>
              <w:bidi w:val="0"/>
              <w:spacing w:before="51" w:after="51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代价</w:t>
            </w:r>
          </w:p>
        </w:tc>
      </w:tr>
      <w:tr>
        <w:trPr/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shd w:fill="F0EAD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稳定热环境</w:t>
            </w:r>
          </w:p>
        </w:tc>
        <w:tc>
          <w:tcPr>
            <w:tcW w:w="4388" w:type="dxa"/>
            <w:tcBorders>
              <w:start w:val="single" w:sz="4" w:space="0" w:color="000000"/>
              <w:bottom w:val="single" w:sz="4" w:space="0" w:color="000000"/>
            </w:tcBorders>
            <w:shd w:fill="F0EAD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遮阳板长期朝向太阳与地球</w:t>
            </w:r>
          </w:p>
        </w:tc>
        <w:tc>
          <w:tcPr>
            <w:tcW w:w="32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EAD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姿态窗口与热控纪律更严格</w:t>
            </w:r>
          </w:p>
        </w:tc>
      </w:tr>
      <w:tr>
        <w:trPr/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连续观测</w:t>
            </w:r>
          </w:p>
        </w:tc>
        <w:tc>
          <w:tcPr>
            <w:tcW w:w="438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减少低轨周期性的地球遮挡</w:t>
            </w:r>
          </w:p>
        </w:tc>
        <w:tc>
          <w:tcPr>
            <w:tcW w:w="32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无法像近地轨道任务那样维修</w:t>
            </w:r>
          </w:p>
        </w:tc>
      </w:tr>
      <w:tr>
        <w:trPr/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shd w:fill="F0EAD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通信可达</w:t>
            </w:r>
          </w:p>
        </w:tc>
        <w:tc>
          <w:tcPr>
            <w:tcW w:w="4388" w:type="dxa"/>
            <w:tcBorders>
              <w:start w:val="single" w:sz="4" w:space="0" w:color="000000"/>
              <w:bottom w:val="single" w:sz="4" w:space="0" w:color="000000"/>
            </w:tcBorders>
            <w:shd w:fill="F0EAD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深空网络定期接收科学数据</w:t>
            </w:r>
          </w:p>
        </w:tc>
        <w:tc>
          <w:tcPr>
            <w:tcW w:w="32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EAD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带宽、排程和链路预算受限</w:t>
            </w:r>
          </w:p>
        </w:tc>
      </w:tr>
      <w:tr>
        <w:trPr/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轨道维持</w:t>
            </w:r>
          </w:p>
        </w:tc>
        <w:tc>
          <w:tcPr>
            <w:tcW w:w="438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 xml:space="preserve">绕 </w:t>
            </w:r>
            <w:r>
              <w:rPr>
                <w:rFonts w:eastAsia="Microsoft YaHei"/>
                <w:color w:val="30445D"/>
                <w:sz w:val="18"/>
              </w:rPr>
              <w:t xml:space="preserve">L2 </w:t>
            </w:r>
            <w:r>
              <w:rPr>
                <w:rFonts w:ascii="Microsoft YaHei" w:hAnsi="Microsoft YaHei"/>
                <w:color w:val="30445D"/>
              </w:rPr>
              <w:t>的晕轨道保持几何关系</w:t>
            </w:r>
          </w:p>
        </w:tc>
        <w:tc>
          <w:tcPr>
            <w:tcW w:w="32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需要推进剂与精确导航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spacing w:lineRule="auto" w:line="331" w:before="0" w:after="102"/>
        <w:jc w:val="start"/>
        <w:rPr>
          <w:b w:val="false"/>
          <w:i w:val="false"/>
          <w:vanish w:val="false"/>
          <w:color w:val="30445D"/>
          <w:sz w:val="22"/>
        </w:rPr>
      </w:pPr>
      <w:r>
        <w:rPr>
          <w:b w:val="false"/>
          <w:i w:val="false"/>
          <w:vanish w:val="false"/>
          <w:color w:val="30445D"/>
          <w:sz w:val="22"/>
        </w:rPr>
      </w:r>
    </w:p>
    <w:p>
      <w:pPr>
        <w:pStyle w:val="BodyText"/>
        <w:numPr>
          <w:ilvl w:val="0"/>
          <w:numId w:val="0"/>
        </w:numPr>
        <w:bidi w:val="0"/>
        <w:spacing w:lineRule="auto" w:line="331" w:before="0" w:after="57"/>
        <w:jc w:val="center"/>
        <w:rPr>
          <w:b w:val="false"/>
          <w:i w:val="false"/>
          <w:vanish w:val="false"/>
          <w:color w:val="30445D"/>
          <w:sz w:val="22"/>
        </w:rPr>
      </w:pPr>
      <w:r>
        <w:rPr>
          <w:b w:val="false"/>
          <w:i w:val="false"/>
          <w:vanish w:val="false"/>
          <w:color w:val="30445D"/>
          <w:sz w:val="22"/>
        </w:rPr>
        <w:drawing>
          <wp:inline distT="0" distB="0" distL="0" distR="0">
            <wp:extent cx="5687695" cy="3088005"/>
            <wp:effectExtent l="0" t="0" r="0" b="0"/>
            <wp:docPr id="3" name="wp_orbit_image_after_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p_orbit_image_after_tab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695" cy="3088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spacing w:lineRule="auto" w:line="312" w:before="0" w:after="0"/>
        <w:jc w:val="center"/>
        <w:rPr>
          <w:b w:val="false"/>
          <w:i/>
          <w:vanish w:val="false"/>
          <w:color w:val="6F7D91"/>
          <w:sz w:val="18"/>
        </w:rPr>
      </w:pPr>
      <w:bookmarkStart w:id="25" w:name="wp_orbit_caption"/>
      <w:r>
        <w:rPr>
          <w:vanish w:val="false"/>
          <w:color w:val="6F7D91"/>
        </w:rPr>
        <w:t xml:space="preserve">表格后的 </w:t>
      </w:r>
      <w:r>
        <w:rPr>
          <w:b w:val="false"/>
          <w:i/>
          <w:vanish w:val="false"/>
          <w:color w:val="6F7D91"/>
          <w:sz w:val="18"/>
        </w:rPr>
        <w:t xml:space="preserve">SVG </w:t>
      </w:r>
      <w:r>
        <w:rPr>
          <w:vanish w:val="false"/>
          <w:color w:val="6F7D91"/>
        </w:rPr>
        <w:t>必须保持独立流式段落，不得与表格最后一行叠在一起或压缩成单行高度。</w:t>
      </w:r>
      <w:bookmarkEnd w:id="25"/>
      <w:r>
        <w:br w:type="page"/>
      </w:r>
    </w:p>
    <w:p>
      <w:pPr>
        <w:pStyle w:val="Normal"/>
        <w:bidi w:val="0"/>
        <w:spacing w:before="0" w:after="0"/>
        <w:jc w:val="start"/>
        <w:rPr>
          <w:vanish/>
        </w:rPr>
      </w:pPr>
      <w:bookmarkStart w:id="26" w:name="wp_break_instruments"/>
      <w:r>
        <w:rPr>
          <w:vanish/>
        </w:rPr>
        <w:t>⁠</w:t>
      </w:r>
      <w:bookmarkEnd w:id="26"/>
    </w:p>
    <w:p>
      <w:pPr>
        <w:pStyle w:val="Normal"/>
        <w:pageBreakBefore w:val="false"/>
        <w:numPr>
          <w:ilvl w:val="0"/>
          <w:numId w:val="0"/>
        </w:numPr>
        <w:bidi w:val="0"/>
        <w:spacing w:lineRule="auto" w:line="312" w:before="0" w:after="34"/>
        <w:jc w:val="start"/>
        <w:rPr>
          <w:b/>
          <w:i w:val="false"/>
          <w:vanish w:val="false"/>
          <w:color w:val="D2A03F"/>
          <w:sz w:val="19"/>
        </w:rPr>
      </w:pPr>
      <w:bookmarkStart w:id="27" w:name="wp_instruments_eyebrow"/>
      <w:r>
        <w:rPr>
          <w:b/>
          <w:i w:val="false"/>
          <w:vanish w:val="false"/>
          <w:color w:val="D2A03F"/>
          <w:sz w:val="19"/>
        </w:rPr>
        <w:t>NATIVE TABLE + SVG COLUMNS</w:t>
      </w:r>
      <w:bookmarkEnd w:id="27"/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17324D"/>
          <w:sz w:val="48"/>
        </w:rPr>
      </w:pPr>
      <w:bookmarkStart w:id="28" w:name="wp_instruments_title"/>
      <w:r>
        <w:rPr>
          <w:color w:val="17324D"/>
        </w:rPr>
        <w:t>四台科学仪器如何协同</w:t>
      </w:r>
      <w:bookmarkEnd w:id="28"/>
    </w:p>
    <w:p>
      <w:pPr>
        <w:pStyle w:val="BodyText"/>
        <w:numPr>
          <w:ilvl w:val="0"/>
          <w:numId w:val="0"/>
        </w:numPr>
        <w:bidi w:val="0"/>
        <w:spacing w:lineRule="auto" w:line="331" w:before="0" w:after="102"/>
        <w:jc w:val="start"/>
        <w:rPr>
          <w:b w:val="false"/>
          <w:i w:val="false"/>
          <w:vanish w:val="false"/>
          <w:color w:val="30445D"/>
          <w:sz w:val="22"/>
        </w:rPr>
      </w:pPr>
      <w:bookmarkStart w:id="29" w:name="wp_instruments_intro"/>
      <w:r>
        <w:rPr>
          <w:vanish w:val="false"/>
          <w:color w:val="30445D"/>
        </w:rPr>
        <w:t>不同仪器以波段、视场、分辨率和工作模式互补。同一个科学问题通常需要先成像定位，再用光谱确认成分，并通过精密制导保持观测稳定。</w:t>
      </w:r>
      <w:bookmarkEnd w:id="29"/>
    </w:p>
    <w:p>
      <w:pPr>
        <w:pStyle w:val="BodyText"/>
        <w:numPr>
          <w:ilvl w:val="0"/>
          <w:numId w:val="0"/>
        </w:numPr>
        <w:bidi w:val="0"/>
        <w:spacing w:lineRule="auto" w:line="331" w:before="0" w:after="102"/>
        <w:jc w:val="start"/>
        <w:rPr>
          <w:b w:val="false"/>
          <w:i w:val="false"/>
          <w:vanish/>
          <w:color w:val="30445D"/>
          <w:sz w:val="22"/>
        </w:rPr>
      </w:pPr>
      <w:bookmarkStart w:id="30" w:name="wp_instruments_matrix_table"/>
      <w:r>
        <w:rPr>
          <w:b w:val="false"/>
          <w:i w:val="false"/>
          <w:vanish/>
          <w:color w:val="30445D"/>
          <w:sz w:val="22"/>
        </w:rPr>
        <w:t>⁠</w:t>
      </w:r>
      <w:bookmarkEnd w:id="30"/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852"/>
        <w:gridCol w:w="3121"/>
        <w:gridCol w:w="3608"/>
        <w:gridCol w:w="1171"/>
      </w:tblGrid>
      <w:tr>
        <w:trPr>
          <w:tblHeader w:val="true"/>
        </w:trPr>
        <w:tc>
          <w:tcPr>
            <w:tcW w:w="1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9166B5" w:val="clear"/>
          </w:tcPr>
          <w:p>
            <w:pPr>
              <w:pStyle w:val="Style16"/>
              <w:bidi w:val="0"/>
              <w:spacing w:before="51" w:after="51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仪器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9166B5" w:val="clear"/>
          </w:tcPr>
          <w:p>
            <w:pPr>
              <w:pStyle w:val="Style16"/>
              <w:bidi w:val="0"/>
              <w:spacing w:before="51" w:after="51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主要能力</w:t>
            </w:r>
          </w:p>
        </w:tc>
        <w:tc>
          <w:tcPr>
            <w:tcW w:w="3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9166B5" w:val="clear"/>
          </w:tcPr>
          <w:p>
            <w:pPr>
              <w:pStyle w:val="Style16"/>
              <w:bidi w:val="0"/>
              <w:spacing w:before="51" w:after="51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典型问题</w:t>
            </w:r>
          </w:p>
        </w:tc>
        <w:tc>
          <w:tcPr>
            <w:tcW w:w="1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166B5" w:val="clear"/>
          </w:tcPr>
          <w:p>
            <w:pPr>
              <w:pStyle w:val="Style16"/>
              <w:bidi w:val="0"/>
              <w:spacing w:before="51" w:after="51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展示指数</w:t>
            </w:r>
          </w:p>
        </w:tc>
      </w:tr>
      <w:tr>
        <w:trPr/>
        <w:tc>
          <w:tcPr>
            <w:tcW w:w="1852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eastAsia="Microsoft YaHei"/>
                <w:color w:val="30445D"/>
                <w:sz w:val="18"/>
              </w:rPr>
              <w:t>NIRCam</w:t>
            </w:r>
          </w:p>
        </w:tc>
        <w:tc>
          <w:tcPr>
            <w:tcW w:w="3121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近红外成像与日冕遮挡</w:t>
            </w:r>
          </w:p>
        </w:tc>
        <w:tc>
          <w:tcPr>
            <w:tcW w:w="3608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早期星系、恒星形成与系外行星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eastAsia="Microsoft YaHei"/>
                <w:color w:val="30445D"/>
                <w:sz w:val="18"/>
              </w:rPr>
              <w:t>82</w:t>
            </w:r>
          </w:p>
        </w:tc>
      </w:tr>
      <w:tr>
        <w:trPr/>
        <w:tc>
          <w:tcPr>
            <w:tcW w:w="185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eastAsia="Microsoft YaHei"/>
                <w:color w:val="30445D"/>
                <w:sz w:val="18"/>
              </w:rPr>
              <w:t>NIRSpec</w:t>
            </w:r>
          </w:p>
        </w:tc>
        <w:tc>
          <w:tcPr>
            <w:tcW w:w="3121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多目标近红外光谱</w:t>
            </w:r>
          </w:p>
        </w:tc>
        <w:tc>
          <w:tcPr>
            <w:tcW w:w="360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同时分析多个微弱目标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eastAsia="Microsoft YaHei"/>
                <w:color w:val="30445D"/>
                <w:sz w:val="18"/>
              </w:rPr>
              <w:t>74</w:t>
            </w:r>
          </w:p>
        </w:tc>
      </w:tr>
      <w:tr>
        <w:trPr/>
        <w:tc>
          <w:tcPr>
            <w:tcW w:w="1852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eastAsia="Microsoft YaHei"/>
                <w:color w:val="30445D"/>
                <w:sz w:val="18"/>
              </w:rPr>
              <w:t>MIRI</w:t>
            </w:r>
          </w:p>
        </w:tc>
        <w:tc>
          <w:tcPr>
            <w:tcW w:w="3121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中红外成像与光谱</w:t>
            </w:r>
          </w:p>
        </w:tc>
        <w:tc>
          <w:tcPr>
            <w:tcW w:w="3608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尘埃、冷天体和高红移对象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eastAsia="Microsoft YaHei"/>
                <w:color w:val="30445D"/>
                <w:sz w:val="18"/>
              </w:rPr>
              <w:t>91</w:t>
            </w:r>
          </w:p>
        </w:tc>
      </w:tr>
      <w:tr>
        <w:trPr/>
        <w:tc>
          <w:tcPr>
            <w:tcW w:w="1852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eastAsia="Microsoft YaHei"/>
                <w:color w:val="30445D"/>
                <w:sz w:val="18"/>
              </w:rPr>
              <w:t>FGS/NIRISS</w:t>
            </w:r>
          </w:p>
        </w:tc>
        <w:tc>
          <w:tcPr>
            <w:tcW w:w="3121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精密制导、成像与无缝光谱</w:t>
            </w:r>
          </w:p>
        </w:tc>
        <w:tc>
          <w:tcPr>
            <w:tcW w:w="3608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系外行星凌日与稳定指向</w:t>
            </w:r>
          </w:p>
        </w:tc>
        <w:tc>
          <w:tcPr>
            <w:tcW w:w="11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eastAsia="Microsoft YaHei"/>
                <w:color w:val="30445D"/>
                <w:sz w:val="18"/>
              </w:rPr>
              <w:t>68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spacing w:lineRule="auto" w:line="331" w:before="0" w:after="102"/>
        <w:jc w:val="start"/>
        <w:rPr>
          <w:b w:val="false"/>
          <w:i w:val="false"/>
          <w:vanish w:val="false"/>
          <w:color w:val="30445D"/>
          <w:sz w:val="22"/>
        </w:rPr>
      </w:pPr>
      <w:r>
        <w:rPr>
          <w:b w:val="false"/>
          <w:i w:val="false"/>
          <w:vanish w:val="false"/>
          <w:color w:val="30445D"/>
          <w:sz w:val="22"/>
        </w:rPr>
      </w:r>
    </w:p>
    <w:p>
      <w:pPr>
        <w:pStyle w:val="BodyText"/>
        <w:numPr>
          <w:ilvl w:val="0"/>
          <w:numId w:val="0"/>
        </w:numPr>
        <w:bidi w:val="0"/>
        <w:spacing w:lineRule="auto" w:line="331" w:before="0" w:after="51"/>
        <w:jc w:val="center"/>
        <w:rPr>
          <w:b w:val="false"/>
          <w:i w:val="false"/>
          <w:vanish w:val="false"/>
          <w:color w:val="30445D"/>
          <w:sz w:val="22"/>
        </w:rPr>
      </w:pPr>
      <w:r>
        <w:rPr>
          <w:b w:val="false"/>
          <w:i w:val="false"/>
          <w:vanish w:val="false"/>
          <w:color w:val="30445D"/>
          <w:sz w:val="22"/>
        </w:rPr>
        <w:drawing>
          <wp:inline distT="0" distB="0" distL="0" distR="0">
            <wp:extent cx="5507990" cy="2753995"/>
            <wp:effectExtent l="0" t="0" r="0" b="0"/>
            <wp:docPr id="4" name="wp_instruments_bar_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p_instruments_bar_char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990" cy="2753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spacing w:lineRule="auto" w:line="312" w:before="0" w:after="0"/>
        <w:jc w:val="center"/>
        <w:rPr>
          <w:b w:val="false"/>
          <w:i/>
          <w:vanish w:val="false"/>
          <w:color w:val="6F7D91"/>
          <w:sz w:val="18"/>
        </w:rPr>
      </w:pPr>
      <w:bookmarkStart w:id="31" w:name="wp_instruments_bar_caption"/>
      <w:r>
        <w:rPr>
          <w:vanish w:val="false"/>
          <w:color w:val="6F7D91"/>
        </w:rPr>
        <w:t>指数仅为功能展示，不能解释为仪器性能排名。</w:t>
      </w:r>
      <w:bookmarkEnd w:id="31"/>
      <w:r>
        <w:br w:type="page"/>
      </w:r>
    </w:p>
    <w:p>
      <w:pPr>
        <w:pStyle w:val="Normal"/>
        <w:bidi w:val="0"/>
        <w:spacing w:before="0" w:after="0"/>
        <w:jc w:val="start"/>
        <w:rPr>
          <w:vanish/>
        </w:rPr>
      </w:pPr>
      <w:bookmarkStart w:id="32" w:name="wp_break_spectroscopy"/>
      <w:r>
        <w:rPr>
          <w:vanish/>
        </w:rPr>
        <w:t>⁠</w:t>
      </w:r>
      <w:bookmarkEnd w:id="32"/>
    </w:p>
    <w:p>
      <w:pPr>
        <w:pStyle w:val="Normal"/>
        <w:pageBreakBefore w:val="false"/>
        <w:numPr>
          <w:ilvl w:val="0"/>
          <w:numId w:val="0"/>
        </w:numPr>
        <w:bidi w:val="0"/>
        <w:spacing w:lineRule="auto" w:line="312" w:before="0" w:after="34"/>
        <w:jc w:val="start"/>
        <w:rPr>
          <w:b/>
          <w:i w:val="false"/>
          <w:vanish w:val="false"/>
          <w:color w:val="D2A03F"/>
          <w:sz w:val="19"/>
        </w:rPr>
      </w:pPr>
      <w:bookmarkStart w:id="33" w:name="wp_spectroscopy_eyebrow"/>
      <w:r>
        <w:rPr>
          <w:b/>
          <w:i w:val="false"/>
          <w:vanish w:val="false"/>
          <w:color w:val="D2A03F"/>
          <w:sz w:val="19"/>
        </w:rPr>
        <w:t>SPECTRUM + EVIDENCE TABLE</w:t>
      </w:r>
      <w:bookmarkEnd w:id="33"/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17324D"/>
          <w:sz w:val="48"/>
        </w:rPr>
      </w:pPr>
      <w:bookmarkStart w:id="34" w:name="wp_spectroscopy_title"/>
      <w:r>
        <w:rPr>
          <w:color w:val="17324D"/>
        </w:rPr>
        <w:t>光谱如何“读取”行星大气</w:t>
      </w:r>
      <w:bookmarkEnd w:id="34"/>
    </w:p>
    <w:p>
      <w:pPr>
        <w:pStyle w:val="BodyText"/>
        <w:numPr>
          <w:ilvl w:val="0"/>
          <w:numId w:val="0"/>
        </w:numPr>
        <w:bidi w:val="0"/>
        <w:spacing w:lineRule="auto" w:line="331" w:before="0" w:after="102"/>
        <w:jc w:val="start"/>
        <w:rPr>
          <w:b w:val="false"/>
          <w:i w:val="false"/>
          <w:vanish w:val="false"/>
          <w:color w:val="30445D"/>
          <w:sz w:val="22"/>
        </w:rPr>
      </w:pPr>
      <w:bookmarkStart w:id="35" w:name="wp_spectroscopy_intro"/>
      <w:r>
        <w:rPr>
          <w:vanish w:val="false"/>
          <w:color w:val="30445D"/>
        </w:rPr>
        <w:t>当星光穿过行星大气，不同分子会在特定波长留下吸收特征。可靠结论来自多波段联合反演、仪器系统误差建模和替代解释比较，而不是只看一条漂亮曲线。</w:t>
      </w:r>
      <w:bookmarkEnd w:id="35"/>
    </w:p>
    <w:p>
      <w:pPr>
        <w:pStyle w:val="BodyText"/>
        <w:numPr>
          <w:ilvl w:val="0"/>
          <w:numId w:val="0"/>
        </w:numPr>
        <w:bidi w:val="0"/>
        <w:spacing w:lineRule="auto" w:line="331" w:before="0" w:after="85"/>
        <w:jc w:val="center"/>
        <w:rPr>
          <w:b w:val="false"/>
          <w:i w:val="false"/>
          <w:vanish w:val="false"/>
          <w:color w:val="30445D"/>
          <w:sz w:val="22"/>
        </w:rPr>
      </w:pPr>
      <w:r>
        <w:rPr>
          <w:b w:val="false"/>
          <w:i w:val="false"/>
          <w:vanish w:val="false"/>
          <w:color w:val="30445D"/>
          <w:sz w:val="22"/>
        </w:rPr>
        <w:drawing>
          <wp:inline distT="0" distB="0" distL="0" distR="0">
            <wp:extent cx="5904230" cy="3204845"/>
            <wp:effectExtent l="0" t="0" r="0" b="0"/>
            <wp:docPr id="5" name="wp_spectroscopy_spect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p_spectroscopy_spectru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204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spacing w:lineRule="auto" w:line="331" w:before="0" w:after="85"/>
        <w:jc w:val="center"/>
        <w:rPr>
          <w:b w:val="false"/>
          <w:i w:val="false"/>
          <w:vanish/>
          <w:color w:val="30445D"/>
          <w:sz w:val="22"/>
        </w:rPr>
      </w:pPr>
      <w:bookmarkStart w:id="36" w:name="wp_spectroscopy_evidence_table"/>
      <w:r>
        <w:rPr>
          <w:b w:val="false"/>
          <w:i w:val="false"/>
          <w:vanish/>
          <w:color w:val="30445D"/>
          <w:sz w:val="22"/>
        </w:rPr>
        <w:t>⁠</w:t>
      </w:r>
      <w:bookmarkEnd w:id="36"/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45"/>
        <w:gridCol w:w="4096"/>
        <w:gridCol w:w="3511"/>
      </w:tblGrid>
      <w:tr>
        <w:trPr>
          <w:tblHeader w:val="true"/>
        </w:trPr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F7782" w:val="clear"/>
          </w:tcPr>
          <w:p>
            <w:pPr>
              <w:pStyle w:val="Style16"/>
              <w:bidi w:val="0"/>
              <w:spacing w:before="51" w:after="51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证据层</w:t>
            </w:r>
          </w:p>
        </w:tc>
        <w:tc>
          <w:tcPr>
            <w:tcW w:w="4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F7782" w:val="clear"/>
          </w:tcPr>
          <w:p>
            <w:pPr>
              <w:pStyle w:val="Style16"/>
              <w:bidi w:val="0"/>
              <w:spacing w:before="51" w:after="51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可观察信号</w:t>
            </w:r>
          </w:p>
        </w:tc>
        <w:tc>
          <w:tcPr>
            <w:tcW w:w="3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7782" w:val="clear"/>
          </w:tcPr>
          <w:p>
            <w:pPr>
              <w:pStyle w:val="Style16"/>
              <w:bidi w:val="0"/>
              <w:spacing w:before="51" w:after="51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需要避免的误判</w:t>
            </w:r>
          </w:p>
        </w:tc>
      </w:tr>
      <w:tr>
        <w:trPr/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单个吸收峰</w:t>
            </w:r>
          </w:p>
        </w:tc>
        <w:tc>
          <w:tcPr>
            <w:tcW w:w="4096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候选分子的波长指纹</w:t>
            </w:r>
          </w:p>
        </w:tc>
        <w:tc>
          <w:tcPr>
            <w:tcW w:w="35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把噪声或恒星活动当作大气信号</w:t>
            </w:r>
          </w:p>
        </w:tc>
      </w:tr>
      <w:tr>
        <w:trPr/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多个波段</w:t>
            </w:r>
          </w:p>
        </w:tc>
        <w:tc>
          <w:tcPr>
            <w:tcW w:w="409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不同仪器与观测模式的一致性</w:t>
            </w:r>
          </w:p>
        </w:tc>
        <w:tc>
          <w:tcPr>
            <w:tcW w:w="35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只选择支持预期的波段</w:t>
            </w:r>
          </w:p>
        </w:tc>
      </w:tr>
      <w:tr>
        <w:trPr/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联合模型</w:t>
            </w:r>
          </w:p>
        </w:tc>
        <w:tc>
          <w:tcPr>
            <w:tcW w:w="4096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温度、云层和成分的后验分布</w:t>
            </w:r>
          </w:p>
        </w:tc>
        <w:tc>
          <w:tcPr>
            <w:tcW w:w="35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把模型输出写成直接测量</w:t>
            </w:r>
          </w:p>
        </w:tc>
      </w:tr>
      <w:tr>
        <w:trPr/>
        <w:tc>
          <w:tcPr>
            <w:tcW w:w="2145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复核观测</w:t>
            </w:r>
          </w:p>
        </w:tc>
        <w:tc>
          <w:tcPr>
            <w:tcW w:w="409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跨时间与跨团队重复结果</w:t>
            </w:r>
          </w:p>
        </w:tc>
        <w:tc>
          <w:tcPr>
            <w:tcW w:w="35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忽略校准版本和系统误差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spacing w:lineRule="auto" w:line="331" w:before="0" w:after="85"/>
        <w:jc w:val="center"/>
        <w:rPr>
          <w:b w:val="false"/>
          <w:i w:val="false"/>
          <w:vanish w:val="false"/>
          <w:color w:val="30445D"/>
          <w:sz w:val="22"/>
        </w:rPr>
      </w:pPr>
      <w:r>
        <w:rPr>
          <w:b w:val="false"/>
          <w:i w:val="false"/>
          <w:vanish w:val="false"/>
          <w:color w:val="30445D"/>
          <w:sz w:val="22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vanish/>
        </w:rPr>
      </w:pPr>
      <w:bookmarkStart w:id="37" w:name="wp_break_deployment"/>
      <w:r>
        <w:rPr>
          <w:vanish/>
        </w:rPr>
        <w:t>⁠</w:t>
      </w:r>
      <w:bookmarkEnd w:id="37"/>
    </w:p>
    <w:p>
      <w:pPr>
        <w:pStyle w:val="Normal"/>
        <w:pageBreakBefore w:val="false"/>
        <w:numPr>
          <w:ilvl w:val="0"/>
          <w:numId w:val="0"/>
        </w:numPr>
        <w:bidi w:val="0"/>
        <w:spacing w:lineRule="auto" w:line="312" w:before="0" w:after="34"/>
        <w:jc w:val="start"/>
        <w:rPr>
          <w:b/>
          <w:i w:val="false"/>
          <w:vanish w:val="false"/>
          <w:color w:val="D2A03F"/>
          <w:sz w:val="19"/>
        </w:rPr>
      </w:pPr>
      <w:bookmarkStart w:id="38" w:name="wp_deployment_eyebrow"/>
      <w:r>
        <w:rPr>
          <w:b/>
          <w:i w:val="false"/>
          <w:vanish w:val="false"/>
          <w:color w:val="D2A03F"/>
          <w:sz w:val="19"/>
        </w:rPr>
        <w:t>DONUT + RISK REGISTER</w:t>
      </w:r>
      <w:bookmarkEnd w:id="38"/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17324D"/>
          <w:sz w:val="48"/>
        </w:rPr>
      </w:pPr>
      <w:bookmarkStart w:id="39" w:name="wp_deployment_title"/>
      <w:r>
        <w:rPr>
          <w:color w:val="17324D"/>
        </w:rPr>
        <w:t>折叠、展开与在轨校准</w:t>
      </w:r>
      <w:bookmarkEnd w:id="39"/>
    </w:p>
    <w:p>
      <w:pPr>
        <w:pStyle w:val="BodyText"/>
        <w:numPr>
          <w:ilvl w:val="0"/>
          <w:numId w:val="0"/>
        </w:numPr>
        <w:bidi w:val="0"/>
        <w:spacing w:lineRule="auto" w:line="331" w:before="0" w:after="102"/>
        <w:jc w:val="start"/>
        <w:rPr>
          <w:b w:val="false"/>
          <w:i w:val="false"/>
          <w:vanish w:val="false"/>
          <w:color w:val="30445D"/>
          <w:sz w:val="22"/>
        </w:rPr>
      </w:pPr>
      <w:bookmarkStart w:id="40" w:name="wp_deployment_intro"/>
      <w:r>
        <w:rPr>
          <w:vanish w:val="false"/>
          <w:color w:val="30445D"/>
        </w:rPr>
        <w:t>韦布望远镜必须折叠进火箭整流罩，再在深空中自动展开。视觉上最醒目的是主镜和遮阳板，工程上真正关键的则是每个动作都有清晰状态、传感器反馈和恢复路径。</w:t>
      </w:r>
      <w:bookmarkEnd w:id="40"/>
    </w:p>
    <w:p>
      <w:pPr>
        <w:pStyle w:val="BodyText"/>
        <w:numPr>
          <w:ilvl w:val="0"/>
          <w:numId w:val="0"/>
        </w:numPr>
        <w:bidi w:val="0"/>
        <w:spacing w:lineRule="auto" w:line="331" w:before="0" w:after="74"/>
        <w:jc w:val="center"/>
        <w:rPr>
          <w:b w:val="false"/>
          <w:i w:val="false"/>
          <w:vanish w:val="false"/>
          <w:color w:val="30445D"/>
          <w:sz w:val="22"/>
        </w:rPr>
      </w:pPr>
      <w:r>
        <w:rPr>
          <w:b w:val="false"/>
          <w:i w:val="false"/>
          <w:vanish w:val="false"/>
          <w:color w:val="30445D"/>
          <w:sz w:val="22"/>
        </w:rPr>
        <w:drawing>
          <wp:inline distT="0" distB="0" distL="0" distR="0">
            <wp:extent cx="5328285" cy="2663825"/>
            <wp:effectExtent l="0" t="0" r="0" b="0"/>
            <wp:docPr id="6" name="wp_deployment_don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p_deployment_donu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285" cy="266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spacing w:lineRule="auto" w:line="331" w:before="0" w:after="74"/>
        <w:jc w:val="center"/>
        <w:rPr>
          <w:b w:val="false"/>
          <w:i w:val="false"/>
          <w:vanish/>
          <w:color w:val="30445D"/>
          <w:sz w:val="22"/>
        </w:rPr>
      </w:pPr>
      <w:bookmarkStart w:id="41" w:name="wp_deployment_risk_table"/>
      <w:r>
        <w:rPr>
          <w:b w:val="false"/>
          <w:i w:val="false"/>
          <w:vanish/>
          <w:color w:val="30445D"/>
          <w:sz w:val="22"/>
        </w:rPr>
        <w:t>⁠</w:t>
      </w:r>
      <w:bookmarkEnd w:id="41"/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047"/>
        <w:gridCol w:w="3804"/>
        <w:gridCol w:w="3901"/>
      </w:tblGrid>
      <w:tr>
        <w:trPr>
          <w:tblHeader w:val="true"/>
        </w:trPr>
        <w:tc>
          <w:tcPr>
            <w:tcW w:w="2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B6748" w:val="clear"/>
          </w:tcPr>
          <w:p>
            <w:pPr>
              <w:pStyle w:val="Style16"/>
              <w:bidi w:val="0"/>
              <w:spacing w:before="51" w:after="51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风险域</w:t>
            </w:r>
          </w:p>
        </w:tc>
        <w:tc>
          <w:tcPr>
            <w:tcW w:w="3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B6748" w:val="clear"/>
          </w:tcPr>
          <w:p>
            <w:pPr>
              <w:pStyle w:val="Style16"/>
              <w:bidi w:val="0"/>
              <w:spacing w:before="51" w:after="51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失效模式</w:t>
            </w:r>
          </w:p>
        </w:tc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B6748" w:val="clear"/>
          </w:tcPr>
          <w:p>
            <w:pPr>
              <w:pStyle w:val="Style16"/>
              <w:bidi w:val="0"/>
              <w:spacing w:before="51" w:after="51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控制手段</w:t>
            </w:r>
          </w:p>
        </w:tc>
      </w:tr>
      <w:tr>
        <w:trPr/>
        <w:tc>
          <w:tcPr>
            <w:tcW w:w="2047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机械部署</w:t>
            </w:r>
          </w:p>
        </w:tc>
        <w:tc>
          <w:tcPr>
            <w:tcW w:w="3804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铰链、锁定或张紧不到位</w:t>
            </w:r>
          </w:p>
        </w:tc>
        <w:tc>
          <w:tcPr>
            <w:tcW w:w="39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分阶段动作、位置遥测与备用路径</w:t>
            </w:r>
          </w:p>
        </w:tc>
      </w:tr>
      <w:tr>
        <w:trPr/>
        <w:tc>
          <w:tcPr>
            <w:tcW w:w="204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热环境</w:t>
            </w:r>
          </w:p>
        </w:tc>
        <w:tc>
          <w:tcPr>
            <w:tcW w:w="380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遮阳板几何或材料状态异常</w:t>
            </w:r>
          </w:p>
        </w:tc>
        <w:tc>
          <w:tcPr>
            <w:tcW w:w="39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温度趋势、姿态约束与渐进冷却</w:t>
            </w:r>
          </w:p>
        </w:tc>
      </w:tr>
      <w:tr>
        <w:trPr/>
        <w:tc>
          <w:tcPr>
            <w:tcW w:w="2047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波前校准</w:t>
            </w:r>
          </w:p>
        </w:tc>
        <w:tc>
          <w:tcPr>
            <w:tcW w:w="3804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分段镜无法形成统一光学面</w:t>
            </w:r>
          </w:p>
        </w:tc>
        <w:tc>
          <w:tcPr>
            <w:tcW w:w="39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逐星成像、执行器闭环与模型更新</w:t>
            </w:r>
          </w:p>
        </w:tc>
      </w:tr>
      <w:tr>
        <w:trPr/>
        <w:tc>
          <w:tcPr>
            <w:tcW w:w="2047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通信</w:t>
            </w:r>
          </w:p>
        </w:tc>
        <w:tc>
          <w:tcPr>
            <w:tcW w:w="3804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数据回传或指令窗口中断</w:t>
            </w:r>
          </w:p>
        </w:tc>
        <w:tc>
          <w:tcPr>
            <w:tcW w:w="39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缓存、排程、链路冗余与安全模式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spacing w:lineRule="auto" w:line="331" w:before="0" w:after="74"/>
        <w:jc w:val="center"/>
        <w:rPr>
          <w:b w:val="false"/>
          <w:i w:val="false"/>
          <w:vanish w:val="false"/>
          <w:color w:val="30445D"/>
          <w:sz w:val="22"/>
        </w:rPr>
      </w:pPr>
      <w:r>
        <w:rPr>
          <w:b w:val="false"/>
          <w:i w:val="false"/>
          <w:vanish w:val="false"/>
          <w:color w:val="30445D"/>
          <w:sz w:val="22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vanish/>
        </w:rPr>
      </w:pPr>
      <w:bookmarkStart w:id="42" w:name="wp_break_qa"/>
      <w:r>
        <w:rPr>
          <w:vanish/>
        </w:rPr>
        <w:t>⁠</w:t>
      </w:r>
      <w:bookmarkEnd w:id="42"/>
    </w:p>
    <w:p>
      <w:pPr>
        <w:pStyle w:val="Normal"/>
        <w:pageBreakBefore w:val="false"/>
        <w:numPr>
          <w:ilvl w:val="0"/>
          <w:numId w:val="0"/>
        </w:numPr>
        <w:bidi w:val="0"/>
        <w:spacing w:lineRule="auto" w:line="312" w:before="0" w:after="34"/>
        <w:jc w:val="start"/>
        <w:rPr>
          <w:b/>
          <w:i w:val="false"/>
          <w:vanish w:val="false"/>
          <w:color w:val="D2A03F"/>
          <w:sz w:val="19"/>
        </w:rPr>
      </w:pPr>
      <w:bookmarkStart w:id="43" w:name="wp_qa_eyebrow"/>
      <w:r>
        <w:rPr>
          <w:b/>
          <w:i w:val="false"/>
          <w:vanish w:val="false"/>
          <w:color w:val="D2A03F"/>
          <w:sz w:val="19"/>
        </w:rPr>
        <w:t>SOURCES + VERIFICATION</w:t>
      </w:r>
      <w:bookmarkEnd w:id="43"/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17324D"/>
          <w:sz w:val="48"/>
        </w:rPr>
      </w:pPr>
      <w:bookmarkStart w:id="44" w:name="wp_qa_title"/>
      <w:r>
        <w:rPr>
          <w:color w:val="17324D"/>
        </w:rPr>
        <w:t>资料范围与本轮质量检查</w:t>
      </w:r>
      <w:bookmarkEnd w:id="44"/>
    </w:p>
    <w:p>
      <w:pPr>
        <w:pStyle w:val="BodyText"/>
        <w:numPr>
          <w:ilvl w:val="0"/>
          <w:numId w:val="0"/>
        </w:numPr>
        <w:bidi w:val="0"/>
        <w:spacing w:lineRule="auto" w:line="331" w:before="0" w:after="102"/>
        <w:jc w:val="start"/>
        <w:rPr>
          <w:b w:val="false"/>
          <w:i w:val="false"/>
          <w:vanish w:val="false"/>
          <w:color w:val="30445D"/>
          <w:sz w:val="22"/>
        </w:rPr>
      </w:pPr>
      <w:bookmarkStart w:id="45" w:name="wp_qa_intro"/>
      <w:r>
        <w:rPr>
          <w:vanish w:val="false"/>
          <w:color w:val="30445D"/>
        </w:rPr>
        <w:t xml:space="preserve">内容脉络参考 </w:t>
      </w:r>
      <w:r>
        <w:rPr>
          <w:b w:val="false"/>
          <w:i w:val="false"/>
          <w:vanish w:val="false"/>
          <w:color w:val="30445D"/>
          <w:sz w:val="22"/>
        </w:rPr>
        <w:t xml:space="preserve">Wikipedia </w:t>
      </w:r>
      <w:r>
        <w:rPr>
          <w:vanish w:val="false"/>
          <w:color w:val="30445D"/>
        </w:rPr>
        <w:t xml:space="preserve">的 </w:t>
      </w:r>
      <w:r>
        <w:rPr>
          <w:b w:val="false"/>
          <w:i w:val="false"/>
          <w:vanish w:val="false"/>
          <w:color w:val="30445D"/>
          <w:sz w:val="22"/>
        </w:rPr>
        <w:t xml:space="preserve">James Webb Space Telescope </w:t>
      </w:r>
      <w:r>
        <w:rPr>
          <w:vanish w:val="false"/>
          <w:color w:val="30445D"/>
        </w:rPr>
        <w:t xml:space="preserve">条目；图示和数值型图表均为本次回归测试制作，用于验证项目原生 </w:t>
      </w:r>
      <w:r>
        <w:rPr>
          <w:b w:val="false"/>
          <w:i w:val="false"/>
          <w:vanish w:val="false"/>
          <w:color w:val="30445D"/>
          <w:sz w:val="22"/>
        </w:rPr>
        <w:t xml:space="preserve">UNO </w:t>
      </w:r>
      <w:r>
        <w:rPr>
          <w:vanish w:val="false"/>
          <w:color w:val="30445D"/>
        </w:rPr>
        <w:t>文件流程，而非代替任务官方工程数据。</w:t>
      </w:r>
      <w:bookmarkEnd w:id="45"/>
    </w:p>
    <w:p>
      <w:pPr>
        <w:pStyle w:val="BodyText"/>
        <w:numPr>
          <w:ilvl w:val="0"/>
          <w:numId w:val="0"/>
        </w:numPr>
        <w:bidi w:val="0"/>
        <w:spacing w:lineRule="auto" w:line="331" w:before="0" w:after="102"/>
        <w:jc w:val="start"/>
        <w:rPr>
          <w:b w:val="false"/>
          <w:i w:val="false"/>
          <w:vanish/>
          <w:color w:val="30445D"/>
          <w:sz w:val="22"/>
        </w:rPr>
      </w:pPr>
      <w:bookmarkStart w:id="46" w:name="wp_qa_check_table"/>
      <w:r>
        <w:rPr>
          <w:b w:val="false"/>
          <w:i w:val="false"/>
          <w:vanish/>
          <w:color w:val="30445D"/>
          <w:sz w:val="22"/>
        </w:rPr>
        <w:t>⁠</w:t>
      </w:r>
      <w:bookmarkEnd w:id="46"/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50"/>
        <w:gridCol w:w="3706"/>
        <w:gridCol w:w="4096"/>
      </w:tblGrid>
      <w:tr>
        <w:trPr>
          <w:tblHeader w:val="true"/>
        </w:trPr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7324D" w:val="clear"/>
          </w:tcPr>
          <w:p>
            <w:pPr>
              <w:pStyle w:val="Style16"/>
              <w:bidi w:val="0"/>
              <w:spacing w:before="51" w:after="51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检查项</w:t>
            </w:r>
          </w:p>
        </w:tc>
        <w:tc>
          <w:tcPr>
            <w:tcW w:w="3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17324D" w:val="clear"/>
          </w:tcPr>
          <w:p>
            <w:pPr>
              <w:pStyle w:val="Style16"/>
              <w:bidi w:val="0"/>
              <w:spacing w:before="51" w:after="51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覆盖对象</w:t>
            </w:r>
          </w:p>
        </w:tc>
        <w:tc>
          <w:tcPr>
            <w:tcW w:w="4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7324D" w:val="clear"/>
          </w:tcPr>
          <w:p>
            <w:pPr>
              <w:pStyle w:val="Style16"/>
              <w:bidi w:val="0"/>
              <w:spacing w:before="51" w:after="51"/>
              <w:rPr>
                <w:rFonts w:ascii="Microsoft YaHei" w:hAnsi="Microsoft YaHei" w:eastAsia="Microsoft YaHei"/>
                <w:b/>
                <w:color w:val="FFFFFF"/>
                <w:sz w:val="18"/>
              </w:rPr>
            </w:pPr>
            <w:r>
              <w:rPr>
                <w:rFonts w:ascii="Microsoft YaHei" w:hAnsi="Microsoft YaHei"/>
                <w:color w:val="FFFFFF"/>
              </w:rPr>
              <w:t>通过标准</w:t>
            </w:r>
          </w:p>
        </w:tc>
      </w:tr>
      <w:tr>
        <w:trPr/>
        <w:tc>
          <w:tcPr>
            <w:tcW w:w="1950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保存与重开</w:t>
            </w:r>
          </w:p>
        </w:tc>
        <w:tc>
          <w:tcPr>
            <w:tcW w:w="3706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eastAsia="Microsoft YaHei"/>
                <w:color w:val="30445D"/>
                <w:sz w:val="18"/>
              </w:rPr>
              <w:t xml:space="preserve">DOCX </w:t>
            </w:r>
            <w:r>
              <w:rPr>
                <w:rFonts w:ascii="Microsoft YaHei" w:hAnsi="Microsoft YaHei"/>
                <w:color w:val="30445D"/>
              </w:rPr>
              <w:t>文本、表格、</w:t>
            </w:r>
            <w:r>
              <w:rPr>
                <w:rFonts w:eastAsia="Microsoft YaHei"/>
                <w:color w:val="30445D"/>
                <w:sz w:val="18"/>
              </w:rPr>
              <w:t xml:space="preserve">SVG </w:t>
            </w:r>
            <w:r>
              <w:rPr>
                <w:rFonts w:ascii="Microsoft YaHei" w:hAnsi="Microsoft YaHei"/>
                <w:color w:val="30445D"/>
              </w:rPr>
              <w:t>与书签</w:t>
            </w:r>
          </w:p>
        </w:tc>
        <w:tc>
          <w:tcPr>
            <w:tcW w:w="40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重开后对象仍存在，页面结构可读取</w:t>
            </w:r>
          </w:p>
        </w:tc>
      </w:tr>
      <w:tr>
        <w:trPr/>
        <w:tc>
          <w:tcPr>
            <w:tcW w:w="1950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页面几何</w:t>
            </w:r>
          </w:p>
        </w:tc>
        <w:tc>
          <w:tcPr>
            <w:tcW w:w="370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图片、表格与正文流</w:t>
            </w:r>
          </w:p>
        </w:tc>
        <w:tc>
          <w:tcPr>
            <w:tcW w:w="40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无负坐标、无超页对象、无异常单行图片</w:t>
            </w:r>
          </w:p>
        </w:tc>
      </w:tr>
      <w:tr>
        <w:trPr/>
        <w:tc>
          <w:tcPr>
            <w:tcW w:w="1950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特殊回归</w:t>
            </w:r>
          </w:p>
        </w:tc>
        <w:tc>
          <w:tcPr>
            <w:tcW w:w="3706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分页后首图、表格后图片</w:t>
            </w:r>
          </w:p>
        </w:tc>
        <w:tc>
          <w:tcPr>
            <w:tcW w:w="40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图片保持固有比例并拥有独立流式段落</w:t>
            </w:r>
          </w:p>
        </w:tc>
      </w:tr>
      <w:tr>
        <w:trPr/>
        <w:tc>
          <w:tcPr>
            <w:tcW w:w="1950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eastAsia="Microsoft YaHei"/>
                <w:color w:val="30445D"/>
                <w:sz w:val="18"/>
              </w:rPr>
              <w:t xml:space="preserve">PDF </w:t>
            </w:r>
            <w:r>
              <w:rPr>
                <w:rFonts w:ascii="Microsoft YaHei" w:hAnsi="Microsoft YaHei"/>
                <w:color w:val="30445D"/>
              </w:rPr>
              <w:t>导出</w:t>
            </w:r>
          </w:p>
        </w:tc>
        <w:tc>
          <w:tcPr>
            <w:tcW w:w="3706" w:type="dxa"/>
            <w:tcBorders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eastAsia="Microsoft YaHei"/>
                <w:color w:val="30445D"/>
                <w:sz w:val="18"/>
              </w:rPr>
              <w:t xml:space="preserve">8 </w:t>
            </w:r>
            <w:r>
              <w:rPr>
                <w:rFonts w:ascii="Microsoft YaHei" w:hAnsi="Microsoft YaHei"/>
                <w:color w:val="30445D"/>
              </w:rPr>
              <w:t>页报告全部页面</w:t>
            </w:r>
          </w:p>
        </w:tc>
        <w:tc>
          <w:tcPr>
            <w:tcW w:w="40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 xml:space="preserve">由同一 </w:t>
            </w:r>
            <w:r>
              <w:rPr>
                <w:rFonts w:eastAsia="Microsoft YaHei"/>
                <w:color w:val="30445D"/>
                <w:sz w:val="18"/>
              </w:rPr>
              <w:t xml:space="preserve">LibreOffice UNO </w:t>
            </w:r>
            <w:r>
              <w:rPr>
                <w:rFonts w:ascii="Microsoft YaHei" w:hAnsi="Microsoft YaHei"/>
                <w:color w:val="30445D"/>
              </w:rPr>
              <w:t>实例导出并逐页查看</w:t>
            </w:r>
          </w:p>
        </w:tc>
      </w:tr>
      <w:tr>
        <w:trPr/>
        <w:tc>
          <w:tcPr>
            <w:tcW w:w="1950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ascii="Microsoft YaHei" w:hAnsi="Microsoft YaHei"/>
                <w:color w:val="30445D"/>
              </w:rPr>
              <w:t>渲染器约束</w:t>
            </w:r>
          </w:p>
        </w:tc>
        <w:tc>
          <w:tcPr>
            <w:tcW w:w="3706" w:type="dxa"/>
            <w:tcBorders>
              <w:start w:val="single" w:sz="4" w:space="0" w:color="000000"/>
              <w:bottom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eastAsia="Microsoft YaHei"/>
                <w:color w:val="30445D"/>
                <w:sz w:val="18"/>
              </w:rPr>
              <w:t>PPTX</w:t>
            </w:r>
            <w:r>
              <w:rPr>
                <w:rFonts w:ascii="Microsoft YaHei" w:hAnsi="Microsoft YaHei"/>
                <w:color w:val="30445D"/>
              </w:rPr>
              <w:t>、</w:t>
            </w:r>
            <w:r>
              <w:rPr>
                <w:rFonts w:eastAsia="Microsoft YaHei"/>
                <w:color w:val="30445D"/>
                <w:sz w:val="18"/>
              </w:rPr>
              <w:t xml:space="preserve">DOCX </w:t>
            </w:r>
            <w:r>
              <w:rPr>
                <w:rFonts w:ascii="Microsoft YaHei" w:hAnsi="Microsoft YaHei"/>
                <w:color w:val="30445D"/>
              </w:rPr>
              <w:t xml:space="preserve">与两个 </w:t>
            </w:r>
            <w:r>
              <w:rPr>
                <w:rFonts w:eastAsia="Microsoft YaHei"/>
                <w:color w:val="30445D"/>
                <w:sz w:val="18"/>
              </w:rPr>
              <w:t>PDF</w:t>
            </w:r>
          </w:p>
        </w:tc>
        <w:tc>
          <w:tcPr>
            <w:tcW w:w="40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F4F6" w:val="clear"/>
          </w:tcPr>
          <w:p>
            <w:pPr>
              <w:pStyle w:val="Style15"/>
              <w:bidi w:val="0"/>
              <w:spacing w:before="51" w:after="51"/>
              <w:jc w:val="start"/>
              <w:rPr>
                <w:rFonts w:ascii="Microsoft YaHei" w:hAnsi="Microsoft YaHei" w:eastAsia="Microsoft YaHei"/>
                <w:color w:val="30445D"/>
                <w:sz w:val="18"/>
              </w:rPr>
            </w:pPr>
            <w:r>
              <w:rPr>
                <w:rFonts w:eastAsia="Microsoft YaHei"/>
                <w:color w:val="30445D"/>
                <w:sz w:val="18"/>
              </w:rPr>
              <w:t>renderer = libreoffice-uno</w:t>
            </w:r>
            <w:r>
              <w:rPr>
                <w:rFonts w:ascii="Microsoft YaHei" w:hAnsi="Microsoft YaHei"/>
                <w:color w:val="30445D"/>
              </w:rPr>
              <w:t xml:space="preserve">；不调用 </w:t>
            </w:r>
            <w:r>
              <w:rPr>
                <w:rFonts w:eastAsia="Microsoft YaHei"/>
                <w:color w:val="30445D"/>
                <w:sz w:val="18"/>
              </w:rPr>
              <w:t>Microsoft Office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spacing w:lineRule="auto" w:line="331" w:before="0" w:after="102"/>
        <w:jc w:val="start"/>
        <w:rPr>
          <w:b w:val="false"/>
          <w:i w:val="false"/>
          <w:vanish w:val="false"/>
          <w:color w:val="30445D"/>
          <w:sz w:val="22"/>
        </w:rPr>
      </w:pPr>
      <w:r>
        <w:rPr>
          <w:b w:val="false"/>
          <w:i w:val="false"/>
          <w:vanish w:val="false"/>
          <w:color w:val="30445D"/>
          <w:sz w:val="22"/>
        </w:rPr>
      </w:r>
    </w:p>
    <w:p>
      <w:pPr>
        <w:pStyle w:val="Heading2"/>
        <w:bidi w:val="0"/>
        <w:spacing w:lineRule="auto" w:line="274" w:before="125" w:after="102"/>
        <w:ind w:hanging="0" w:start="0"/>
        <w:jc w:val="start"/>
        <w:rPr>
          <w:b/>
          <w:i w:val="false"/>
          <w:color w:val="1F7782"/>
          <w:sz w:val="36"/>
        </w:rPr>
      </w:pPr>
      <w:bookmarkStart w:id="47" w:name="wp_qa_features_title"/>
      <w:r>
        <w:rPr>
          <w:color w:val="1F7782"/>
        </w:rPr>
        <w:t xml:space="preserve">本报告展示的 </w:t>
      </w:r>
      <w:r>
        <w:rPr>
          <w:b/>
          <w:i w:val="false"/>
          <w:color w:val="1F7782"/>
          <w:sz w:val="36"/>
        </w:rPr>
        <w:t xml:space="preserve">UNO </w:t>
      </w:r>
      <w:r>
        <w:rPr>
          <w:color w:val="1F7782"/>
        </w:rPr>
        <w:t>特性</w:t>
      </w:r>
      <w:bookmarkEnd w:id="47"/>
    </w:p>
    <w:p>
      <w:pPr>
        <w:pStyle w:val="BodyText"/>
        <w:numPr>
          <w:ilvl w:val="0"/>
          <w:numId w:val="2"/>
        </w:numPr>
        <w:bidi w:val="0"/>
        <w:spacing w:lineRule="auto" w:line="274" w:before="125" w:after="45"/>
        <w:jc w:val="start"/>
        <w:rPr>
          <w:b/>
          <w:i w:val="false"/>
          <w:vanish w:val="false"/>
          <w:color w:val="30445D"/>
          <w:sz w:val="20"/>
        </w:rPr>
      </w:pPr>
      <w:bookmarkStart w:id="48" w:name="wp_qa_features_1"/>
      <w:r>
        <w:rPr>
          <w:b/>
          <w:i w:val="false"/>
          <w:vanish w:val="false"/>
          <w:color w:val="30445D"/>
          <w:sz w:val="20"/>
        </w:rPr>
        <w:t xml:space="preserve">A4 </w:t>
      </w:r>
      <w:r>
        <w:rPr>
          <w:vanish w:val="false"/>
          <w:color w:val="30445D"/>
        </w:rPr>
        <w:t>页面、页边距、页眉页脚、标题层级、段落样式与分页控制。</w:t>
      </w:r>
      <w:bookmarkEnd w:id="48"/>
    </w:p>
    <w:p>
      <w:pPr>
        <w:pStyle w:val="BodyText"/>
        <w:numPr>
          <w:ilvl w:val="0"/>
          <w:numId w:val="2"/>
        </w:numPr>
        <w:bidi w:val="0"/>
        <w:spacing w:lineRule="auto" w:line="274" w:before="125" w:after="45"/>
        <w:jc w:val="start"/>
        <w:rPr>
          <w:b/>
          <w:i w:val="false"/>
          <w:vanish w:val="false"/>
          <w:color w:val="30445D"/>
          <w:sz w:val="20"/>
        </w:rPr>
      </w:pPr>
      <w:bookmarkStart w:id="49" w:name="wp_qa_features_2"/>
      <w:r>
        <w:rPr>
          <w:b/>
          <w:i w:val="false"/>
          <w:vanish w:val="false"/>
          <w:color w:val="30445D"/>
          <w:sz w:val="20"/>
        </w:rPr>
        <w:t xml:space="preserve">7 </w:t>
      </w:r>
      <w:r>
        <w:rPr>
          <w:vanish w:val="false"/>
          <w:color w:val="30445D"/>
        </w:rPr>
        <w:t xml:space="preserve">张原生 </w:t>
      </w:r>
      <w:r>
        <w:rPr>
          <w:b/>
          <w:i w:val="false"/>
          <w:vanish w:val="false"/>
          <w:color w:val="30445D"/>
          <w:sz w:val="20"/>
        </w:rPr>
        <w:t xml:space="preserve">Writer </w:t>
      </w:r>
      <w:r>
        <w:rPr>
          <w:vanish w:val="false"/>
          <w:color w:val="30445D"/>
        </w:rPr>
        <w:t>表格，包含表头、交替底色、列宽与字体样式。</w:t>
      </w:r>
      <w:bookmarkEnd w:id="49"/>
    </w:p>
    <w:p>
      <w:pPr>
        <w:pStyle w:val="BodyText"/>
        <w:numPr>
          <w:ilvl w:val="0"/>
          <w:numId w:val="2"/>
        </w:numPr>
        <w:bidi w:val="0"/>
        <w:spacing w:lineRule="auto" w:line="274" w:before="125" w:after="45"/>
        <w:jc w:val="start"/>
        <w:rPr>
          <w:b/>
          <w:i w:val="false"/>
          <w:vanish w:val="false"/>
          <w:color w:val="30445D"/>
          <w:sz w:val="20"/>
        </w:rPr>
      </w:pPr>
      <w:bookmarkStart w:id="50" w:name="wp_qa_features_3"/>
      <w:r>
        <w:rPr>
          <w:b/>
          <w:i w:val="false"/>
          <w:vanish w:val="false"/>
          <w:color w:val="30445D"/>
          <w:sz w:val="20"/>
        </w:rPr>
        <w:t xml:space="preserve">6 </w:t>
      </w:r>
      <w:r>
        <w:rPr>
          <w:vanish w:val="false"/>
          <w:color w:val="30445D"/>
        </w:rPr>
        <w:t xml:space="preserve">个 </w:t>
      </w:r>
      <w:r>
        <w:rPr>
          <w:b/>
          <w:i w:val="false"/>
          <w:vanish w:val="false"/>
          <w:color w:val="30445D"/>
          <w:sz w:val="20"/>
        </w:rPr>
        <w:t xml:space="preserve">SVG </w:t>
      </w:r>
      <w:r>
        <w:rPr>
          <w:vanish w:val="false"/>
          <w:color w:val="30445D"/>
        </w:rPr>
        <w:t>图像</w:t>
      </w:r>
      <w:r>
        <w:rPr>
          <w:b/>
          <w:i w:val="false"/>
          <w:vanish w:val="false"/>
          <w:color w:val="30445D"/>
          <w:sz w:val="20"/>
        </w:rPr>
        <w:t>/</w:t>
      </w:r>
      <w:r>
        <w:rPr>
          <w:vanish w:val="false"/>
          <w:color w:val="30445D"/>
        </w:rPr>
        <w:t>图表对象，覆盖全幅图片、流程图、轨道图、柱状图、光谱图和环形图。</w:t>
      </w:r>
      <w:bookmarkEnd w:id="50"/>
    </w:p>
    <w:p>
      <w:pPr>
        <w:pStyle w:val="BodyText"/>
        <w:numPr>
          <w:ilvl w:val="0"/>
          <w:numId w:val="2"/>
        </w:numPr>
        <w:bidi w:val="0"/>
        <w:spacing w:lineRule="auto" w:line="274" w:before="125" w:after="45"/>
        <w:jc w:val="start"/>
        <w:rPr>
          <w:b/>
          <w:i w:val="false"/>
          <w:vanish w:val="false"/>
          <w:color w:val="30445D"/>
          <w:sz w:val="20"/>
        </w:rPr>
      </w:pPr>
      <w:bookmarkStart w:id="51" w:name="wp_qa_features_4"/>
      <w:r>
        <w:rPr>
          <w:vanish w:val="false"/>
          <w:color w:val="30445D"/>
        </w:rPr>
        <w:t>保存后重开、页面与对象几何校验、</w:t>
      </w:r>
      <w:r>
        <w:rPr>
          <w:b/>
          <w:i w:val="false"/>
          <w:vanish w:val="false"/>
          <w:color w:val="30445D"/>
          <w:sz w:val="20"/>
        </w:rPr>
        <w:t xml:space="preserve">LibreOffice PDF </w:t>
      </w:r>
      <w:r>
        <w:rPr>
          <w:vanish w:val="false"/>
          <w:color w:val="30445D"/>
        </w:rPr>
        <w:t>导出和逐页视觉复核。</w:t>
      </w:r>
      <w:bookmarkEnd w:id="51"/>
    </w:p>
    <w:p>
      <w:pPr>
        <w:pStyle w:val="BodyText"/>
        <w:numPr>
          <w:ilvl w:val="0"/>
          <w:numId w:val="0"/>
        </w:numPr>
        <w:bidi w:val="0"/>
        <w:spacing w:lineRule="auto" w:line="312" w:before="102" w:after="0"/>
        <w:jc w:val="start"/>
        <w:rPr>
          <w:b w:val="false"/>
          <w:i/>
          <w:vanish w:val="false"/>
          <w:color w:val="6F7D91"/>
          <w:sz w:val="18"/>
        </w:rPr>
      </w:pPr>
      <w:bookmarkStart w:id="52" w:name="wp_qa_source"/>
      <w:r>
        <w:rPr>
          <w:vanish w:val="false"/>
          <w:color w:val="6F7D91"/>
        </w:rPr>
        <w:t>参考：</w:t>
      </w:r>
      <w:r>
        <w:rPr>
          <w:b w:val="false"/>
          <w:i/>
          <w:vanish w:val="false"/>
          <w:color w:val="6F7D91"/>
          <w:sz w:val="18"/>
        </w:rPr>
        <w:t>Wikipedia — James Webb Space Telescope</w:t>
      </w:r>
      <w:r>
        <w:rPr>
          <w:vanish w:val="false"/>
          <w:color w:val="6F7D91"/>
        </w:rPr>
        <w:t>；生成日期：</w:t>
      </w:r>
      <w:r>
        <w:rPr>
          <w:b w:val="false"/>
          <w:i/>
          <w:vanish w:val="false"/>
          <w:color w:val="6F7D91"/>
          <w:sz w:val="18"/>
        </w:rPr>
        <w:t>2026-08-30</w:t>
      </w:r>
      <w:r>
        <w:rPr>
          <w:vanish w:val="false"/>
          <w:color w:val="6F7D91"/>
        </w:rPr>
        <w:t>。</w:t>
      </w:r>
      <w:bookmarkEnd w:id="52"/>
    </w:p>
    <w:p>
      <w:pPr>
        <w:pStyle w:val="BodyText"/>
        <w:numPr>
          <w:ilvl w:val="0"/>
          <w:numId w:val="0"/>
        </w:numPr>
        <w:bidi w:val="0"/>
        <w:spacing w:lineRule="auto" w:line="312" w:before="102" w:after="0"/>
        <w:jc w:val="start"/>
        <w:rPr>
          <w:vanish w:val="false"/>
        </w:rPr>
      </w:pPr>
      <w:r>
        <w:rPr>
          <w:b w:val="false"/>
          <w:i/>
          <w:vanish w:val="false"/>
          <w:color w:val="6F7D91"/>
          <w:sz w:val="18"/>
        </w:rPr>
      </w:r>
    </w:p>
    <w:sectPr>
      <w:headerReference w:type="even" r:id="rId14"/>
      <w:headerReference w:type="default" r:id="rId15"/>
      <w:headerReference w:type="first" r:id="rId16"/>
      <w:footerReference w:type="even" r:id="rId17"/>
      <w:footerReference w:type="default" r:id="rId18"/>
      <w:footerReference w:type="first" r:id="rId19"/>
      <w:type w:val="nextPage"/>
      <w:pgSz w:w="11906" w:h="16838"/>
      <w:pgMar w:left="1077" w:right="1077" w:gutter="0" w:header="964" w:top="1361" w:footer="964" w:bottom="1361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charset w:val="86"/>
    <w:family w:val="roman"/>
    <w:pitch w:val="variable"/>
  </w:font>
  <w:font w:name="Microsoft YaHei">
    <w:charset w:val="86"/>
    <w:family w:val="swiss"/>
    <w:pitch w:val="variable"/>
  </w:font>
  <w:font w:name="Liberation Sans">
    <w:altName w:val="Arial"/>
    <w:charset w:val="86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bookmarkStart w:id="56" w:name="wp_document_footer"/>
    <w:r>
      <w:rPr/>
      <w:t>詹姆斯</w:t>
    </w:r>
    <w:r>
      <w:rPr/>
      <w:t>·</w:t>
    </w:r>
    <w:r>
      <w:rPr/>
      <w:t xml:space="preserve">韦布空间望远镜 </w:t>
    </w:r>
    <w:r>
      <w:rPr/>
      <w:t xml:space="preserve">· </w:t>
    </w:r>
    <w:r>
      <w:rPr/>
      <w:t xml:space="preserve">项目原生 </w:t>
    </w:r>
    <w:r>
      <w:rPr/>
      <w:t xml:space="preserve">UNO </w:t>
    </w:r>
    <w:r>
      <w:rPr/>
      <w:t>流程</w:t>
    </w:r>
    <w:bookmarkEnd w:id="56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bookmarkStart w:id="57" w:name="wp_document_footer"/>
    <w:r>
      <w:rPr/>
      <w:t>詹姆斯</w:t>
    </w:r>
    <w:r>
      <w:rPr/>
      <w:t>·</w:t>
    </w:r>
    <w:r>
      <w:rPr/>
      <w:t xml:space="preserve">韦布空间望远镜 </w:t>
    </w:r>
    <w:r>
      <w:rPr/>
      <w:t xml:space="preserve">· </w:t>
    </w:r>
    <w:r>
      <w:rPr/>
      <w:t xml:space="preserve">项目原生 </w:t>
    </w:r>
    <w:r>
      <w:rPr/>
      <w:t xml:space="preserve">UNO </w:t>
    </w:r>
    <w:r>
      <w:rPr/>
      <w:t>流程</w:t>
    </w:r>
    <w:bookmarkEnd w:id="57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bookmarkStart w:id="58" w:name="wp_document_footer"/>
    <w:r>
      <w:rPr/>
      <w:t>詹姆斯</w:t>
    </w:r>
    <w:r>
      <w:rPr/>
      <w:t>·</w:t>
    </w:r>
    <w:r>
      <w:rPr/>
      <w:t xml:space="preserve">韦布空间望远镜 </w:t>
    </w:r>
    <w:r>
      <w:rPr/>
      <w:t xml:space="preserve">· </w:t>
    </w:r>
    <w:r>
      <w:rPr/>
      <w:t xml:space="preserve">项目原生 </w:t>
    </w:r>
    <w:r>
      <w:rPr/>
      <w:t xml:space="preserve">UNO </w:t>
    </w:r>
    <w:r>
      <w:rPr/>
      <w:t>流程</w:t>
    </w:r>
    <w:bookmarkEnd w:id="58"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bookmarkStart w:id="53" w:name="wp_document_header"/>
    <w:r>
      <w:rPr/>
      <w:t>UNO / LIBREOFFICE · JWST FROM-SCRATCH REGRESSION</w:t>
    </w:r>
    <w:bookmarkEnd w:id="53"/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bookmarkStart w:id="54" w:name="wp_document_header"/>
    <w:r>
      <w:rPr/>
      <w:t>UNO / LIBREOFFICE · JWST FROM-SCRATCH REGRESSION</w:t>
    </w:r>
    <w:bookmarkEnd w:id="54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bookmarkStart w:id="55" w:name="wp_document_header"/>
    <w:r>
      <w:rPr/>
      <w:t>UNO / LIBREOFFICE · JWST FROM-SCRATCH REGRESSION</w:t>
    </w:r>
    <w:bookmarkEnd w:id="55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Microsoft YaHei" w:hAnsi="Microsoft YaHei" w:eastAsia="Microsoft YaHei" w:cs="Lucida Sans"/>
      <w:color w:val="30445D"/>
      <w:kern w:val="2"/>
      <w:sz w:val="21"/>
      <w:szCs w:val="24"/>
      <w:lang w:val="en-US" w:eastAsia="zh-CN" w:bidi="hi-IN"/>
    </w:rPr>
  </w:style>
  <w:style w:type="paragraph" w:styleId="Heading1">
    <w:name w:val="heading 1"/>
    <w:basedOn w:val="Style12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Microsoft YaHei" w:hAnsi="Microsoft YaHei" w:eastAsia="Microsoft YaHei"/>
      <w:b/>
      <w:bCs/>
      <w:color w:val="17324D"/>
      <w:sz w:val="46"/>
      <w:szCs w:val="36"/>
    </w:rPr>
  </w:style>
  <w:style w:type="paragraph" w:styleId="Heading2">
    <w:name w:val="heading 2"/>
    <w:basedOn w:val="Style12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Microsoft YaHei" w:hAnsi="Microsoft YaHei" w:eastAsia="Microsoft YaHei"/>
      <w:b/>
      <w:bCs/>
      <w:color w:val="1F7782"/>
      <w:sz w:val="32"/>
      <w:szCs w:val="32"/>
    </w:rPr>
  </w:style>
  <w:style w:type="paragraph" w:styleId="Heading3">
    <w:name w:val="heading 3"/>
    <w:basedOn w:val="Style12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Microsoft YaHei" w:hAnsi="Microsoft YaHei" w:eastAsia="Microsoft YaHei"/>
      <w:b/>
      <w:bCs/>
      <w:color w:val="DB6748"/>
      <w:sz w:val="26"/>
      <w:szCs w:val="28"/>
    </w:rPr>
  </w:style>
  <w:style w:type="character" w:styleId="Style11">
    <w:name w:val="编号符号"/>
    <w:qFormat/>
    <w:rPr/>
  </w:style>
  <w:style w:type="paragraph" w:styleId="Style12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3">
    <w:name w:val="索引"/>
    <w:basedOn w:val="Normal"/>
    <w:qFormat/>
    <w:pPr>
      <w:suppressLineNumbers/>
    </w:pPr>
    <w:rPr>
      <w:rFonts w:cs="Lucida Sans"/>
    </w:rPr>
  </w:style>
  <w:style w:type="paragraph" w:styleId="Style14">
    <w:name w:val="页眉与页脚"/>
    <w:basedOn w:val="Normal"/>
    <w:qFormat/>
    <w:pPr>
      <w:suppressLineNumbers/>
      <w:tabs>
        <w:tab w:val="clear" w:pos="420"/>
        <w:tab w:val="center" w:pos="4876" w:leader="none"/>
        <w:tab w:val="right" w:pos="9752" w:leader="none"/>
      </w:tabs>
    </w:pPr>
    <w:rPr/>
  </w:style>
  <w:style w:type="paragraph" w:styleId="Header">
    <w:name w:val="header"/>
    <w:basedOn w:val="Style14"/>
    <w:pPr>
      <w:suppressLineNumbers/>
    </w:pPr>
    <w:rPr/>
  </w:style>
  <w:style w:type="paragraph" w:styleId="Footer">
    <w:name w:val="footer"/>
    <w:basedOn w:val="Style14"/>
    <w:pPr>
      <w:suppressLineNumbers/>
    </w:pPr>
    <w:rPr/>
  </w:style>
  <w:style w:type="paragraph" w:styleId="ListBullet">
    <w:name w:val="List Bullet"/>
    <w:basedOn w:val="List"/>
    <w:pPr>
      <w:spacing w:before="0" w:after="120"/>
      <w:ind w:hanging="360" w:start="360"/>
    </w:pPr>
    <w:rPr>
      <w:rFonts w:ascii="Microsoft YaHei" w:hAnsi="Microsoft YaHei" w:eastAsia="Microsoft YaHei"/>
      <w:color w:val="30445D"/>
      <w:sz w:val="21"/>
    </w:rPr>
  </w:style>
  <w:style w:type="paragraph" w:styleId="Style15">
    <w:name w:val="表格内容"/>
    <w:basedOn w:val="Normal"/>
    <w:qFormat/>
    <w:pPr>
      <w:widowControl w:val="false"/>
      <w:suppressLineNumbers/>
    </w:pPr>
    <w:rPr/>
  </w:style>
  <w:style w:type="paragraph" w:styleId="Style16">
    <w:name w:val="表格标题"/>
    <w:basedOn w:val="Style15"/>
    <w:qFormat/>
    <w:pPr>
      <w:suppressLineNumbers/>
      <w:jc w:val="center"/>
    </w:pPr>
    <w:rPr>
      <w:b/>
      <w:bCs/>
    </w:rPr>
  </w:style>
  <w:style w:type="numbering" w:styleId="Style17">
    <w:name w:val="项目符号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png"/><Relationship Id="rId5" Type="http://schemas.openxmlformats.org/officeDocument/2006/relationships/image" Target="media/image4.svg"/><Relationship Id="rId6" Type="http://schemas.openxmlformats.org/officeDocument/2006/relationships/image" Target="media/image5.png"/><Relationship Id="rId7" Type="http://schemas.openxmlformats.org/officeDocument/2006/relationships/image" Target="media/image6.svg"/><Relationship Id="rId8" Type="http://schemas.openxmlformats.org/officeDocument/2006/relationships/image" Target="media/image7.png"/><Relationship Id="rId9" Type="http://schemas.openxmlformats.org/officeDocument/2006/relationships/image" Target="media/image8.svg"/><Relationship Id="rId10" Type="http://schemas.openxmlformats.org/officeDocument/2006/relationships/image" Target="media/image9.png"/><Relationship Id="rId11" Type="http://schemas.openxmlformats.org/officeDocument/2006/relationships/image" Target="media/image10.svg"/><Relationship Id="rId12" Type="http://schemas.openxmlformats.org/officeDocument/2006/relationships/image" Target="media/image11.png"/><Relationship Id="rId13" Type="http://schemas.openxmlformats.org/officeDocument/2006/relationships/image" Target="media/image12.sv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6</Pages>
  <Words>1765</Words>
  <Characters>2132</Characters>
  <CharactersWithSpaces>2217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2026-08-30T20:04:18Z</dcterms:modified>
  <cp:revision>1</cp:revision>
  <dc:subject/>
  <dc:title/>
</cp:coreProperties>
</file>