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media/image5.svg" ContentType="image/svg"/>
  <Override PartName="/word/media/image7.svg" ContentType="image/svg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bidi w:val="0"/>
        <w:spacing w:lineRule="auto" w:line="312" w:before="0" w:after="68"/>
        <w:jc w:val="center"/>
        <w:rPr>
          <w:b/>
          <w:i w:val="false"/>
          <w:vanish w:val="false"/>
          <w:color w:val="C79A43"/>
          <w:sz w:val="22"/>
        </w:rPr>
      </w:pPr>
      <w:bookmarkStart w:id="0" w:name="wp_cover_kicker"/>
      <w:r>
        <w:rPr>
          <w:b/>
          <w:i w:val="false"/>
          <w:vanish w:val="false"/>
          <w:color w:val="C79A43"/>
          <w:sz w:val="22"/>
        </w:rPr>
        <w:t>UNO FEATURE SHOWCASE · WRITER EDITION</w:t>
      </w:r>
      <w:bookmarkEnd w:id="0"/>
    </w:p>
    <w:p>
      <w:pPr>
        <w:pStyle w:val="Normal"/>
        <w:numPr>
          <w:ilvl w:val="0"/>
          <w:numId w:val="0"/>
        </w:numPr>
        <w:bidi w:val="0"/>
        <w:spacing w:lineRule="auto" w:line="252" w:before="0" w:after="34"/>
        <w:jc w:val="center"/>
        <w:rPr>
          <w:b/>
          <w:i w:val="false"/>
          <w:vanish w:val="false"/>
          <w:color w:val="19334D"/>
          <w:sz w:val="60"/>
        </w:rPr>
      </w:pPr>
      <w:bookmarkStart w:id="1" w:name="wp_cover_title"/>
      <w:r>
        <w:rPr>
          <w:vanish w:val="false"/>
          <w:color w:val="19334D"/>
        </w:rPr>
        <w:t>古埃及文明</w:t>
      </w:r>
      <w:bookmarkEnd w:id="1"/>
    </w:p>
    <w:p>
      <w:pPr>
        <w:pStyle w:val="Normal"/>
        <w:numPr>
          <w:ilvl w:val="0"/>
          <w:numId w:val="0"/>
        </w:numPr>
        <w:bidi w:val="0"/>
        <w:spacing w:lineRule="auto" w:line="312" w:before="0" w:after="136"/>
        <w:jc w:val="center"/>
        <w:rPr>
          <w:b w:val="false"/>
          <w:i w:val="false"/>
          <w:vanish w:val="false"/>
          <w:color w:val="1F7A83"/>
          <w:sz w:val="32"/>
        </w:rPr>
      </w:pPr>
      <w:bookmarkStart w:id="2" w:name="wp_cover_subtitle"/>
      <w:r>
        <w:rPr>
          <w:vanish w:val="false"/>
          <w:color w:val="1F7A83"/>
        </w:rPr>
        <w:t>一条河流如何塑造国家、工程与知识体系</w:t>
      </w:r>
      <w:bookmarkEnd w:id="2"/>
    </w:p>
    <w:p>
      <w:pPr>
        <w:pStyle w:val="Normal"/>
        <w:numPr>
          <w:ilvl w:val="0"/>
          <w:numId w:val="0"/>
        </w:numPr>
        <w:bidi w:val="0"/>
        <w:spacing w:lineRule="auto" w:line="312" w:before="0" w:after="91"/>
        <w:jc w:val="center"/>
        <w:rPr>
          <w:b w:val="false"/>
          <w:i w:val="false"/>
          <w:vanish w:val="false"/>
          <w:color w:val="1F7A83"/>
          <w:sz w:val="32"/>
        </w:rPr>
      </w:pPr>
      <w:r>
        <w:rPr>
          <w:b w:val="false"/>
          <w:i w:val="false"/>
          <w:vanish w:val="false"/>
          <w:color w:val="1F7A83"/>
          <w:sz w:val="32"/>
        </w:rPr>
        <w:drawing>
          <wp:inline distT="0" distB="0" distL="0" distR="0">
            <wp:extent cx="6047740" cy="4020820"/>
            <wp:effectExtent l="0" t="0" r="0" b="0"/>
            <wp:docPr id="1" name="wp_cover_hero_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p_cover_hero_imag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4020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bidi w:val="0"/>
        <w:spacing w:lineRule="auto" w:line="336" w:before="0" w:after="91"/>
        <w:jc w:val="center"/>
        <w:rPr>
          <w:b w:val="false"/>
          <w:i w:val="false"/>
          <w:vanish w:val="false"/>
          <w:color w:val="2E4057"/>
          <w:sz w:val="23"/>
        </w:rPr>
      </w:pPr>
      <w:bookmarkStart w:id="3" w:name="wp_cover_deck"/>
      <w:r>
        <w:rPr>
          <w:vanish w:val="false"/>
          <w:color w:val="2E4057"/>
        </w:rPr>
        <w:t xml:space="preserve">从地理、王朝与治理，到测量、医学、材料和书写；以原生 </w:t>
      </w:r>
      <w:r>
        <w:rPr>
          <w:b w:val="false"/>
          <w:i w:val="false"/>
          <w:vanish w:val="false"/>
          <w:color w:val="2E4057"/>
          <w:sz w:val="23"/>
        </w:rPr>
        <w:t xml:space="preserve">UNO </w:t>
      </w:r>
      <w:r>
        <w:rPr>
          <w:vanish w:val="false"/>
          <w:color w:val="2E4057"/>
        </w:rPr>
        <w:t>的分页、表格、图片与图表能力完成。</w:t>
      </w:r>
      <w:bookmarkEnd w:id="3"/>
    </w:p>
    <w:p>
      <w:pPr>
        <w:pStyle w:val="Normal"/>
        <w:numPr>
          <w:ilvl w:val="0"/>
          <w:numId w:val="0"/>
        </w:numPr>
        <w:bidi w:val="0"/>
        <w:spacing w:lineRule="auto" w:line="312" w:before="0" w:after="0"/>
        <w:jc w:val="center"/>
        <w:rPr>
          <w:b w:val="false"/>
          <w:i w:val="false"/>
          <w:vanish w:val="false"/>
          <w:color w:val="6D788E"/>
          <w:sz w:val="19"/>
        </w:rPr>
      </w:pPr>
      <w:bookmarkStart w:id="4" w:name="wp_cover_meta"/>
      <w:r>
        <w:rPr>
          <w:b w:val="false"/>
          <w:i w:val="false"/>
          <w:vanish w:val="false"/>
          <w:color w:val="6D788E"/>
          <w:sz w:val="19"/>
        </w:rPr>
        <w:t xml:space="preserve">12 </w:t>
      </w:r>
      <w:r>
        <w:rPr>
          <w:vanish w:val="false"/>
          <w:color w:val="6D788E"/>
        </w:rPr>
        <w:t xml:space="preserve">页演示文稿 </w:t>
      </w:r>
      <w:r>
        <w:rPr>
          <w:b w:val="false"/>
          <w:i w:val="false"/>
          <w:vanish w:val="false"/>
          <w:color w:val="6D788E"/>
          <w:sz w:val="19"/>
        </w:rPr>
        <w:t xml:space="preserve">+ </w:t>
      </w:r>
      <w:r>
        <w:rPr>
          <w:vanish w:val="false"/>
          <w:color w:val="6D788E"/>
        </w:rPr>
        <w:t xml:space="preserve">本专题报告 </w:t>
      </w:r>
      <w:r>
        <w:rPr>
          <w:b w:val="false"/>
          <w:i w:val="false"/>
          <w:vanish w:val="false"/>
          <w:color w:val="6D788E"/>
          <w:sz w:val="19"/>
        </w:rPr>
        <w:t xml:space="preserve">· LibreOffice UNO </w:t>
      </w:r>
      <w:r>
        <w:rPr>
          <w:vanish w:val="false"/>
          <w:color w:val="6D788E"/>
        </w:rPr>
        <w:t>保存、重开、</w:t>
      </w:r>
      <w:r>
        <w:rPr>
          <w:b w:val="false"/>
          <w:i w:val="false"/>
          <w:vanish w:val="false"/>
          <w:color w:val="6D788E"/>
          <w:sz w:val="19"/>
        </w:rPr>
        <w:t xml:space="preserve">PDF </w:t>
      </w:r>
      <w:r>
        <w:rPr>
          <w:vanish w:val="false"/>
          <w:color w:val="6D788E"/>
        </w:rPr>
        <w:t>导出与逐页检查</w:t>
      </w:r>
      <w:bookmarkEnd w:id="4"/>
      <w:r>
        <w:br w:type="page"/>
      </w:r>
    </w:p>
    <w:p>
      <w:pPr>
        <w:pStyle w:val="Normal"/>
        <w:numPr>
          <w:ilvl w:val="0"/>
          <w:numId w:val="0"/>
        </w:numPr>
        <w:bidi w:val="0"/>
        <w:spacing w:lineRule="auto" w:line="312" w:before="0" w:after="0"/>
        <w:jc w:val="center"/>
        <w:rPr>
          <w:b w:val="false"/>
          <w:i w:val="false"/>
          <w:vanish/>
          <w:color w:val="6D788E"/>
          <w:sz w:val="19"/>
        </w:rPr>
      </w:pPr>
      <w:bookmarkStart w:id="5" w:name="wp_break_overview"/>
      <w:r>
        <w:rPr>
          <w:b w:val="false"/>
          <w:i w:val="false"/>
          <w:vanish/>
          <w:color w:val="6D788E"/>
          <w:sz w:val="19"/>
        </w:rPr>
        <w:t>⁠</w:t>
      </w:r>
      <w:bookmarkEnd w:id="5"/>
    </w:p>
    <w:p>
      <w:pPr>
        <w:pStyle w:val="Normal"/>
        <w:numPr>
          <w:ilvl w:val="0"/>
          <w:numId w:val="0"/>
        </w:numPr>
        <w:bidi w:val="0"/>
        <w:spacing w:lineRule="auto" w:line="312" w:before="0" w:after="45"/>
        <w:jc w:val="start"/>
        <w:rPr>
          <w:b/>
          <w:i w:val="false"/>
          <w:vanish w:val="false"/>
          <w:color w:val="C79A43"/>
          <w:sz w:val="20"/>
        </w:rPr>
      </w:pPr>
      <w:bookmarkStart w:id="6" w:name="wp_overview_eyebrow"/>
      <w:r>
        <w:rPr>
          <w:b/>
          <w:i w:val="false"/>
          <w:vanish w:val="false"/>
          <w:color w:val="C79A43"/>
          <w:sz w:val="20"/>
        </w:rPr>
        <w:t>EXECUTIVE VIEW</w:t>
      </w:r>
      <w:bookmarkEnd w:id="6"/>
    </w:p>
    <w:p>
      <w:pPr>
        <w:pStyle w:val="Heading1"/>
        <w:bidi w:val="0"/>
        <w:spacing w:lineRule="auto" w:line="274" w:before="0" w:after="102"/>
        <w:ind w:hanging="0" w:start="0"/>
        <w:jc w:val="start"/>
        <w:rPr>
          <w:b/>
          <w:i w:val="false"/>
          <w:color w:val="19334D"/>
          <w:sz w:val="48"/>
        </w:rPr>
      </w:pPr>
      <w:bookmarkStart w:id="7" w:name="wp_overview_title"/>
      <w:r>
        <w:rPr>
          <w:color w:val="19334D"/>
        </w:rPr>
        <w:t>文明的三个支点</w:t>
      </w:r>
      <w:bookmarkEnd w:id="7"/>
    </w:p>
    <w:p>
      <w:pPr>
        <w:pStyle w:val="BodyText"/>
        <w:numPr>
          <w:ilvl w:val="0"/>
          <w:numId w:val="0"/>
        </w:numPr>
        <w:bidi w:val="0"/>
        <w:spacing w:lineRule="auto" w:line="348" w:before="0" w:after="125"/>
        <w:jc w:val="start"/>
        <w:rPr>
          <w:b w:val="false"/>
          <w:i w:val="false"/>
          <w:vanish w:val="false"/>
          <w:color w:val="2E4057"/>
          <w:sz w:val="23"/>
        </w:rPr>
      </w:pPr>
      <w:bookmarkStart w:id="8" w:name="wp_overview_intro"/>
      <w:r>
        <w:rPr>
          <w:vanish w:val="false"/>
          <w:color w:val="2E4057"/>
        </w:rPr>
        <w:t>古埃及并不是由单一技术或单一君主创造的。它更像一个长期运行的系统：尼罗河提供稳定但有约束的环境，中央治理把资源组织起来，书写与专业知识又把经验转化为可以复制的流程。</w:t>
      </w:r>
      <w:bookmarkEnd w:id="8"/>
    </w:p>
    <w:p>
      <w:pPr>
        <w:pStyle w:val="BodyText"/>
        <w:numPr>
          <w:ilvl w:val="0"/>
          <w:numId w:val="0"/>
        </w:numPr>
        <w:bidi w:val="0"/>
        <w:spacing w:lineRule="auto" w:line="348" w:before="0" w:after="125"/>
        <w:jc w:val="start"/>
        <w:rPr>
          <w:b w:val="false"/>
          <w:i w:val="false"/>
          <w:vanish/>
          <w:color w:val="2E4057"/>
          <w:sz w:val="23"/>
        </w:rPr>
      </w:pPr>
      <w:bookmarkStart w:id="9" w:name="wp_overview_pillars_table"/>
      <w:r>
        <w:rPr>
          <w:b w:val="false"/>
          <w:i w:val="false"/>
          <w:vanish/>
          <w:color w:val="2E4057"/>
          <w:sz w:val="23"/>
        </w:rPr>
        <w:t>⁠</w:t>
      </w:r>
      <w:bookmarkEnd w:id="9"/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3855"/>
        <w:gridCol w:w="3856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19334D" w:val="clear"/>
          </w:tcPr>
          <w:p>
            <w:pPr>
              <w:pStyle w:val="Style16"/>
              <w:bidi w:val="0"/>
              <w:spacing w:before="57" w:after="57"/>
              <w:rPr>
                <w:rFonts w:ascii="Microsoft YaHei" w:hAnsi="Microsoft YaHei" w:eastAsia="Microsoft YaHei"/>
                <w:b/>
                <w:color w:val="FFFFFF"/>
                <w:sz w:val="19"/>
              </w:rPr>
            </w:pPr>
            <w:r>
              <w:rPr>
                <w:rFonts w:ascii="Microsoft YaHei" w:hAnsi="Microsoft YaHei"/>
                <w:color w:val="FFFFFF"/>
              </w:rPr>
              <w:t>支点</w:t>
            </w:r>
          </w:p>
        </w:tc>
        <w:tc>
          <w:tcPr>
            <w:tcW w:w="3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19334D" w:val="clear"/>
          </w:tcPr>
          <w:p>
            <w:pPr>
              <w:pStyle w:val="Style16"/>
              <w:bidi w:val="0"/>
              <w:spacing w:before="57" w:after="57"/>
              <w:rPr>
                <w:rFonts w:ascii="Microsoft YaHei" w:hAnsi="Microsoft YaHei" w:eastAsia="Microsoft YaHei"/>
                <w:b/>
                <w:color w:val="FFFFFF"/>
                <w:sz w:val="19"/>
              </w:rPr>
            </w:pPr>
            <w:r>
              <w:rPr>
                <w:rFonts w:ascii="Microsoft YaHei" w:hAnsi="Microsoft YaHei"/>
                <w:color w:val="FFFFFF"/>
              </w:rPr>
              <w:t>系统作用</w:t>
            </w:r>
          </w:p>
        </w:tc>
        <w:tc>
          <w:tcPr>
            <w:tcW w:w="3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9334D" w:val="clear"/>
          </w:tcPr>
          <w:p>
            <w:pPr>
              <w:pStyle w:val="Style16"/>
              <w:bidi w:val="0"/>
              <w:spacing w:before="57" w:after="57"/>
              <w:rPr>
                <w:rFonts w:ascii="Microsoft YaHei" w:hAnsi="Microsoft YaHei" w:eastAsia="Microsoft YaHei"/>
                <w:b/>
                <w:color w:val="FFFFFF"/>
                <w:sz w:val="19"/>
              </w:rPr>
            </w:pPr>
            <w:r>
              <w:rPr>
                <w:rFonts w:ascii="Microsoft YaHei" w:hAnsi="Microsoft YaHei"/>
                <w:color w:val="FFFFFF"/>
              </w:rPr>
              <w:t>可观察结果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  <w:shd w:fill="F1EBDD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9"/>
              </w:rPr>
            </w:pPr>
            <w:r>
              <w:rPr>
                <w:rFonts w:ascii="Microsoft YaHei" w:hAnsi="Microsoft YaHei"/>
                <w:color w:val="2E4057"/>
              </w:rPr>
              <w:t>尼罗河</w:t>
            </w:r>
          </w:p>
        </w:tc>
        <w:tc>
          <w:tcPr>
            <w:tcW w:w="3855" w:type="dxa"/>
            <w:tcBorders>
              <w:start w:val="single" w:sz="4" w:space="0" w:color="000000"/>
              <w:bottom w:val="single" w:sz="4" w:space="0" w:color="000000"/>
            </w:tcBorders>
            <w:shd w:fill="F1EBDD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9"/>
              </w:rPr>
            </w:pPr>
            <w:r>
              <w:rPr>
                <w:rFonts w:ascii="Microsoft YaHei" w:hAnsi="Microsoft YaHei"/>
                <w:color w:val="2E4057"/>
              </w:rPr>
              <w:t>提供洪泛节律、交通走廊与农业基础</w:t>
            </w:r>
          </w:p>
        </w:tc>
        <w:tc>
          <w:tcPr>
            <w:tcW w:w="38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EBDD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9"/>
              </w:rPr>
            </w:pPr>
            <w:r>
              <w:rPr>
                <w:rFonts w:ascii="Microsoft YaHei" w:hAnsi="Microsoft YaHei"/>
                <w:color w:val="2E4057"/>
              </w:rPr>
              <w:t>河谷聚落、高密度耕作、南北连接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9"/>
              </w:rPr>
            </w:pPr>
            <w:r>
              <w:rPr>
                <w:rFonts w:ascii="Microsoft YaHei" w:hAnsi="Microsoft YaHei"/>
                <w:color w:val="2E4057"/>
              </w:rPr>
              <w:t>治理与书写</w:t>
            </w:r>
          </w:p>
        </w:tc>
        <w:tc>
          <w:tcPr>
            <w:tcW w:w="3855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9"/>
              </w:rPr>
            </w:pPr>
            <w:r>
              <w:rPr>
                <w:rFonts w:ascii="Microsoft YaHei" w:hAnsi="Microsoft YaHei"/>
                <w:color w:val="2E4057"/>
              </w:rPr>
              <w:t>通过书记、税粮与仪式协调资源</w:t>
            </w:r>
          </w:p>
        </w:tc>
        <w:tc>
          <w:tcPr>
            <w:tcW w:w="38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9"/>
              </w:rPr>
            </w:pPr>
            <w:r>
              <w:rPr>
                <w:rFonts w:ascii="Microsoft YaHei" w:hAnsi="Microsoft YaHei"/>
                <w:color w:val="2E4057"/>
              </w:rPr>
              <w:t>长期行政、工程调度、制度记忆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  <w:shd w:fill="F1EBDD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9"/>
              </w:rPr>
            </w:pPr>
            <w:r>
              <w:rPr>
                <w:rFonts w:ascii="Microsoft YaHei" w:hAnsi="Microsoft YaHei"/>
                <w:color w:val="2E4057"/>
              </w:rPr>
              <w:t>工程与知识</w:t>
            </w:r>
          </w:p>
        </w:tc>
        <w:tc>
          <w:tcPr>
            <w:tcW w:w="3855" w:type="dxa"/>
            <w:tcBorders>
              <w:start w:val="single" w:sz="4" w:space="0" w:color="000000"/>
              <w:bottom w:val="single" w:sz="4" w:space="0" w:color="000000"/>
            </w:tcBorders>
            <w:shd w:fill="F1EBDD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9"/>
              </w:rPr>
            </w:pPr>
            <w:r>
              <w:rPr>
                <w:rFonts w:ascii="Microsoft YaHei" w:hAnsi="Microsoft YaHei"/>
                <w:color w:val="2E4057"/>
              </w:rPr>
              <w:t>让测量、材料、医学和施工协同</w:t>
            </w:r>
          </w:p>
        </w:tc>
        <w:tc>
          <w:tcPr>
            <w:tcW w:w="38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EBDD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9"/>
              </w:rPr>
            </w:pPr>
            <w:r>
              <w:rPr>
                <w:rFonts w:ascii="Microsoft YaHei" w:hAnsi="Microsoft YaHei"/>
                <w:color w:val="2E4057"/>
              </w:rPr>
              <w:t>金字塔、神庙、灌溉与技术传统</w:t>
            </w:r>
          </w:p>
        </w:tc>
      </w:tr>
    </w:tbl>
    <w:p>
      <w:pPr>
        <w:pStyle w:val="BodyText"/>
        <w:numPr>
          <w:ilvl w:val="0"/>
          <w:numId w:val="0"/>
        </w:numPr>
        <w:bidi w:val="0"/>
        <w:spacing w:lineRule="auto" w:line="348" w:before="0" w:after="125"/>
        <w:jc w:val="start"/>
        <w:rPr>
          <w:b w:val="false"/>
          <w:i w:val="false"/>
          <w:vanish w:val="false"/>
          <w:color w:val="2E4057"/>
          <w:sz w:val="23"/>
        </w:rPr>
      </w:pPr>
      <w:r>
        <w:rPr>
          <w:b w:val="false"/>
          <w:i w:val="false"/>
          <w:vanish w:val="false"/>
          <w:color w:val="2E4057"/>
          <w:sz w:val="23"/>
        </w:rPr>
      </w:r>
    </w:p>
    <w:p>
      <w:pPr>
        <w:pStyle w:val="BodyText"/>
        <w:numPr>
          <w:ilvl w:val="0"/>
          <w:numId w:val="0"/>
        </w:numPr>
        <w:bidi w:val="0"/>
        <w:spacing w:lineRule="auto" w:line="312" w:before="147" w:after="34"/>
        <w:jc w:val="start"/>
        <w:rPr>
          <w:b/>
          <w:i w:val="false"/>
          <w:vanish w:val="false"/>
          <w:color w:val="DD6B48"/>
          <w:sz w:val="20"/>
        </w:rPr>
      </w:pPr>
      <w:bookmarkStart w:id="10" w:name="wp_overview_insight_label"/>
      <w:r>
        <w:rPr>
          <w:vanish w:val="false"/>
          <w:color w:val="DD6B48"/>
        </w:rPr>
        <w:t>关键洞察</w:t>
      </w:r>
      <w:bookmarkEnd w:id="10"/>
    </w:p>
    <w:p>
      <w:pPr>
        <w:pStyle w:val="BodyText"/>
        <w:numPr>
          <w:ilvl w:val="0"/>
          <w:numId w:val="0"/>
        </w:numPr>
        <w:bidi w:val="0"/>
        <w:spacing w:lineRule="auto" w:line="336" w:before="0" w:after="136"/>
        <w:jc w:val="start"/>
        <w:rPr>
          <w:b/>
          <w:i w:val="false"/>
          <w:vanish w:val="false"/>
          <w:color w:val="19334D"/>
          <w:sz w:val="24"/>
        </w:rPr>
      </w:pPr>
      <w:bookmarkStart w:id="11" w:name="wp_overview_insight"/>
      <w:r>
        <w:rPr>
          <w:vanish w:val="false"/>
          <w:color w:val="19334D"/>
        </w:rPr>
        <w:t>环境提供约束，制度组织资源，知识把资源转化为可复制的能力。三者持续耦合，解释了古埃及跨越多个王朝的韧性。</w:t>
      </w:r>
      <w:bookmarkEnd w:id="11"/>
    </w:p>
    <w:p>
      <w:pPr>
        <w:pStyle w:val="BodyText"/>
        <w:numPr>
          <w:ilvl w:val="0"/>
          <w:numId w:val="0"/>
        </w:numPr>
        <w:bidi w:val="0"/>
        <w:spacing w:lineRule="auto" w:line="336" w:before="0" w:after="57"/>
        <w:jc w:val="center"/>
        <w:rPr>
          <w:b/>
          <w:i w:val="false"/>
          <w:vanish w:val="false"/>
          <w:color w:val="19334D"/>
          <w:sz w:val="24"/>
        </w:rPr>
      </w:pPr>
      <w:r>
        <w:rPr>
          <w:b/>
          <w:i w:val="false"/>
          <w:vanish w:val="false"/>
          <w:color w:val="19334D"/>
          <w:sz w:val="24"/>
        </w:rPr>
        <w:drawing>
          <wp:inline distT="0" distB="0" distL="0" distR="0">
            <wp:extent cx="1146810" cy="2339975"/>
            <wp:effectExtent l="0" t="0" r="0" b="0"/>
            <wp:docPr id="2" name="wp_overview_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p_overview_map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6810" cy="2339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0"/>
        </w:numPr>
        <w:bidi w:val="0"/>
        <w:spacing w:lineRule="auto" w:line="312" w:before="0" w:after="0"/>
        <w:jc w:val="center"/>
        <w:rPr>
          <w:b w:val="false"/>
          <w:i/>
          <w:vanish w:val="false"/>
          <w:color w:val="6D788E"/>
          <w:sz w:val="19"/>
        </w:rPr>
      </w:pPr>
      <w:bookmarkStart w:id="12" w:name="wp_overview_map_caption"/>
      <w:r>
        <w:rPr>
          <w:vanish w:val="false"/>
          <w:color w:val="6D788E"/>
        </w:rPr>
        <w:t>尼罗河谷与三角洲构成线性国土：河流既是生产基础，也是交通与行政网络。</w:t>
      </w:r>
      <w:bookmarkEnd w:id="12"/>
      <w:r>
        <w:br w:type="page"/>
      </w:r>
    </w:p>
    <w:p>
      <w:pPr>
        <w:pStyle w:val="BodyText"/>
        <w:numPr>
          <w:ilvl w:val="0"/>
          <w:numId w:val="0"/>
        </w:numPr>
        <w:bidi w:val="0"/>
        <w:spacing w:lineRule="auto" w:line="312" w:before="0" w:after="0"/>
        <w:jc w:val="center"/>
        <w:rPr>
          <w:b w:val="false"/>
          <w:i/>
          <w:vanish/>
          <w:color w:val="6D788E"/>
          <w:sz w:val="19"/>
        </w:rPr>
      </w:pPr>
      <w:bookmarkStart w:id="13" w:name="wp_break_timeline"/>
      <w:r>
        <w:rPr>
          <w:b w:val="false"/>
          <w:i/>
          <w:vanish/>
          <w:color w:val="6D788E"/>
          <w:sz w:val="19"/>
        </w:rPr>
        <w:t>⁠</w:t>
      </w:r>
      <w:bookmarkEnd w:id="13"/>
    </w:p>
    <w:p>
      <w:pPr>
        <w:pStyle w:val="BodyText"/>
        <w:numPr>
          <w:ilvl w:val="0"/>
          <w:numId w:val="0"/>
        </w:numPr>
        <w:bidi w:val="0"/>
        <w:spacing w:lineRule="auto" w:line="312" w:before="0" w:after="45"/>
        <w:jc w:val="start"/>
        <w:rPr>
          <w:b/>
          <w:i w:val="false"/>
          <w:vanish w:val="false"/>
          <w:color w:val="C79A43"/>
          <w:sz w:val="20"/>
        </w:rPr>
      </w:pPr>
      <w:bookmarkStart w:id="14" w:name="wp_timeline_eyebrow"/>
      <w:r>
        <w:rPr>
          <w:b/>
          <w:i w:val="false"/>
          <w:vanish w:val="false"/>
          <w:color w:val="C79A43"/>
          <w:sz w:val="20"/>
        </w:rPr>
        <w:t>TIMELINE + BAR CHART</w:t>
      </w:r>
      <w:bookmarkEnd w:id="14"/>
    </w:p>
    <w:p>
      <w:pPr>
        <w:pStyle w:val="Heading1"/>
        <w:bidi w:val="0"/>
        <w:spacing w:lineRule="auto" w:line="274" w:before="0" w:after="102"/>
        <w:ind w:hanging="0" w:start="0"/>
        <w:jc w:val="start"/>
        <w:rPr>
          <w:b/>
          <w:i w:val="false"/>
          <w:color w:val="19334D"/>
          <w:sz w:val="48"/>
        </w:rPr>
      </w:pPr>
      <w:bookmarkStart w:id="15" w:name="wp_timeline_title"/>
      <w:r>
        <w:rPr>
          <w:color w:val="19334D"/>
        </w:rPr>
        <w:t>五千年的节奏：统一、扩张与重组</w:t>
      </w:r>
      <w:bookmarkEnd w:id="15"/>
    </w:p>
    <w:p>
      <w:pPr>
        <w:pStyle w:val="BodyText"/>
        <w:numPr>
          <w:ilvl w:val="0"/>
          <w:numId w:val="0"/>
        </w:numPr>
        <w:bidi w:val="0"/>
        <w:spacing w:lineRule="auto" w:line="348" w:before="0" w:after="125"/>
        <w:jc w:val="start"/>
        <w:rPr>
          <w:b w:val="false"/>
          <w:i w:val="false"/>
          <w:vanish w:val="false"/>
          <w:color w:val="2E4057"/>
          <w:sz w:val="23"/>
        </w:rPr>
      </w:pPr>
      <w:bookmarkStart w:id="16" w:name="wp_timeline_intro"/>
      <w:r>
        <w:rPr>
          <w:vanish w:val="false"/>
          <w:color w:val="2E4057"/>
        </w:rPr>
        <w:t>常用年代只是近似边界，但把各时期并列后可以看见一个反复出现的周期：中央集权强化、资源扩张、区域竞争，再以新的制度组合完成重构。</w:t>
      </w:r>
      <w:bookmarkEnd w:id="16"/>
    </w:p>
    <w:p>
      <w:pPr>
        <w:pStyle w:val="BodyText"/>
        <w:numPr>
          <w:ilvl w:val="0"/>
          <w:numId w:val="0"/>
        </w:numPr>
        <w:bidi w:val="0"/>
        <w:spacing w:lineRule="auto" w:line="348" w:before="0" w:after="125"/>
        <w:jc w:val="start"/>
        <w:rPr>
          <w:b w:val="false"/>
          <w:i w:val="false"/>
          <w:vanish/>
          <w:color w:val="2E4057"/>
          <w:sz w:val="23"/>
        </w:rPr>
      </w:pPr>
      <w:bookmarkStart w:id="17" w:name="wp_timeline_period_table"/>
      <w:r>
        <w:rPr>
          <w:b w:val="false"/>
          <w:i w:val="false"/>
          <w:vanish/>
          <w:color w:val="2E4057"/>
          <w:sz w:val="23"/>
        </w:rPr>
        <w:t>⁠</w:t>
      </w:r>
      <w:bookmarkEnd w:id="17"/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120"/>
        <w:gridCol w:w="2120"/>
        <w:gridCol w:w="1928"/>
        <w:gridCol w:w="3470"/>
      </w:tblGrid>
      <w:tr>
        <w:trPr>
          <w:tblHeader w:val="true"/>
        </w:trPr>
        <w:tc>
          <w:tcPr>
            <w:tcW w:w="2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19334D" w:val="clear"/>
          </w:tcPr>
          <w:p>
            <w:pPr>
              <w:pStyle w:val="Style16"/>
              <w:bidi w:val="0"/>
              <w:spacing w:before="57" w:after="57"/>
              <w:rPr>
                <w:rFonts w:ascii="Microsoft YaHei" w:hAnsi="Microsoft YaHei" w:eastAsia="Microsoft YaHei"/>
                <w:b/>
                <w:color w:val="FFFFFF"/>
                <w:sz w:val="18"/>
              </w:rPr>
            </w:pPr>
            <w:r>
              <w:rPr>
                <w:rFonts w:ascii="Microsoft YaHei" w:hAnsi="Microsoft YaHei"/>
                <w:color w:val="FFFFFF"/>
              </w:rPr>
              <w:t>时期</w:t>
            </w:r>
          </w:p>
        </w:tc>
        <w:tc>
          <w:tcPr>
            <w:tcW w:w="2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19334D" w:val="clear"/>
          </w:tcPr>
          <w:p>
            <w:pPr>
              <w:pStyle w:val="Style16"/>
              <w:bidi w:val="0"/>
              <w:spacing w:before="57" w:after="57"/>
              <w:rPr>
                <w:rFonts w:ascii="Microsoft YaHei" w:hAnsi="Microsoft YaHei" w:eastAsia="Microsoft YaHei"/>
                <w:b/>
                <w:color w:val="FFFFFF"/>
                <w:sz w:val="18"/>
              </w:rPr>
            </w:pPr>
            <w:r>
              <w:rPr>
                <w:rFonts w:ascii="Microsoft YaHei" w:hAnsi="Microsoft YaHei"/>
                <w:color w:val="FFFFFF"/>
              </w:rPr>
              <w:t>约略年代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19334D" w:val="clear"/>
          </w:tcPr>
          <w:p>
            <w:pPr>
              <w:pStyle w:val="Style16"/>
              <w:bidi w:val="0"/>
              <w:spacing w:before="57" w:after="57"/>
              <w:rPr>
                <w:rFonts w:ascii="Microsoft YaHei" w:hAnsi="Microsoft YaHei" w:eastAsia="Microsoft YaHei"/>
                <w:b/>
                <w:color w:val="FFFFFF"/>
                <w:sz w:val="18"/>
              </w:rPr>
            </w:pPr>
            <w:r>
              <w:rPr>
                <w:rFonts w:ascii="Microsoft YaHei" w:hAnsi="Microsoft YaHei"/>
                <w:color w:val="FFFFFF"/>
              </w:rPr>
              <w:t>持续时间（展示）</w:t>
            </w:r>
          </w:p>
        </w:tc>
        <w:tc>
          <w:tcPr>
            <w:tcW w:w="3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9334D" w:val="clear"/>
          </w:tcPr>
          <w:p>
            <w:pPr>
              <w:pStyle w:val="Style16"/>
              <w:bidi w:val="0"/>
              <w:spacing w:before="57" w:after="57"/>
              <w:rPr>
                <w:rFonts w:ascii="Microsoft YaHei" w:hAnsi="Microsoft YaHei" w:eastAsia="Microsoft YaHei"/>
                <w:b/>
                <w:color w:val="FFFFFF"/>
                <w:sz w:val="18"/>
              </w:rPr>
            </w:pPr>
            <w:r>
              <w:rPr>
                <w:rFonts w:ascii="Microsoft YaHei" w:hAnsi="Microsoft YaHei"/>
                <w:color w:val="FFFFFF"/>
              </w:rPr>
              <w:t>代表性变化</w:t>
            </w:r>
          </w:p>
        </w:tc>
      </w:tr>
      <w:tr>
        <w:trPr/>
        <w:tc>
          <w:tcPr>
            <w:tcW w:w="2120" w:type="dxa"/>
            <w:tcBorders>
              <w:start w:val="single" w:sz="4" w:space="0" w:color="000000"/>
              <w:bottom w:val="single" w:sz="4" w:space="0" w:color="000000"/>
            </w:tcBorders>
            <w:shd w:fill="F1EBDD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>前王朝与早王朝</w:t>
            </w:r>
          </w:p>
        </w:tc>
        <w:tc>
          <w:tcPr>
            <w:tcW w:w="2120" w:type="dxa"/>
            <w:tcBorders>
              <w:start w:val="single" w:sz="4" w:space="0" w:color="000000"/>
              <w:bottom w:val="single" w:sz="4" w:space="0" w:color="000000"/>
            </w:tcBorders>
            <w:shd w:fill="F1EBDD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 xml:space="preserve">约前 </w:t>
            </w:r>
            <w:r>
              <w:rPr>
                <w:rFonts w:eastAsia="Microsoft YaHei"/>
                <w:color w:val="2E4057"/>
                <w:sz w:val="18"/>
              </w:rPr>
              <w:t>5500—2686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  <w:shd w:fill="F1EBDD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 xml:space="preserve">约 </w:t>
            </w:r>
            <w:r>
              <w:rPr>
                <w:rFonts w:eastAsia="Microsoft YaHei"/>
                <w:color w:val="2E4057"/>
                <w:sz w:val="18"/>
              </w:rPr>
              <w:t xml:space="preserve">2814 </w:t>
            </w:r>
            <w:r>
              <w:rPr>
                <w:rFonts w:ascii="Microsoft YaHei" w:hAnsi="Microsoft YaHei"/>
                <w:color w:val="2E4057"/>
              </w:rPr>
              <w:t>年</w:t>
            </w:r>
          </w:p>
        </w:tc>
        <w:tc>
          <w:tcPr>
            <w:tcW w:w="34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EBDD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>农业聚落、统一国家与王权符号</w:t>
            </w:r>
          </w:p>
        </w:tc>
      </w:tr>
      <w:tr>
        <w:trPr/>
        <w:tc>
          <w:tcPr>
            <w:tcW w:w="2120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>古王国</w:t>
            </w:r>
          </w:p>
        </w:tc>
        <w:tc>
          <w:tcPr>
            <w:tcW w:w="2120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 xml:space="preserve">前 </w:t>
            </w:r>
            <w:r>
              <w:rPr>
                <w:rFonts w:eastAsia="Microsoft YaHei"/>
                <w:color w:val="2E4057"/>
                <w:sz w:val="18"/>
              </w:rPr>
              <w:t>2686—2181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 xml:space="preserve">约 </w:t>
            </w:r>
            <w:r>
              <w:rPr>
                <w:rFonts w:eastAsia="Microsoft YaHei"/>
                <w:color w:val="2E4057"/>
                <w:sz w:val="18"/>
              </w:rPr>
              <w:t xml:space="preserve">505 </w:t>
            </w:r>
            <w:r>
              <w:rPr>
                <w:rFonts w:ascii="Microsoft YaHei" w:hAnsi="Microsoft YaHei"/>
                <w:color w:val="2E4057"/>
              </w:rPr>
              <w:t>年</w:t>
            </w:r>
          </w:p>
        </w:tc>
        <w:tc>
          <w:tcPr>
            <w:tcW w:w="34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>中央集权与大型石材工程</w:t>
            </w:r>
          </w:p>
        </w:tc>
      </w:tr>
      <w:tr>
        <w:trPr/>
        <w:tc>
          <w:tcPr>
            <w:tcW w:w="2120" w:type="dxa"/>
            <w:tcBorders>
              <w:start w:val="single" w:sz="4" w:space="0" w:color="000000"/>
              <w:bottom w:val="single" w:sz="4" w:space="0" w:color="000000"/>
            </w:tcBorders>
            <w:shd w:fill="F1EBDD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>中王国</w:t>
            </w:r>
          </w:p>
        </w:tc>
        <w:tc>
          <w:tcPr>
            <w:tcW w:w="2120" w:type="dxa"/>
            <w:tcBorders>
              <w:start w:val="single" w:sz="4" w:space="0" w:color="000000"/>
              <w:bottom w:val="single" w:sz="4" w:space="0" w:color="000000"/>
            </w:tcBorders>
            <w:shd w:fill="F1EBDD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 xml:space="preserve">前 </w:t>
            </w:r>
            <w:r>
              <w:rPr>
                <w:rFonts w:eastAsia="Microsoft YaHei"/>
                <w:color w:val="2E4057"/>
                <w:sz w:val="18"/>
              </w:rPr>
              <w:t>2134—1690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  <w:shd w:fill="F1EBDD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 xml:space="preserve">约 </w:t>
            </w:r>
            <w:r>
              <w:rPr>
                <w:rFonts w:eastAsia="Microsoft YaHei"/>
                <w:color w:val="2E4057"/>
                <w:sz w:val="18"/>
              </w:rPr>
              <w:t xml:space="preserve">444 </w:t>
            </w:r>
            <w:r>
              <w:rPr>
                <w:rFonts w:ascii="Microsoft YaHei" w:hAnsi="Microsoft YaHei"/>
                <w:color w:val="2E4057"/>
              </w:rPr>
              <w:t>年</w:t>
            </w:r>
          </w:p>
        </w:tc>
        <w:tc>
          <w:tcPr>
            <w:tcW w:w="34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EBDD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>行政再整合与文学发展</w:t>
            </w:r>
          </w:p>
        </w:tc>
      </w:tr>
      <w:tr>
        <w:trPr/>
        <w:tc>
          <w:tcPr>
            <w:tcW w:w="2120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>新王国</w:t>
            </w:r>
          </w:p>
        </w:tc>
        <w:tc>
          <w:tcPr>
            <w:tcW w:w="2120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 xml:space="preserve">前 </w:t>
            </w:r>
            <w:r>
              <w:rPr>
                <w:rFonts w:eastAsia="Microsoft YaHei"/>
                <w:color w:val="2E4057"/>
                <w:sz w:val="18"/>
              </w:rPr>
              <w:t>1549—1069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 xml:space="preserve">约 </w:t>
            </w:r>
            <w:r>
              <w:rPr>
                <w:rFonts w:eastAsia="Microsoft YaHei"/>
                <w:color w:val="2E4057"/>
                <w:sz w:val="18"/>
              </w:rPr>
              <w:t xml:space="preserve">480 </w:t>
            </w:r>
            <w:r>
              <w:rPr>
                <w:rFonts w:ascii="Microsoft YaHei" w:hAnsi="Microsoft YaHei"/>
                <w:color w:val="2E4057"/>
              </w:rPr>
              <w:t>年</w:t>
            </w:r>
          </w:p>
        </w:tc>
        <w:tc>
          <w:tcPr>
            <w:tcW w:w="34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>帝国扩张、神庙与国际外交</w:t>
            </w:r>
          </w:p>
        </w:tc>
      </w:tr>
      <w:tr>
        <w:trPr/>
        <w:tc>
          <w:tcPr>
            <w:tcW w:w="2120" w:type="dxa"/>
            <w:tcBorders>
              <w:start w:val="single" w:sz="4" w:space="0" w:color="000000"/>
              <w:bottom w:val="single" w:sz="4" w:space="0" w:color="000000"/>
            </w:tcBorders>
            <w:shd w:fill="F1EBDD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>晚期至托勒密</w:t>
            </w:r>
          </w:p>
        </w:tc>
        <w:tc>
          <w:tcPr>
            <w:tcW w:w="2120" w:type="dxa"/>
            <w:tcBorders>
              <w:start w:val="single" w:sz="4" w:space="0" w:color="000000"/>
              <w:bottom w:val="single" w:sz="4" w:space="0" w:color="000000"/>
            </w:tcBorders>
            <w:shd w:fill="F1EBDD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 xml:space="preserve">前 </w:t>
            </w:r>
            <w:r>
              <w:rPr>
                <w:rFonts w:eastAsia="Microsoft YaHei"/>
                <w:color w:val="2E4057"/>
                <w:sz w:val="18"/>
              </w:rPr>
              <w:t>664—30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  <w:shd w:fill="F1EBDD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 xml:space="preserve">约 </w:t>
            </w:r>
            <w:r>
              <w:rPr>
                <w:rFonts w:eastAsia="Microsoft YaHei"/>
                <w:color w:val="2E4057"/>
                <w:sz w:val="18"/>
              </w:rPr>
              <w:t xml:space="preserve">634 </w:t>
            </w:r>
            <w:r>
              <w:rPr>
                <w:rFonts w:ascii="Microsoft YaHei" w:hAnsi="Microsoft YaHei"/>
                <w:color w:val="2E4057"/>
              </w:rPr>
              <w:t>年</w:t>
            </w:r>
          </w:p>
        </w:tc>
        <w:tc>
          <w:tcPr>
            <w:tcW w:w="34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EBDD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>多中心竞争、复兴与希腊化治理</w:t>
            </w:r>
          </w:p>
        </w:tc>
      </w:tr>
    </w:tbl>
    <w:p>
      <w:pPr>
        <w:pStyle w:val="BodyText"/>
        <w:numPr>
          <w:ilvl w:val="0"/>
          <w:numId w:val="0"/>
        </w:numPr>
        <w:bidi w:val="0"/>
        <w:spacing w:lineRule="auto" w:line="348" w:before="0" w:after="125"/>
        <w:jc w:val="start"/>
        <w:rPr>
          <w:b w:val="false"/>
          <w:i w:val="false"/>
          <w:vanish w:val="false"/>
          <w:color w:val="2E4057"/>
          <w:sz w:val="23"/>
        </w:rPr>
      </w:pPr>
      <w:r>
        <w:rPr>
          <w:b w:val="false"/>
          <w:i w:val="false"/>
          <w:vanish w:val="false"/>
          <w:color w:val="2E4057"/>
          <w:sz w:val="23"/>
        </w:rPr>
      </w:r>
    </w:p>
    <w:p>
      <w:pPr>
        <w:pStyle w:val="BodyText"/>
        <w:numPr>
          <w:ilvl w:val="0"/>
          <w:numId w:val="0"/>
        </w:numPr>
        <w:bidi w:val="0"/>
        <w:spacing w:lineRule="auto" w:line="312" w:before="136" w:after="45"/>
        <w:jc w:val="start"/>
        <w:rPr>
          <w:b/>
          <w:i w:val="false"/>
          <w:vanish w:val="false"/>
          <w:color w:val="1F7A83"/>
          <w:sz w:val="26"/>
        </w:rPr>
      </w:pPr>
      <w:bookmarkStart w:id="18" w:name="wp_timeline_chart_title"/>
      <w:r>
        <w:rPr>
          <w:vanish w:val="false"/>
          <w:color w:val="1F7A83"/>
        </w:rPr>
        <w:t>主要历史时期持续时间对比</w:t>
      </w:r>
      <w:bookmarkEnd w:id="18"/>
    </w:p>
    <w:p>
      <w:pPr>
        <w:pStyle w:val="BodyText"/>
        <w:numPr>
          <w:ilvl w:val="0"/>
          <w:numId w:val="0"/>
        </w:numPr>
        <w:bidi w:val="0"/>
        <w:spacing w:lineRule="auto" w:line="312" w:before="136" w:after="57"/>
        <w:jc w:val="center"/>
        <w:rPr>
          <w:b/>
          <w:i w:val="false"/>
          <w:vanish w:val="false"/>
          <w:color w:val="1F7A83"/>
          <w:sz w:val="26"/>
        </w:rPr>
      </w:pPr>
      <w:r>
        <w:rPr>
          <w:b/>
          <w:i w:val="false"/>
          <w:vanish w:val="false"/>
          <w:color w:val="1F7A83"/>
          <w:sz w:val="26"/>
        </w:rPr>
        <w:drawing>
          <wp:inline distT="0" distB="0" distL="0" distR="0">
            <wp:extent cx="4860290" cy="2638425"/>
            <wp:effectExtent l="0" t="0" r="0" b="0"/>
            <wp:docPr id="3" name="wp_timeline_bar_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p_timeline_bar_chart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290" cy="2638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0"/>
        </w:numPr>
        <w:bidi w:val="0"/>
        <w:spacing w:lineRule="auto" w:line="312" w:before="0" w:after="0"/>
        <w:jc w:val="center"/>
        <w:rPr>
          <w:b w:val="false"/>
          <w:i/>
          <w:vanish w:val="false"/>
          <w:color w:val="6D788E"/>
          <w:sz w:val="18"/>
        </w:rPr>
      </w:pPr>
      <w:bookmarkStart w:id="19" w:name="wp_timeline_chart_caption"/>
      <w:r>
        <w:rPr>
          <w:vanish w:val="false"/>
          <w:color w:val="6D788E"/>
        </w:rPr>
        <w:t>条形长度为教学展示用的近似跨度；重点在比较制度稳定与重组频率。</w:t>
      </w:r>
      <w:bookmarkEnd w:id="19"/>
      <w:r>
        <w:br w:type="page"/>
      </w:r>
    </w:p>
    <w:p>
      <w:pPr>
        <w:pStyle w:val="BodyText"/>
        <w:numPr>
          <w:ilvl w:val="0"/>
          <w:numId w:val="0"/>
        </w:numPr>
        <w:bidi w:val="0"/>
        <w:spacing w:lineRule="auto" w:line="312" w:before="0" w:after="0"/>
        <w:jc w:val="center"/>
        <w:rPr>
          <w:b w:val="false"/>
          <w:i/>
          <w:vanish/>
          <w:color w:val="6D788E"/>
          <w:sz w:val="18"/>
        </w:rPr>
      </w:pPr>
      <w:bookmarkStart w:id="20" w:name="wp_break_nile"/>
      <w:r>
        <w:rPr>
          <w:b w:val="false"/>
          <w:i/>
          <w:vanish/>
          <w:color w:val="6D788E"/>
          <w:sz w:val="18"/>
        </w:rPr>
        <w:t>⁠</w:t>
      </w:r>
      <w:bookmarkEnd w:id="20"/>
    </w:p>
    <w:p>
      <w:pPr>
        <w:pStyle w:val="BodyText"/>
        <w:numPr>
          <w:ilvl w:val="0"/>
          <w:numId w:val="0"/>
        </w:numPr>
        <w:bidi w:val="0"/>
        <w:spacing w:lineRule="auto" w:line="312" w:before="0" w:after="45"/>
        <w:jc w:val="start"/>
        <w:rPr>
          <w:b/>
          <w:i w:val="false"/>
          <w:vanish w:val="false"/>
          <w:color w:val="C79A43"/>
          <w:sz w:val="20"/>
        </w:rPr>
      </w:pPr>
      <w:bookmarkStart w:id="21" w:name="wp_nile_eyebrow"/>
      <w:r>
        <w:rPr>
          <w:b/>
          <w:i w:val="false"/>
          <w:vanish w:val="false"/>
          <w:color w:val="C79A43"/>
          <w:sz w:val="20"/>
        </w:rPr>
        <w:t>LINE CHART + SYSTEM MODEL</w:t>
      </w:r>
      <w:bookmarkEnd w:id="21"/>
    </w:p>
    <w:p>
      <w:pPr>
        <w:pStyle w:val="Heading1"/>
        <w:bidi w:val="0"/>
        <w:spacing w:lineRule="auto" w:line="274" w:before="0" w:after="102"/>
        <w:ind w:hanging="0" w:start="0"/>
        <w:jc w:val="start"/>
        <w:rPr>
          <w:b/>
          <w:i w:val="false"/>
          <w:color w:val="19334D"/>
          <w:sz w:val="48"/>
        </w:rPr>
      </w:pPr>
      <w:bookmarkStart w:id="22" w:name="wp_nile_title"/>
      <w:r>
        <w:rPr>
          <w:color w:val="19334D"/>
        </w:rPr>
        <w:t>尼罗河：从自然波动到公共能力</w:t>
      </w:r>
      <w:bookmarkEnd w:id="22"/>
    </w:p>
    <w:p>
      <w:pPr>
        <w:pStyle w:val="BodyText"/>
        <w:numPr>
          <w:ilvl w:val="0"/>
          <w:numId w:val="0"/>
        </w:numPr>
        <w:bidi w:val="0"/>
        <w:spacing w:lineRule="auto" w:line="348" w:before="0" w:after="125"/>
        <w:jc w:val="start"/>
        <w:rPr>
          <w:b w:val="false"/>
          <w:i w:val="false"/>
          <w:vanish w:val="false"/>
          <w:color w:val="2E4057"/>
          <w:sz w:val="23"/>
        </w:rPr>
      </w:pPr>
      <w:bookmarkStart w:id="23" w:name="wp_nile_intro"/>
      <w:r>
        <w:rPr>
          <w:vanish w:val="false"/>
          <w:color w:val="2E4057"/>
        </w:rPr>
        <w:t>洪水本身不是文明。只有当季节观测、粮食征收、工程调度与制度记忆形成闭环，水文变化才会转化为可持续的农业剩余与国家能力。</w:t>
      </w:r>
      <w:bookmarkEnd w:id="23"/>
    </w:p>
    <w:p>
      <w:pPr>
        <w:pStyle w:val="BodyText"/>
        <w:numPr>
          <w:ilvl w:val="0"/>
          <w:numId w:val="0"/>
        </w:numPr>
        <w:bidi w:val="0"/>
        <w:spacing w:lineRule="auto" w:line="348" w:before="0" w:after="68"/>
        <w:jc w:val="center"/>
        <w:rPr>
          <w:b w:val="false"/>
          <w:i w:val="false"/>
          <w:vanish w:val="false"/>
          <w:color w:val="2E4057"/>
          <w:sz w:val="23"/>
        </w:rPr>
      </w:pPr>
      <w:r>
        <w:rPr>
          <w:b w:val="false"/>
          <w:i w:val="false"/>
          <w:vanish w:val="false"/>
          <w:color w:val="2E4057"/>
          <w:sz w:val="23"/>
        </w:rPr>
        <w:drawing>
          <wp:inline distT="0" distB="0" distL="0" distR="0">
            <wp:extent cx="5975985" cy="3244215"/>
            <wp:effectExtent l="0" t="0" r="0" b="0"/>
            <wp:docPr id="4" name="wp_nile_line_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p_nile_line_char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985" cy="3244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0"/>
        </w:numPr>
        <w:bidi w:val="0"/>
        <w:spacing w:lineRule="auto" w:line="348" w:before="0" w:after="68"/>
        <w:jc w:val="center"/>
        <w:rPr>
          <w:b w:val="false"/>
          <w:i w:val="false"/>
          <w:vanish/>
          <w:color w:val="2E4057"/>
          <w:sz w:val="23"/>
        </w:rPr>
      </w:pPr>
      <w:bookmarkStart w:id="24" w:name="wp_nile_process_table"/>
      <w:r>
        <w:rPr>
          <w:b w:val="false"/>
          <w:i w:val="false"/>
          <w:vanish/>
          <w:color w:val="2E4057"/>
          <w:sz w:val="23"/>
        </w:rPr>
        <w:t>⁠</w:t>
      </w:r>
      <w:bookmarkEnd w:id="24"/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120"/>
        <w:gridCol w:w="4048"/>
        <w:gridCol w:w="3470"/>
      </w:tblGrid>
      <w:tr>
        <w:trPr>
          <w:tblHeader w:val="true"/>
        </w:trPr>
        <w:tc>
          <w:tcPr>
            <w:tcW w:w="2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1F7A83" w:val="clear"/>
          </w:tcPr>
          <w:p>
            <w:pPr>
              <w:pStyle w:val="Style16"/>
              <w:bidi w:val="0"/>
              <w:spacing w:before="57" w:after="57"/>
              <w:rPr>
                <w:rFonts w:ascii="Microsoft YaHei" w:hAnsi="Microsoft YaHei" w:eastAsia="Microsoft YaHei"/>
                <w:b/>
                <w:color w:val="FFFFFF"/>
                <w:sz w:val="18"/>
              </w:rPr>
            </w:pPr>
            <w:r>
              <w:rPr>
                <w:rFonts w:ascii="Microsoft YaHei" w:hAnsi="Microsoft YaHei"/>
                <w:color w:val="FFFFFF"/>
              </w:rPr>
              <w:t>环节</w:t>
            </w:r>
          </w:p>
        </w:tc>
        <w:tc>
          <w:tcPr>
            <w:tcW w:w="4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1F7A83" w:val="clear"/>
          </w:tcPr>
          <w:p>
            <w:pPr>
              <w:pStyle w:val="Style16"/>
              <w:bidi w:val="0"/>
              <w:spacing w:before="57" w:after="57"/>
              <w:rPr>
                <w:rFonts w:ascii="Microsoft YaHei" w:hAnsi="Microsoft YaHei" w:eastAsia="Microsoft YaHei"/>
                <w:b/>
                <w:color w:val="FFFFFF"/>
                <w:sz w:val="18"/>
              </w:rPr>
            </w:pPr>
            <w:r>
              <w:rPr>
                <w:rFonts w:ascii="Microsoft YaHei" w:hAnsi="Microsoft YaHei"/>
                <w:color w:val="FFFFFF"/>
              </w:rPr>
              <w:t>核心动作</w:t>
            </w:r>
          </w:p>
        </w:tc>
        <w:tc>
          <w:tcPr>
            <w:tcW w:w="3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7A83" w:val="clear"/>
          </w:tcPr>
          <w:p>
            <w:pPr>
              <w:pStyle w:val="Style16"/>
              <w:bidi w:val="0"/>
              <w:spacing w:before="57" w:after="57"/>
              <w:rPr>
                <w:rFonts w:ascii="Microsoft YaHei" w:hAnsi="Microsoft YaHei" w:eastAsia="Microsoft YaHei"/>
                <w:b/>
                <w:color w:val="FFFFFF"/>
                <w:sz w:val="18"/>
              </w:rPr>
            </w:pPr>
            <w:r>
              <w:rPr>
                <w:rFonts w:eastAsia="Microsoft YaHei"/>
                <w:b/>
                <w:color w:val="FFFFFF"/>
                <w:sz w:val="18"/>
              </w:rPr>
              <w:t xml:space="preserve">UNO </w:t>
            </w:r>
            <w:r>
              <w:rPr>
                <w:rFonts w:ascii="Microsoft YaHei" w:hAnsi="Microsoft YaHei"/>
                <w:color w:val="FFFFFF"/>
              </w:rPr>
              <w:t>报告中的表达</w:t>
            </w:r>
          </w:p>
        </w:tc>
      </w:tr>
      <w:tr>
        <w:trPr/>
        <w:tc>
          <w:tcPr>
            <w:tcW w:w="2120" w:type="dxa"/>
            <w:tcBorders>
              <w:start w:val="single" w:sz="4" w:space="0" w:color="000000"/>
              <w:bottom w:val="single" w:sz="4" w:space="0" w:color="000000"/>
            </w:tcBorders>
            <w:shd w:fill="F1EBDD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eastAsia="Microsoft YaHei"/>
                <w:color w:val="2E4057"/>
                <w:sz w:val="18"/>
              </w:rPr>
              <w:t xml:space="preserve">01 </w:t>
            </w:r>
            <w:r>
              <w:rPr>
                <w:rFonts w:ascii="Microsoft YaHei" w:hAnsi="Microsoft YaHei"/>
                <w:color w:val="2E4057"/>
              </w:rPr>
              <w:t>洪泛观测</w:t>
            </w:r>
          </w:p>
        </w:tc>
        <w:tc>
          <w:tcPr>
            <w:tcW w:w="4048" w:type="dxa"/>
            <w:tcBorders>
              <w:start w:val="single" w:sz="4" w:space="0" w:color="000000"/>
              <w:bottom w:val="single" w:sz="4" w:space="0" w:color="000000"/>
            </w:tcBorders>
            <w:shd w:fill="F1EBDD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>识别季节变化与河道状态</w:t>
            </w:r>
          </w:p>
        </w:tc>
        <w:tc>
          <w:tcPr>
            <w:tcW w:w="34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EBDD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>折线图、说明文字</w:t>
            </w:r>
          </w:p>
        </w:tc>
      </w:tr>
      <w:tr>
        <w:trPr/>
        <w:tc>
          <w:tcPr>
            <w:tcW w:w="2120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eastAsia="Microsoft YaHei"/>
                <w:color w:val="2E4057"/>
                <w:sz w:val="18"/>
              </w:rPr>
              <w:t xml:space="preserve">02 </w:t>
            </w:r>
            <w:r>
              <w:rPr>
                <w:rFonts w:ascii="Microsoft YaHei" w:hAnsi="Microsoft YaHei"/>
                <w:color w:val="2E4057"/>
              </w:rPr>
              <w:t>税粮征集</w:t>
            </w:r>
          </w:p>
        </w:tc>
        <w:tc>
          <w:tcPr>
            <w:tcW w:w="4048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>把农业剩余转化为公共资源</w:t>
            </w:r>
          </w:p>
        </w:tc>
        <w:tc>
          <w:tcPr>
            <w:tcW w:w="34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>表格、重点段落</w:t>
            </w:r>
          </w:p>
        </w:tc>
      </w:tr>
      <w:tr>
        <w:trPr/>
        <w:tc>
          <w:tcPr>
            <w:tcW w:w="2120" w:type="dxa"/>
            <w:tcBorders>
              <w:start w:val="single" w:sz="4" w:space="0" w:color="000000"/>
              <w:bottom w:val="single" w:sz="4" w:space="0" w:color="000000"/>
            </w:tcBorders>
            <w:shd w:fill="F1EBDD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eastAsia="Microsoft YaHei"/>
                <w:color w:val="2E4057"/>
                <w:sz w:val="18"/>
              </w:rPr>
              <w:t xml:space="preserve">03 </w:t>
            </w:r>
            <w:r>
              <w:rPr>
                <w:rFonts w:ascii="Microsoft YaHei" w:hAnsi="Microsoft YaHei"/>
                <w:color w:val="2E4057"/>
              </w:rPr>
              <w:t>工程调度</w:t>
            </w:r>
          </w:p>
        </w:tc>
        <w:tc>
          <w:tcPr>
            <w:tcW w:w="4048" w:type="dxa"/>
            <w:tcBorders>
              <w:start w:val="single" w:sz="4" w:space="0" w:color="000000"/>
              <w:bottom w:val="single" w:sz="4" w:space="0" w:color="000000"/>
            </w:tcBorders>
            <w:shd w:fill="F1EBDD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>组织人员、材料与时间</w:t>
            </w:r>
          </w:p>
        </w:tc>
        <w:tc>
          <w:tcPr>
            <w:tcW w:w="34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EBDD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>流程矩阵、图片</w:t>
            </w:r>
          </w:p>
        </w:tc>
      </w:tr>
      <w:tr>
        <w:trPr/>
        <w:tc>
          <w:tcPr>
            <w:tcW w:w="2120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eastAsia="Microsoft YaHei"/>
                <w:color w:val="2E4057"/>
                <w:sz w:val="18"/>
              </w:rPr>
              <w:t xml:space="preserve">04 </w:t>
            </w:r>
            <w:r>
              <w:rPr>
                <w:rFonts w:ascii="Microsoft YaHei" w:hAnsi="Microsoft YaHei"/>
                <w:color w:val="2E4057"/>
              </w:rPr>
              <w:t>制度记忆</w:t>
            </w:r>
          </w:p>
        </w:tc>
        <w:tc>
          <w:tcPr>
            <w:tcW w:w="4048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>以文字、仪式和档案保持连续</w:t>
            </w:r>
          </w:p>
        </w:tc>
        <w:tc>
          <w:tcPr>
            <w:tcW w:w="34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>标题层级、列表、页眉页脚</w:t>
            </w:r>
          </w:p>
        </w:tc>
      </w:tr>
    </w:tbl>
    <w:p>
      <w:pPr>
        <w:pStyle w:val="BodyText"/>
        <w:numPr>
          <w:ilvl w:val="0"/>
          <w:numId w:val="0"/>
        </w:numPr>
        <w:bidi w:val="0"/>
        <w:spacing w:lineRule="auto" w:line="348" w:before="0" w:after="68"/>
        <w:jc w:val="center"/>
        <w:rPr>
          <w:b w:val="false"/>
          <w:i w:val="false"/>
          <w:vanish w:val="false"/>
          <w:color w:val="2E4057"/>
          <w:sz w:val="23"/>
        </w:rPr>
      </w:pPr>
      <w:r>
        <w:rPr>
          <w:b w:val="false"/>
          <w:i w:val="false"/>
          <w:vanish w:val="false"/>
          <w:color w:val="2E4057"/>
          <w:sz w:val="23"/>
        </w:rPr>
      </w:r>
    </w:p>
    <w:p>
      <w:pPr>
        <w:pStyle w:val="BodyText"/>
        <w:numPr>
          <w:ilvl w:val="0"/>
          <w:numId w:val="0"/>
        </w:numPr>
        <w:bidi w:val="0"/>
        <w:spacing w:lineRule="auto" w:line="312" w:before="125" w:after="0"/>
        <w:jc w:val="start"/>
        <w:rPr>
          <w:b w:val="false"/>
          <w:i/>
          <w:vanish w:val="false"/>
          <w:color w:val="6D788E"/>
          <w:sz w:val="19"/>
        </w:rPr>
      </w:pPr>
      <w:bookmarkStart w:id="25" w:name="wp_nile_note"/>
      <w:r>
        <w:rPr>
          <w:vanish w:val="false"/>
          <w:color w:val="6D788E"/>
        </w:rPr>
        <w:t xml:space="preserve">图中指数为展示性数据，不代表历史测量；它用于测试 </w:t>
      </w:r>
      <w:r>
        <w:rPr>
          <w:b w:val="false"/>
          <w:i/>
          <w:vanish w:val="false"/>
          <w:color w:val="6D788E"/>
          <w:sz w:val="19"/>
        </w:rPr>
        <w:t xml:space="preserve">UNO SVG </w:t>
      </w:r>
      <w:r>
        <w:rPr>
          <w:vanish w:val="false"/>
          <w:color w:val="6D788E"/>
        </w:rPr>
        <w:t xml:space="preserve">嵌入、比例保持与 </w:t>
      </w:r>
      <w:r>
        <w:rPr>
          <w:b w:val="false"/>
          <w:i/>
          <w:vanish w:val="false"/>
          <w:color w:val="6D788E"/>
          <w:sz w:val="19"/>
        </w:rPr>
        <w:t xml:space="preserve">PDF </w:t>
      </w:r>
      <w:r>
        <w:rPr>
          <w:vanish w:val="false"/>
          <w:color w:val="6D788E"/>
        </w:rPr>
        <w:t>输出的一致性。</w:t>
      </w:r>
      <w:bookmarkEnd w:id="25"/>
      <w:r>
        <w:br w:type="page"/>
      </w:r>
    </w:p>
    <w:p>
      <w:pPr>
        <w:pStyle w:val="BodyText"/>
        <w:numPr>
          <w:ilvl w:val="0"/>
          <w:numId w:val="0"/>
        </w:numPr>
        <w:bidi w:val="0"/>
        <w:spacing w:lineRule="auto" w:line="312" w:before="125" w:after="0"/>
        <w:jc w:val="start"/>
        <w:rPr>
          <w:b w:val="false"/>
          <w:i/>
          <w:vanish/>
          <w:color w:val="6D788E"/>
          <w:sz w:val="19"/>
        </w:rPr>
      </w:pPr>
      <w:bookmarkStart w:id="26" w:name="wp_break_governance"/>
      <w:r>
        <w:rPr>
          <w:b w:val="false"/>
          <w:i/>
          <w:vanish/>
          <w:color w:val="6D788E"/>
          <w:sz w:val="19"/>
        </w:rPr>
        <w:t>⁠</w:t>
      </w:r>
      <w:bookmarkEnd w:id="26"/>
    </w:p>
    <w:p>
      <w:pPr>
        <w:pStyle w:val="BodyText"/>
        <w:numPr>
          <w:ilvl w:val="0"/>
          <w:numId w:val="0"/>
        </w:numPr>
        <w:bidi w:val="0"/>
        <w:spacing w:lineRule="auto" w:line="312" w:before="0" w:after="45"/>
        <w:jc w:val="start"/>
        <w:rPr>
          <w:b/>
          <w:i w:val="false"/>
          <w:vanish w:val="false"/>
          <w:color w:val="C79A43"/>
          <w:sz w:val="20"/>
        </w:rPr>
      </w:pPr>
      <w:bookmarkStart w:id="27" w:name="wp_governance_eyebrow"/>
      <w:r>
        <w:rPr>
          <w:b/>
          <w:i w:val="false"/>
          <w:vanish w:val="false"/>
          <w:color w:val="C79A43"/>
          <w:sz w:val="20"/>
        </w:rPr>
        <w:t>GOVERNANCE DIAGRAM</w:t>
      </w:r>
      <w:bookmarkEnd w:id="27"/>
    </w:p>
    <w:p>
      <w:pPr>
        <w:pStyle w:val="Heading1"/>
        <w:bidi w:val="0"/>
        <w:spacing w:lineRule="auto" w:line="274" w:before="0" w:after="102"/>
        <w:ind w:hanging="0" w:start="0"/>
        <w:jc w:val="start"/>
        <w:rPr>
          <w:b/>
          <w:i w:val="false"/>
          <w:color w:val="19334D"/>
          <w:sz w:val="48"/>
        </w:rPr>
      </w:pPr>
      <w:bookmarkStart w:id="28" w:name="wp_governance_title"/>
      <w:r>
        <w:rPr>
          <w:color w:val="19334D"/>
        </w:rPr>
        <w:t>治理结构：权力如何向下传导</w:t>
      </w:r>
      <w:bookmarkEnd w:id="28"/>
    </w:p>
    <w:p>
      <w:pPr>
        <w:pStyle w:val="BodyText"/>
        <w:numPr>
          <w:ilvl w:val="0"/>
          <w:numId w:val="0"/>
        </w:numPr>
        <w:bidi w:val="0"/>
        <w:spacing w:lineRule="auto" w:line="348" w:before="0" w:after="125"/>
        <w:jc w:val="start"/>
        <w:rPr>
          <w:b w:val="false"/>
          <w:i w:val="false"/>
          <w:vanish w:val="false"/>
          <w:color w:val="2E4057"/>
          <w:sz w:val="23"/>
        </w:rPr>
      </w:pPr>
      <w:bookmarkStart w:id="29" w:name="wp_governance_intro"/>
      <w:r>
        <w:rPr>
          <w:vanish w:val="false"/>
          <w:color w:val="2E4057"/>
        </w:rPr>
        <w:t>法老位于象征与决策顶端，维齐尔和中央行政承担税收、工程与司法；神庙、书记和地方治理构成中间层，社会生产者则是国家动员的基础。</w:t>
      </w:r>
      <w:bookmarkEnd w:id="29"/>
    </w:p>
    <w:p>
      <w:pPr>
        <w:pStyle w:val="BodyText"/>
        <w:numPr>
          <w:ilvl w:val="0"/>
          <w:numId w:val="0"/>
        </w:numPr>
        <w:bidi w:val="0"/>
        <w:spacing w:lineRule="auto" w:line="348" w:before="0" w:after="125"/>
        <w:jc w:val="start"/>
        <w:rPr>
          <w:b w:val="false"/>
          <w:i w:val="false"/>
          <w:vanish/>
          <w:color w:val="2E4057"/>
          <w:sz w:val="23"/>
        </w:rPr>
      </w:pPr>
      <w:bookmarkStart w:id="30" w:name="wp_governance_hierarchy_table"/>
      <w:r>
        <w:rPr>
          <w:b w:val="false"/>
          <w:i w:val="false"/>
          <w:vanish/>
          <w:color w:val="2E4057"/>
          <w:sz w:val="23"/>
        </w:rPr>
        <w:t>⁠</w:t>
      </w:r>
      <w:bookmarkEnd w:id="30"/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542"/>
        <w:gridCol w:w="2313"/>
        <w:gridCol w:w="3566"/>
        <w:gridCol w:w="2217"/>
      </w:tblGrid>
      <w:tr>
        <w:trPr>
          <w:tblHeader w:val="true"/>
        </w:trPr>
        <w:tc>
          <w:tcPr>
            <w:tcW w:w="1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19334D" w:val="clear"/>
          </w:tcPr>
          <w:p>
            <w:pPr>
              <w:pStyle w:val="Style16"/>
              <w:bidi w:val="0"/>
              <w:spacing w:before="57" w:after="57"/>
              <w:rPr>
                <w:rFonts w:ascii="Microsoft YaHei" w:hAnsi="Microsoft YaHei" w:eastAsia="Microsoft YaHei"/>
                <w:b/>
                <w:color w:val="FFFFFF"/>
                <w:sz w:val="18"/>
              </w:rPr>
            </w:pPr>
            <w:r>
              <w:rPr>
                <w:rFonts w:ascii="Microsoft YaHei" w:hAnsi="Microsoft YaHei"/>
                <w:color w:val="FFFFFF"/>
              </w:rPr>
              <w:t>层级</w:t>
            </w:r>
          </w:p>
        </w:tc>
        <w:tc>
          <w:tcPr>
            <w:tcW w:w="2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19334D" w:val="clear"/>
          </w:tcPr>
          <w:p>
            <w:pPr>
              <w:pStyle w:val="Style16"/>
              <w:bidi w:val="0"/>
              <w:spacing w:before="57" w:after="57"/>
              <w:rPr>
                <w:rFonts w:ascii="Microsoft YaHei" w:hAnsi="Microsoft YaHei" w:eastAsia="Microsoft YaHei"/>
                <w:b/>
                <w:color w:val="FFFFFF"/>
                <w:sz w:val="18"/>
              </w:rPr>
            </w:pPr>
            <w:r>
              <w:rPr>
                <w:rFonts w:ascii="Microsoft YaHei" w:hAnsi="Microsoft YaHei"/>
                <w:color w:val="FFFFFF"/>
              </w:rPr>
              <w:t xml:space="preserve">组织 </w:t>
            </w:r>
            <w:r>
              <w:rPr>
                <w:rFonts w:eastAsia="Microsoft YaHei"/>
                <w:b/>
                <w:color w:val="FFFFFF"/>
                <w:sz w:val="18"/>
              </w:rPr>
              <w:t xml:space="preserve">/ </w:t>
            </w:r>
            <w:r>
              <w:rPr>
                <w:rFonts w:ascii="Microsoft YaHei" w:hAnsi="Microsoft YaHei"/>
                <w:color w:val="FFFFFF"/>
              </w:rPr>
              <w:t>群体</w:t>
            </w:r>
          </w:p>
        </w:tc>
        <w:tc>
          <w:tcPr>
            <w:tcW w:w="3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19334D" w:val="clear"/>
          </w:tcPr>
          <w:p>
            <w:pPr>
              <w:pStyle w:val="Style16"/>
              <w:bidi w:val="0"/>
              <w:spacing w:before="57" w:after="57"/>
              <w:rPr>
                <w:rFonts w:ascii="Microsoft YaHei" w:hAnsi="Microsoft YaHei" w:eastAsia="Microsoft YaHei"/>
                <w:b/>
                <w:color w:val="FFFFFF"/>
                <w:sz w:val="18"/>
              </w:rPr>
            </w:pPr>
            <w:r>
              <w:rPr>
                <w:rFonts w:ascii="Microsoft YaHei" w:hAnsi="Microsoft YaHei"/>
                <w:color w:val="FFFFFF"/>
              </w:rPr>
              <w:t>主要职能</w:t>
            </w:r>
          </w:p>
        </w:tc>
        <w:tc>
          <w:tcPr>
            <w:tcW w:w="2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9334D" w:val="clear"/>
          </w:tcPr>
          <w:p>
            <w:pPr>
              <w:pStyle w:val="Style16"/>
              <w:bidi w:val="0"/>
              <w:spacing w:before="57" w:after="57"/>
              <w:rPr>
                <w:rFonts w:ascii="Microsoft YaHei" w:hAnsi="Microsoft YaHei" w:eastAsia="Microsoft YaHei"/>
                <w:b/>
                <w:color w:val="FFFFFF"/>
                <w:sz w:val="18"/>
              </w:rPr>
            </w:pPr>
            <w:r>
              <w:rPr>
                <w:rFonts w:ascii="Microsoft YaHei" w:hAnsi="Microsoft YaHei"/>
                <w:color w:val="FFFFFF"/>
              </w:rPr>
              <w:t>连接方式</w:t>
            </w:r>
          </w:p>
        </w:tc>
      </w:tr>
      <w:tr>
        <w:trPr/>
        <w:tc>
          <w:tcPr>
            <w:tcW w:w="1542" w:type="dxa"/>
            <w:tcBorders>
              <w:start w:val="single" w:sz="4" w:space="0" w:color="000000"/>
              <w:bottom w:val="single" w:sz="4" w:space="0" w:color="000000"/>
            </w:tcBorders>
            <w:shd w:fill="F1EBDD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>最高层</w:t>
            </w:r>
          </w:p>
        </w:tc>
        <w:tc>
          <w:tcPr>
            <w:tcW w:w="2313" w:type="dxa"/>
            <w:tcBorders>
              <w:start w:val="single" w:sz="4" w:space="0" w:color="000000"/>
              <w:bottom w:val="single" w:sz="4" w:space="0" w:color="000000"/>
            </w:tcBorders>
            <w:shd w:fill="F1EBDD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>法老</w:t>
            </w:r>
          </w:p>
        </w:tc>
        <w:tc>
          <w:tcPr>
            <w:tcW w:w="3566" w:type="dxa"/>
            <w:tcBorders>
              <w:start w:val="single" w:sz="4" w:space="0" w:color="000000"/>
              <w:bottom w:val="single" w:sz="4" w:space="0" w:color="000000"/>
            </w:tcBorders>
            <w:shd w:fill="F1EBDD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>合法性、最高决策、军事与宗教权威</w:t>
            </w:r>
          </w:p>
        </w:tc>
        <w:tc>
          <w:tcPr>
            <w:tcW w:w="22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EBDD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>仪式与命令</w:t>
            </w:r>
          </w:p>
        </w:tc>
      </w:tr>
      <w:tr>
        <w:trPr/>
        <w:tc>
          <w:tcPr>
            <w:tcW w:w="1542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>中央层</w:t>
            </w:r>
          </w:p>
        </w:tc>
        <w:tc>
          <w:tcPr>
            <w:tcW w:w="2313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>维齐尔与行政机构</w:t>
            </w:r>
          </w:p>
        </w:tc>
        <w:tc>
          <w:tcPr>
            <w:tcW w:w="3566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>税收、司法、工程和档案</w:t>
            </w:r>
          </w:p>
        </w:tc>
        <w:tc>
          <w:tcPr>
            <w:tcW w:w="22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>书记网络</w:t>
            </w:r>
          </w:p>
        </w:tc>
      </w:tr>
      <w:tr>
        <w:trPr/>
        <w:tc>
          <w:tcPr>
            <w:tcW w:w="1542" w:type="dxa"/>
            <w:tcBorders>
              <w:start w:val="single" w:sz="4" w:space="0" w:color="000000"/>
              <w:bottom w:val="single" w:sz="4" w:space="0" w:color="000000"/>
            </w:tcBorders>
            <w:shd w:fill="F1EBDD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>中间层</w:t>
            </w:r>
          </w:p>
        </w:tc>
        <w:tc>
          <w:tcPr>
            <w:tcW w:w="2313" w:type="dxa"/>
            <w:tcBorders>
              <w:start w:val="single" w:sz="4" w:space="0" w:color="000000"/>
              <w:bottom w:val="single" w:sz="4" w:space="0" w:color="000000"/>
            </w:tcBorders>
            <w:shd w:fill="F1EBDD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 xml:space="preserve">神庙 </w:t>
            </w:r>
            <w:r>
              <w:rPr>
                <w:rFonts w:eastAsia="Microsoft YaHei"/>
                <w:color w:val="2E4057"/>
                <w:sz w:val="18"/>
              </w:rPr>
              <w:t xml:space="preserve">/ </w:t>
            </w:r>
            <w:r>
              <w:rPr>
                <w:rFonts w:ascii="Microsoft YaHei" w:hAnsi="Microsoft YaHei"/>
                <w:color w:val="2E4057"/>
              </w:rPr>
              <w:t xml:space="preserve">书记 </w:t>
            </w:r>
            <w:r>
              <w:rPr>
                <w:rFonts w:eastAsia="Microsoft YaHei"/>
                <w:color w:val="2E4057"/>
                <w:sz w:val="18"/>
              </w:rPr>
              <w:t xml:space="preserve">/ </w:t>
            </w:r>
            <w:r>
              <w:rPr>
                <w:rFonts w:ascii="Microsoft YaHei" w:hAnsi="Microsoft YaHei"/>
                <w:color w:val="2E4057"/>
              </w:rPr>
              <w:t>地方官员</w:t>
            </w:r>
          </w:p>
        </w:tc>
        <w:tc>
          <w:tcPr>
            <w:tcW w:w="3566" w:type="dxa"/>
            <w:tcBorders>
              <w:start w:val="single" w:sz="4" w:space="0" w:color="000000"/>
              <w:bottom w:val="single" w:sz="4" w:space="0" w:color="000000"/>
            </w:tcBorders>
            <w:shd w:fill="F1EBDD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>土地、知识、仓储与地方执行</w:t>
            </w:r>
          </w:p>
        </w:tc>
        <w:tc>
          <w:tcPr>
            <w:tcW w:w="22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EBDD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>标准与核算</w:t>
            </w:r>
          </w:p>
        </w:tc>
      </w:tr>
      <w:tr>
        <w:trPr/>
        <w:tc>
          <w:tcPr>
            <w:tcW w:w="1542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>基础层</w:t>
            </w:r>
          </w:p>
        </w:tc>
        <w:tc>
          <w:tcPr>
            <w:tcW w:w="2313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 xml:space="preserve">农民 </w:t>
            </w:r>
            <w:r>
              <w:rPr>
                <w:rFonts w:eastAsia="Microsoft YaHei"/>
                <w:color w:val="2E4057"/>
                <w:sz w:val="18"/>
              </w:rPr>
              <w:t xml:space="preserve">/ </w:t>
            </w:r>
            <w:r>
              <w:rPr>
                <w:rFonts w:ascii="Microsoft YaHei" w:hAnsi="Microsoft YaHei"/>
                <w:color w:val="2E4057"/>
              </w:rPr>
              <w:t xml:space="preserve">工匠 </w:t>
            </w:r>
            <w:r>
              <w:rPr>
                <w:rFonts w:eastAsia="Microsoft YaHei"/>
                <w:color w:val="2E4057"/>
                <w:sz w:val="18"/>
              </w:rPr>
              <w:t xml:space="preserve">/ </w:t>
            </w:r>
            <w:r>
              <w:rPr>
                <w:rFonts w:ascii="Microsoft YaHei" w:hAnsi="Microsoft YaHei"/>
                <w:color w:val="2E4057"/>
              </w:rPr>
              <w:t xml:space="preserve">商旅 </w:t>
            </w:r>
            <w:r>
              <w:rPr>
                <w:rFonts w:eastAsia="Microsoft YaHei"/>
                <w:color w:val="2E4057"/>
                <w:sz w:val="18"/>
              </w:rPr>
              <w:t xml:space="preserve">/ </w:t>
            </w:r>
            <w:r>
              <w:rPr>
                <w:rFonts w:ascii="Microsoft YaHei" w:hAnsi="Microsoft YaHei"/>
                <w:color w:val="2E4057"/>
              </w:rPr>
              <w:t>士兵</w:t>
            </w:r>
          </w:p>
        </w:tc>
        <w:tc>
          <w:tcPr>
            <w:tcW w:w="3566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>生产、建设、交换和防务</w:t>
            </w:r>
          </w:p>
        </w:tc>
        <w:tc>
          <w:tcPr>
            <w:tcW w:w="22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>税粮与劳役</w:t>
            </w:r>
          </w:p>
        </w:tc>
      </w:tr>
    </w:tbl>
    <w:p>
      <w:pPr>
        <w:pStyle w:val="BodyText"/>
        <w:numPr>
          <w:ilvl w:val="0"/>
          <w:numId w:val="0"/>
        </w:numPr>
        <w:bidi w:val="0"/>
        <w:spacing w:lineRule="auto" w:line="348" w:before="0" w:after="125"/>
        <w:jc w:val="start"/>
        <w:rPr>
          <w:b w:val="false"/>
          <w:i w:val="false"/>
          <w:vanish w:val="false"/>
          <w:color w:val="2E4057"/>
          <w:sz w:val="23"/>
        </w:rPr>
      </w:pPr>
      <w:r>
        <w:rPr>
          <w:b w:val="false"/>
          <w:i w:val="false"/>
          <w:vanish w:val="false"/>
          <w:color w:val="2E4057"/>
          <w:sz w:val="23"/>
        </w:rPr>
      </w:r>
    </w:p>
    <w:p>
      <w:pPr>
        <w:pStyle w:val="Heading2"/>
        <w:bidi w:val="0"/>
        <w:spacing w:lineRule="auto" w:line="274" w:before="125" w:after="102"/>
        <w:ind w:hanging="0" w:start="0"/>
        <w:jc w:val="start"/>
        <w:rPr>
          <w:b/>
          <w:i w:val="false"/>
          <w:color w:val="1F7A83"/>
          <w:sz w:val="36"/>
        </w:rPr>
      </w:pPr>
      <w:bookmarkStart w:id="31" w:name="wp_governance_why_title"/>
      <w:r>
        <w:rPr>
          <w:color w:val="1F7A83"/>
        </w:rPr>
        <w:t>为什么它能长期运行</w:t>
      </w:r>
      <w:bookmarkEnd w:id="31"/>
    </w:p>
    <w:p>
      <w:pPr>
        <w:pStyle w:val="BodyText"/>
        <w:numPr>
          <w:ilvl w:val="0"/>
          <w:numId w:val="2"/>
        </w:numPr>
        <w:bidi w:val="0"/>
        <w:spacing w:lineRule="auto" w:line="274" w:before="125" w:after="45"/>
        <w:jc w:val="start"/>
        <w:rPr>
          <w:b/>
          <w:i w:val="false"/>
          <w:vanish w:val="false"/>
          <w:color w:val="2E4057"/>
          <w:sz w:val="22"/>
        </w:rPr>
      </w:pPr>
      <w:bookmarkStart w:id="32" w:name="wp_governance_reasons_1"/>
      <w:r>
        <w:rPr>
          <w:vanish w:val="false"/>
          <w:color w:val="2E4057"/>
        </w:rPr>
        <w:t>可计量：土地、粮食和劳役通过书记体系进入记录。</w:t>
      </w:r>
      <w:bookmarkEnd w:id="32"/>
    </w:p>
    <w:p>
      <w:pPr>
        <w:pStyle w:val="BodyText"/>
        <w:numPr>
          <w:ilvl w:val="0"/>
          <w:numId w:val="2"/>
        </w:numPr>
        <w:bidi w:val="0"/>
        <w:spacing w:lineRule="auto" w:line="274" w:before="125" w:after="45"/>
        <w:jc w:val="start"/>
        <w:rPr>
          <w:b/>
          <w:i w:val="false"/>
          <w:vanish w:val="false"/>
          <w:color w:val="2E4057"/>
          <w:sz w:val="22"/>
        </w:rPr>
      </w:pPr>
      <w:bookmarkStart w:id="33" w:name="wp_governance_reasons_2"/>
      <w:r>
        <w:rPr>
          <w:vanish w:val="false"/>
          <w:color w:val="2E4057"/>
        </w:rPr>
        <w:t>可分层：中央标准与地方执行并存，降低全域治理成本。</w:t>
      </w:r>
      <w:bookmarkEnd w:id="33"/>
    </w:p>
    <w:p>
      <w:pPr>
        <w:pStyle w:val="BodyText"/>
        <w:numPr>
          <w:ilvl w:val="0"/>
          <w:numId w:val="2"/>
        </w:numPr>
        <w:bidi w:val="0"/>
        <w:spacing w:lineRule="auto" w:line="274" w:before="125" w:after="45"/>
        <w:jc w:val="start"/>
        <w:rPr>
          <w:b/>
          <w:i w:val="false"/>
          <w:vanish w:val="false"/>
          <w:color w:val="2E4057"/>
          <w:sz w:val="22"/>
        </w:rPr>
      </w:pPr>
      <w:bookmarkStart w:id="34" w:name="wp_governance_reasons_3"/>
      <w:r>
        <w:rPr>
          <w:vanish w:val="false"/>
          <w:color w:val="2E4057"/>
        </w:rPr>
        <w:t>可传承：仪式、档案和专业训练把经验跨代保存。</w:t>
      </w:r>
      <w:bookmarkEnd w:id="34"/>
    </w:p>
    <w:p>
      <w:pPr>
        <w:pStyle w:val="BodyText"/>
        <w:numPr>
          <w:ilvl w:val="0"/>
          <w:numId w:val="2"/>
        </w:numPr>
        <w:bidi w:val="0"/>
        <w:spacing w:lineRule="auto" w:line="274" w:before="125" w:after="45"/>
        <w:jc w:val="start"/>
        <w:rPr>
          <w:b/>
          <w:i w:val="false"/>
          <w:vanish w:val="false"/>
          <w:color w:val="2E4057"/>
          <w:sz w:val="22"/>
        </w:rPr>
      </w:pPr>
      <w:bookmarkStart w:id="35" w:name="wp_governance_reasons_4"/>
      <w:r>
        <w:rPr>
          <w:vanish w:val="false"/>
          <w:color w:val="2E4057"/>
        </w:rPr>
        <w:t>可重组：中央衰弱时地方组织仍能维持生产与知识。</w:t>
      </w:r>
      <w:bookmarkEnd w:id="35"/>
    </w:p>
    <w:p>
      <w:pPr>
        <w:pStyle w:val="BodyText"/>
        <w:numPr>
          <w:ilvl w:val="0"/>
          <w:numId w:val="0"/>
        </w:numPr>
        <w:bidi w:val="0"/>
        <w:spacing w:lineRule="auto" w:line="324" w:before="136" w:after="0"/>
        <w:jc w:val="center"/>
        <w:rPr>
          <w:b/>
          <w:i w:val="false"/>
          <w:vanish w:val="false"/>
          <w:color w:val="C79A43"/>
          <w:sz w:val="26"/>
        </w:rPr>
      </w:pPr>
      <w:bookmarkStart w:id="36" w:name="wp_governance_quote"/>
      <w:r>
        <w:rPr>
          <w:b/>
          <w:i w:val="false"/>
          <w:vanish w:val="false"/>
          <w:color w:val="C79A43"/>
          <w:sz w:val="26"/>
        </w:rPr>
        <w:t>“</w:t>
      </w:r>
      <w:r>
        <w:rPr>
          <w:vanish w:val="false"/>
          <w:color w:val="C79A43"/>
        </w:rPr>
        <w:t>制度不是静止的金字塔，而是一组持续交换资源、信息与合法性的连接。”</w:t>
      </w:r>
      <w:bookmarkEnd w:id="36"/>
      <w:r>
        <w:br w:type="page"/>
      </w:r>
    </w:p>
    <w:p>
      <w:pPr>
        <w:pStyle w:val="BodyText"/>
        <w:numPr>
          <w:ilvl w:val="0"/>
          <w:numId w:val="0"/>
        </w:numPr>
        <w:bidi w:val="0"/>
        <w:spacing w:lineRule="auto" w:line="324" w:before="136" w:after="0"/>
        <w:jc w:val="center"/>
        <w:rPr>
          <w:b/>
          <w:i w:val="false"/>
          <w:vanish/>
          <w:color w:val="C79A43"/>
          <w:sz w:val="26"/>
        </w:rPr>
      </w:pPr>
      <w:bookmarkStart w:id="37" w:name="wp_break_engineering"/>
      <w:r>
        <w:rPr>
          <w:b/>
          <w:i w:val="false"/>
          <w:vanish/>
          <w:color w:val="C79A43"/>
          <w:sz w:val="26"/>
        </w:rPr>
        <w:t>⁠</w:t>
      </w:r>
      <w:bookmarkEnd w:id="37"/>
    </w:p>
    <w:p>
      <w:pPr>
        <w:pStyle w:val="BodyText"/>
        <w:numPr>
          <w:ilvl w:val="0"/>
          <w:numId w:val="0"/>
        </w:numPr>
        <w:bidi w:val="0"/>
        <w:spacing w:lineRule="auto" w:line="312" w:before="0" w:after="45"/>
        <w:jc w:val="start"/>
        <w:rPr>
          <w:b/>
          <w:i w:val="false"/>
          <w:vanish w:val="false"/>
          <w:color w:val="C79A43"/>
          <w:sz w:val="20"/>
        </w:rPr>
      </w:pPr>
      <w:bookmarkStart w:id="38" w:name="wp_engineering_eyebrow"/>
      <w:r>
        <w:rPr>
          <w:b/>
          <w:i w:val="false"/>
          <w:vanish w:val="false"/>
          <w:color w:val="C79A43"/>
          <w:sz w:val="20"/>
        </w:rPr>
        <w:t>IMAGE + COMPARISON TABLE</w:t>
      </w:r>
      <w:bookmarkEnd w:id="38"/>
    </w:p>
    <w:p>
      <w:pPr>
        <w:pStyle w:val="Heading1"/>
        <w:bidi w:val="0"/>
        <w:spacing w:lineRule="auto" w:line="274" w:before="0" w:after="102"/>
        <w:ind w:hanging="0" w:start="0"/>
        <w:jc w:val="start"/>
        <w:rPr>
          <w:b/>
          <w:i w:val="false"/>
          <w:color w:val="19334D"/>
          <w:sz w:val="48"/>
        </w:rPr>
      </w:pPr>
      <w:bookmarkStart w:id="39" w:name="wp_engineering_title"/>
      <w:r>
        <w:rPr>
          <w:color w:val="19334D"/>
        </w:rPr>
        <w:t>工程系统，而非孤立奇迹</w:t>
      </w:r>
      <w:bookmarkEnd w:id="39"/>
    </w:p>
    <w:p>
      <w:pPr>
        <w:pStyle w:val="BodyText"/>
        <w:numPr>
          <w:ilvl w:val="0"/>
          <w:numId w:val="0"/>
        </w:numPr>
        <w:bidi w:val="0"/>
        <w:spacing w:lineRule="auto" w:line="348" w:before="0" w:after="125"/>
        <w:jc w:val="start"/>
        <w:rPr>
          <w:b w:val="false"/>
          <w:i w:val="false"/>
          <w:vanish w:val="false"/>
          <w:color w:val="2E4057"/>
          <w:sz w:val="23"/>
        </w:rPr>
      </w:pPr>
      <w:bookmarkStart w:id="40" w:name="wp_engineering_intro"/>
      <w:r>
        <w:rPr>
          <w:vanish w:val="false"/>
          <w:color w:val="2E4057"/>
        </w:rPr>
        <w:t>吉萨建筑群把测量、材料、交通、劳动力和供应链集中在同一项目中。宏伟形态吸引注意，但真正值得观察的是支撑长期施工的一整套组织能力。</w:t>
      </w:r>
      <w:bookmarkEnd w:id="40"/>
    </w:p>
    <w:p>
      <w:pPr>
        <w:pStyle w:val="BodyText"/>
        <w:numPr>
          <w:ilvl w:val="0"/>
          <w:numId w:val="0"/>
        </w:numPr>
        <w:bidi w:val="0"/>
        <w:spacing w:lineRule="auto" w:line="348" w:before="0" w:after="57"/>
        <w:jc w:val="center"/>
        <w:rPr>
          <w:b w:val="false"/>
          <w:i w:val="false"/>
          <w:vanish w:val="false"/>
          <w:color w:val="2E4057"/>
          <w:sz w:val="23"/>
        </w:rPr>
      </w:pPr>
      <w:r>
        <w:rPr>
          <w:b w:val="false"/>
          <w:i w:val="false"/>
          <w:vanish w:val="false"/>
          <w:color w:val="2E4057"/>
          <w:sz w:val="23"/>
        </w:rPr>
        <w:drawing>
          <wp:inline distT="0" distB="0" distL="0" distR="0">
            <wp:extent cx="5939790" cy="3949065"/>
            <wp:effectExtent l="0" t="0" r="0" b="0"/>
            <wp:docPr id="5" name="wp_engineering_pyrami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p_engineering_pyramids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949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0"/>
        </w:numPr>
        <w:bidi w:val="0"/>
        <w:spacing w:lineRule="auto" w:line="312" w:before="0" w:after="102"/>
        <w:jc w:val="center"/>
        <w:rPr>
          <w:b w:val="false"/>
          <w:i/>
          <w:vanish w:val="false"/>
          <w:color w:val="6D788E"/>
          <w:sz w:val="19"/>
        </w:rPr>
      </w:pPr>
      <w:bookmarkStart w:id="41" w:name="wp_engineering_image_caption"/>
      <w:r>
        <w:rPr>
          <w:vanish w:val="false"/>
          <w:color w:val="6D788E"/>
        </w:rPr>
        <w:t>吉萨金字塔群：几何控制、石材运输与组织调度共同塑造工程尺度。</w:t>
      </w:r>
      <w:bookmarkEnd w:id="41"/>
    </w:p>
    <w:p>
      <w:pPr>
        <w:pStyle w:val="BodyText"/>
        <w:numPr>
          <w:ilvl w:val="0"/>
          <w:numId w:val="0"/>
        </w:numPr>
        <w:bidi w:val="0"/>
        <w:spacing w:lineRule="auto" w:line="312" w:before="0" w:after="102"/>
        <w:jc w:val="center"/>
        <w:rPr>
          <w:b w:val="false"/>
          <w:i/>
          <w:vanish/>
          <w:color w:val="6D788E"/>
          <w:sz w:val="19"/>
        </w:rPr>
      </w:pPr>
      <w:bookmarkStart w:id="42" w:name="wp_engineering_capability_table"/>
      <w:r>
        <w:rPr>
          <w:b w:val="false"/>
          <w:i/>
          <w:vanish/>
          <w:color w:val="6D788E"/>
          <w:sz w:val="19"/>
        </w:rPr>
        <w:t>⁠</w:t>
      </w:r>
      <w:bookmarkEnd w:id="42"/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4337"/>
        <w:gridCol w:w="3374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79A43" w:val="clear"/>
          </w:tcPr>
          <w:p>
            <w:pPr>
              <w:pStyle w:val="Style16"/>
              <w:bidi w:val="0"/>
              <w:spacing w:before="57" w:after="57"/>
              <w:rPr>
                <w:rFonts w:ascii="Microsoft YaHei" w:hAnsi="Microsoft YaHei" w:eastAsia="Microsoft YaHei"/>
                <w:b/>
                <w:color w:val="FFFFFF"/>
                <w:sz w:val="18"/>
              </w:rPr>
            </w:pPr>
            <w:r>
              <w:rPr>
                <w:rFonts w:ascii="Microsoft YaHei" w:hAnsi="Microsoft YaHei"/>
                <w:color w:val="FFFFFF"/>
              </w:rPr>
              <w:t>能力</w:t>
            </w:r>
          </w:p>
        </w:tc>
        <w:tc>
          <w:tcPr>
            <w:tcW w:w="4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79A43" w:val="clear"/>
          </w:tcPr>
          <w:p>
            <w:pPr>
              <w:pStyle w:val="Style16"/>
              <w:bidi w:val="0"/>
              <w:spacing w:before="57" w:after="57"/>
              <w:rPr>
                <w:rFonts w:ascii="Microsoft YaHei" w:hAnsi="Microsoft YaHei" w:eastAsia="Microsoft YaHei"/>
                <w:b/>
                <w:color w:val="FFFFFF"/>
                <w:sz w:val="18"/>
              </w:rPr>
            </w:pPr>
            <w:r>
              <w:rPr>
                <w:rFonts w:ascii="Microsoft YaHei" w:hAnsi="Microsoft YaHei"/>
                <w:color w:val="FFFFFF"/>
              </w:rPr>
              <w:t>要解决的问题</w:t>
            </w:r>
          </w:p>
        </w:tc>
        <w:tc>
          <w:tcPr>
            <w:tcW w:w="3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79A43" w:val="clear"/>
          </w:tcPr>
          <w:p>
            <w:pPr>
              <w:pStyle w:val="Style16"/>
              <w:bidi w:val="0"/>
              <w:spacing w:before="57" w:after="57"/>
              <w:rPr>
                <w:rFonts w:ascii="Microsoft YaHei" w:hAnsi="Microsoft YaHei" w:eastAsia="Microsoft YaHei"/>
                <w:b/>
                <w:color w:val="FFFFFF"/>
                <w:sz w:val="18"/>
              </w:rPr>
            </w:pPr>
            <w:r>
              <w:rPr>
                <w:rFonts w:ascii="Microsoft YaHei" w:hAnsi="Microsoft YaHei"/>
                <w:color w:val="FFFFFF"/>
              </w:rPr>
              <w:t>可见结果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  <w:shd w:fill="F1EBDD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>测量</w:t>
            </w:r>
          </w:p>
        </w:tc>
        <w:tc>
          <w:tcPr>
            <w:tcW w:w="4337" w:type="dxa"/>
            <w:tcBorders>
              <w:start w:val="single" w:sz="4" w:space="0" w:color="000000"/>
              <w:bottom w:val="single" w:sz="4" w:space="0" w:color="000000"/>
            </w:tcBorders>
            <w:shd w:fill="F1EBDD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>方位、水平、尺度与误差控制</w:t>
            </w:r>
          </w:p>
        </w:tc>
        <w:tc>
          <w:tcPr>
            <w:tcW w:w="33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EBDD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>稳定轴线与重复几何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>材料</w:t>
            </w:r>
          </w:p>
        </w:tc>
        <w:tc>
          <w:tcPr>
            <w:tcW w:w="4337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>石材选择、加工、连接与耐久</w:t>
            </w:r>
          </w:p>
        </w:tc>
        <w:tc>
          <w:tcPr>
            <w:tcW w:w="33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>巨型体量与长期保存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  <w:shd w:fill="F1EBDD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>供应链</w:t>
            </w:r>
          </w:p>
        </w:tc>
        <w:tc>
          <w:tcPr>
            <w:tcW w:w="4337" w:type="dxa"/>
            <w:tcBorders>
              <w:start w:val="single" w:sz="4" w:space="0" w:color="000000"/>
              <w:bottom w:val="single" w:sz="4" w:space="0" w:color="000000"/>
            </w:tcBorders>
            <w:shd w:fill="F1EBDD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>粮食、工具、运输和季节性劳动</w:t>
            </w:r>
          </w:p>
        </w:tc>
        <w:tc>
          <w:tcPr>
            <w:tcW w:w="33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EBDD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>连续施工与人员保障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>知识传承</w:t>
            </w:r>
          </w:p>
        </w:tc>
        <w:tc>
          <w:tcPr>
            <w:tcW w:w="4337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>把工匠经验变成可复制流程</w:t>
            </w:r>
          </w:p>
        </w:tc>
        <w:tc>
          <w:tcPr>
            <w:tcW w:w="33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>跨项目的技术延续</w:t>
            </w:r>
          </w:p>
        </w:tc>
      </w:tr>
    </w:tbl>
    <w:p>
      <w:pPr>
        <w:pStyle w:val="BodyText"/>
        <w:numPr>
          <w:ilvl w:val="0"/>
          <w:numId w:val="0"/>
        </w:numPr>
        <w:bidi w:val="0"/>
        <w:spacing w:lineRule="auto" w:line="312" w:before="0" w:after="102"/>
        <w:jc w:val="center"/>
        <w:rPr>
          <w:b w:val="false"/>
          <w:i/>
          <w:vanish w:val="false"/>
          <w:color w:val="6D788E"/>
          <w:sz w:val="19"/>
        </w:rPr>
      </w:pPr>
      <w:r>
        <w:rPr>
          <w:b w:val="false"/>
          <w:i/>
          <w:vanish w:val="false"/>
          <w:color w:val="6D788E"/>
          <w:sz w:val="19"/>
        </w:rPr>
      </w:r>
      <w:r>
        <w:br w:type="page"/>
      </w:r>
    </w:p>
    <w:p>
      <w:pPr>
        <w:pStyle w:val="BodyText"/>
        <w:numPr>
          <w:ilvl w:val="0"/>
          <w:numId w:val="0"/>
        </w:numPr>
        <w:bidi w:val="0"/>
        <w:spacing w:lineRule="auto" w:line="312" w:before="0" w:after="102"/>
        <w:jc w:val="center"/>
        <w:rPr>
          <w:b w:val="false"/>
          <w:i/>
          <w:vanish/>
          <w:color w:val="6D788E"/>
          <w:sz w:val="19"/>
        </w:rPr>
      </w:pPr>
      <w:bookmarkStart w:id="43" w:name="wp_break_knowledge"/>
      <w:r>
        <w:rPr>
          <w:b w:val="false"/>
          <w:i/>
          <w:vanish/>
          <w:color w:val="6D788E"/>
          <w:sz w:val="19"/>
        </w:rPr>
        <w:t>⁠</w:t>
      </w:r>
      <w:bookmarkEnd w:id="43"/>
    </w:p>
    <w:p>
      <w:pPr>
        <w:pStyle w:val="BodyText"/>
        <w:numPr>
          <w:ilvl w:val="0"/>
          <w:numId w:val="0"/>
        </w:numPr>
        <w:bidi w:val="0"/>
        <w:spacing w:lineRule="auto" w:line="312" w:before="0" w:after="45"/>
        <w:jc w:val="start"/>
        <w:rPr>
          <w:b/>
          <w:i w:val="false"/>
          <w:vanish w:val="false"/>
          <w:color w:val="C79A43"/>
          <w:sz w:val="20"/>
        </w:rPr>
      </w:pPr>
      <w:bookmarkStart w:id="44" w:name="wp_knowledge_eyebrow"/>
      <w:r>
        <w:rPr>
          <w:b/>
          <w:i w:val="false"/>
          <w:vanish w:val="false"/>
          <w:color w:val="C79A43"/>
          <w:sz w:val="20"/>
        </w:rPr>
        <w:t>MULTIPLE CHART FORMS</w:t>
      </w:r>
      <w:bookmarkEnd w:id="44"/>
    </w:p>
    <w:p>
      <w:pPr>
        <w:pStyle w:val="Heading1"/>
        <w:bidi w:val="0"/>
        <w:spacing w:lineRule="auto" w:line="274" w:before="0" w:after="102"/>
        <w:ind w:hanging="0" w:start="0"/>
        <w:jc w:val="start"/>
        <w:rPr>
          <w:b/>
          <w:i w:val="false"/>
          <w:color w:val="19334D"/>
          <w:sz w:val="48"/>
        </w:rPr>
      </w:pPr>
      <w:bookmarkStart w:id="45" w:name="wp_knowledge_title"/>
      <w:r>
        <w:rPr>
          <w:color w:val="19334D"/>
        </w:rPr>
        <w:t>知识体系：五类能力的协同</w:t>
      </w:r>
      <w:bookmarkEnd w:id="45"/>
    </w:p>
    <w:p>
      <w:pPr>
        <w:pStyle w:val="BodyText"/>
        <w:numPr>
          <w:ilvl w:val="0"/>
          <w:numId w:val="0"/>
        </w:numPr>
        <w:bidi w:val="0"/>
        <w:spacing w:lineRule="auto" w:line="348" w:before="0" w:after="125"/>
        <w:jc w:val="start"/>
        <w:rPr>
          <w:b w:val="false"/>
          <w:i w:val="false"/>
          <w:vanish w:val="false"/>
          <w:color w:val="2E4057"/>
          <w:sz w:val="23"/>
        </w:rPr>
      </w:pPr>
      <w:bookmarkStart w:id="46" w:name="wp_knowledge_intro"/>
      <w:r>
        <w:rPr>
          <w:vanish w:val="false"/>
          <w:color w:val="2E4057"/>
        </w:rPr>
        <w:t>数学、测量、医学、材料与书写并非彼此分离。大型工程和长期治理要求它们协同工作：测量定义空间，书写保存标准，材料与医学维持生产能力。</w:t>
      </w:r>
      <w:bookmarkEnd w:id="46"/>
    </w:p>
    <w:p>
      <w:pPr>
        <w:pStyle w:val="BodyText"/>
        <w:numPr>
          <w:ilvl w:val="0"/>
          <w:numId w:val="0"/>
        </w:numPr>
        <w:bidi w:val="0"/>
        <w:spacing w:lineRule="auto" w:line="348" w:before="0" w:after="57"/>
        <w:jc w:val="center"/>
        <w:rPr>
          <w:b w:val="false"/>
          <w:i w:val="false"/>
          <w:vanish w:val="false"/>
          <w:color w:val="2E4057"/>
          <w:sz w:val="23"/>
        </w:rPr>
      </w:pPr>
      <w:r>
        <w:rPr>
          <w:b w:val="false"/>
          <w:i w:val="false"/>
          <w:vanish w:val="false"/>
          <w:color w:val="2E4057"/>
          <w:sz w:val="23"/>
        </w:rPr>
        <w:drawing>
          <wp:inline distT="0" distB="0" distL="0" distR="0">
            <wp:extent cx="4032250" cy="3064510"/>
            <wp:effectExtent l="0" t="0" r="0" b="0"/>
            <wp:docPr id="6" name="wp_knowledge_donut_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p_knowledge_donut_char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250" cy="3064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0"/>
        </w:numPr>
        <w:bidi w:val="0"/>
        <w:spacing w:lineRule="auto" w:line="312" w:before="0" w:after="91"/>
        <w:jc w:val="center"/>
        <w:rPr>
          <w:b w:val="false"/>
          <w:i/>
          <w:vanish w:val="false"/>
          <w:color w:val="6D788E"/>
          <w:sz w:val="18"/>
        </w:rPr>
      </w:pPr>
      <w:bookmarkStart w:id="47" w:name="wp_knowledge_donut_caption"/>
      <w:r>
        <w:rPr>
          <w:vanish w:val="false"/>
          <w:color w:val="6D788E"/>
        </w:rPr>
        <w:t>环形图：资源投入的展示性结构，用于测试透明度、色彩与矢量嵌入。</w:t>
      </w:r>
      <w:bookmarkEnd w:id="47"/>
    </w:p>
    <w:p>
      <w:pPr>
        <w:pStyle w:val="BodyText"/>
        <w:numPr>
          <w:ilvl w:val="0"/>
          <w:numId w:val="0"/>
        </w:numPr>
        <w:bidi w:val="0"/>
        <w:spacing w:lineRule="auto" w:line="312" w:before="0" w:after="91"/>
        <w:jc w:val="center"/>
        <w:rPr>
          <w:b w:val="false"/>
          <w:i/>
          <w:vanish/>
          <w:color w:val="6D788E"/>
          <w:sz w:val="18"/>
        </w:rPr>
      </w:pPr>
      <w:bookmarkStart w:id="48" w:name="wp_knowledge_matrix_table"/>
      <w:r>
        <w:rPr>
          <w:b w:val="false"/>
          <w:i/>
          <w:vanish/>
          <w:color w:val="6D788E"/>
          <w:sz w:val="18"/>
        </w:rPr>
        <w:t>⁠</w:t>
      </w:r>
      <w:bookmarkEnd w:id="48"/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734"/>
        <w:gridCol w:w="3855"/>
        <w:gridCol w:w="4049"/>
      </w:tblGrid>
      <w:tr>
        <w:trPr>
          <w:tblHeader w:val="true"/>
        </w:trPr>
        <w:tc>
          <w:tcPr>
            <w:tcW w:w="1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9868B5" w:val="clear"/>
          </w:tcPr>
          <w:p>
            <w:pPr>
              <w:pStyle w:val="Style16"/>
              <w:bidi w:val="0"/>
              <w:spacing w:before="57" w:after="57"/>
              <w:rPr>
                <w:rFonts w:ascii="Microsoft YaHei" w:hAnsi="Microsoft YaHei" w:eastAsia="Microsoft YaHei"/>
                <w:b/>
                <w:color w:val="FFFFFF"/>
                <w:sz w:val="18"/>
              </w:rPr>
            </w:pPr>
            <w:r>
              <w:rPr>
                <w:rFonts w:ascii="Microsoft YaHei" w:hAnsi="Microsoft YaHei"/>
                <w:color w:val="FFFFFF"/>
              </w:rPr>
              <w:t>能力</w:t>
            </w:r>
          </w:p>
        </w:tc>
        <w:tc>
          <w:tcPr>
            <w:tcW w:w="3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9868B5" w:val="clear"/>
          </w:tcPr>
          <w:p>
            <w:pPr>
              <w:pStyle w:val="Style16"/>
              <w:bidi w:val="0"/>
              <w:spacing w:before="57" w:after="57"/>
              <w:rPr>
                <w:rFonts w:ascii="Microsoft YaHei" w:hAnsi="Microsoft YaHei" w:eastAsia="Microsoft YaHei"/>
                <w:b/>
                <w:color w:val="FFFFFF"/>
                <w:sz w:val="18"/>
              </w:rPr>
            </w:pPr>
            <w:r>
              <w:rPr>
                <w:rFonts w:ascii="Microsoft YaHei" w:hAnsi="Microsoft YaHei"/>
                <w:color w:val="FFFFFF"/>
              </w:rPr>
              <w:t>代表性实践</w:t>
            </w:r>
          </w:p>
        </w:tc>
        <w:tc>
          <w:tcPr>
            <w:tcW w:w="40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868B5" w:val="clear"/>
          </w:tcPr>
          <w:p>
            <w:pPr>
              <w:pStyle w:val="Style16"/>
              <w:bidi w:val="0"/>
              <w:spacing w:before="57" w:after="57"/>
              <w:rPr>
                <w:rFonts w:ascii="Microsoft YaHei" w:hAnsi="Microsoft YaHei" w:eastAsia="Microsoft YaHei"/>
                <w:b/>
                <w:color w:val="FFFFFF"/>
                <w:sz w:val="18"/>
              </w:rPr>
            </w:pPr>
            <w:r>
              <w:rPr>
                <w:rFonts w:ascii="Microsoft YaHei" w:hAnsi="Microsoft YaHei"/>
                <w:color w:val="FFFFFF"/>
              </w:rPr>
              <w:t>与其他能力的接口</w:t>
            </w:r>
          </w:p>
        </w:tc>
      </w:tr>
      <w:tr>
        <w:trPr/>
        <w:tc>
          <w:tcPr>
            <w:tcW w:w="1734" w:type="dxa"/>
            <w:tcBorders>
              <w:start w:val="single" w:sz="4" w:space="0" w:color="000000"/>
              <w:bottom w:val="single" w:sz="4" w:space="0" w:color="000000"/>
            </w:tcBorders>
            <w:shd w:fill="F1EBDD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>方法</w:t>
            </w:r>
          </w:p>
        </w:tc>
        <w:tc>
          <w:tcPr>
            <w:tcW w:w="3855" w:type="dxa"/>
            <w:tcBorders>
              <w:start w:val="single" w:sz="4" w:space="0" w:color="000000"/>
              <w:bottom w:val="single" w:sz="4" w:space="0" w:color="000000"/>
            </w:tcBorders>
            <w:shd w:fill="F1EBDD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>历法、核算、几何程序</w:t>
            </w:r>
          </w:p>
        </w:tc>
        <w:tc>
          <w:tcPr>
            <w:tcW w:w="40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EBDD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>为测量和行政提供规则</w:t>
            </w:r>
          </w:p>
        </w:tc>
      </w:tr>
      <w:tr>
        <w:trPr/>
        <w:tc>
          <w:tcPr>
            <w:tcW w:w="1734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>测量</w:t>
            </w:r>
          </w:p>
        </w:tc>
        <w:tc>
          <w:tcPr>
            <w:tcW w:w="3855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>土地、方位、长度与水位</w:t>
            </w:r>
          </w:p>
        </w:tc>
        <w:tc>
          <w:tcPr>
            <w:tcW w:w="40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>连接工程、农业和税收</w:t>
            </w:r>
          </w:p>
        </w:tc>
      </w:tr>
      <w:tr>
        <w:trPr/>
        <w:tc>
          <w:tcPr>
            <w:tcW w:w="1734" w:type="dxa"/>
            <w:tcBorders>
              <w:start w:val="single" w:sz="4" w:space="0" w:color="000000"/>
              <w:bottom w:val="single" w:sz="4" w:space="0" w:color="000000"/>
            </w:tcBorders>
            <w:shd w:fill="F1EBDD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>医学</w:t>
            </w:r>
          </w:p>
        </w:tc>
        <w:tc>
          <w:tcPr>
            <w:tcW w:w="3855" w:type="dxa"/>
            <w:tcBorders>
              <w:start w:val="single" w:sz="4" w:space="0" w:color="000000"/>
              <w:bottom w:val="single" w:sz="4" w:space="0" w:color="000000"/>
            </w:tcBorders>
            <w:shd w:fill="F1EBDD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>创伤处理、药物与观察</w:t>
            </w:r>
          </w:p>
        </w:tc>
        <w:tc>
          <w:tcPr>
            <w:tcW w:w="40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EBDD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>维持劳动力和经验记录</w:t>
            </w:r>
          </w:p>
        </w:tc>
      </w:tr>
      <w:tr>
        <w:trPr/>
        <w:tc>
          <w:tcPr>
            <w:tcW w:w="1734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>材料</w:t>
            </w:r>
          </w:p>
        </w:tc>
        <w:tc>
          <w:tcPr>
            <w:tcW w:w="3855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>石材、颜料、玻璃与金属</w:t>
            </w:r>
          </w:p>
        </w:tc>
        <w:tc>
          <w:tcPr>
            <w:tcW w:w="40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>支撑工程和视觉文化</w:t>
            </w:r>
          </w:p>
        </w:tc>
      </w:tr>
      <w:tr>
        <w:trPr/>
        <w:tc>
          <w:tcPr>
            <w:tcW w:w="1734" w:type="dxa"/>
            <w:tcBorders>
              <w:start w:val="single" w:sz="4" w:space="0" w:color="000000"/>
              <w:bottom w:val="single" w:sz="4" w:space="0" w:color="000000"/>
            </w:tcBorders>
            <w:shd w:fill="F1EBDD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>书写</w:t>
            </w:r>
          </w:p>
        </w:tc>
        <w:tc>
          <w:tcPr>
            <w:tcW w:w="3855" w:type="dxa"/>
            <w:tcBorders>
              <w:start w:val="single" w:sz="4" w:space="0" w:color="000000"/>
              <w:bottom w:val="single" w:sz="4" w:space="0" w:color="000000"/>
            </w:tcBorders>
            <w:shd w:fill="F1EBDD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>行政档案、宗教文本与文学</w:t>
            </w:r>
          </w:p>
        </w:tc>
        <w:tc>
          <w:tcPr>
            <w:tcW w:w="40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EBDD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8"/>
              </w:rPr>
            </w:pPr>
            <w:r>
              <w:rPr>
                <w:rFonts w:ascii="Microsoft YaHei" w:hAnsi="Microsoft YaHei"/>
                <w:color w:val="2E4057"/>
              </w:rPr>
              <w:t>保存标准、叙事和制度记忆</w:t>
            </w:r>
          </w:p>
        </w:tc>
      </w:tr>
    </w:tbl>
    <w:p>
      <w:pPr>
        <w:pStyle w:val="BodyText"/>
        <w:numPr>
          <w:ilvl w:val="0"/>
          <w:numId w:val="0"/>
        </w:numPr>
        <w:bidi w:val="0"/>
        <w:spacing w:lineRule="auto" w:line="312" w:before="0" w:after="91"/>
        <w:jc w:val="center"/>
        <w:rPr>
          <w:b w:val="false"/>
          <w:i/>
          <w:vanish w:val="false"/>
          <w:color w:val="6D788E"/>
          <w:sz w:val="18"/>
        </w:rPr>
      </w:pPr>
      <w:r>
        <w:rPr>
          <w:b w:val="false"/>
          <w:i/>
          <w:vanish w:val="false"/>
          <w:color w:val="6D788E"/>
          <w:sz w:val="18"/>
        </w:rPr>
      </w:r>
    </w:p>
    <w:p>
      <w:pPr>
        <w:pStyle w:val="BodyText"/>
        <w:numPr>
          <w:ilvl w:val="0"/>
          <w:numId w:val="0"/>
        </w:numPr>
        <w:bidi w:val="0"/>
        <w:spacing w:lineRule="auto" w:line="312" w:before="102" w:after="0"/>
        <w:jc w:val="start"/>
        <w:rPr>
          <w:b w:val="false"/>
          <w:i/>
          <w:vanish w:val="false"/>
          <w:color w:val="6D788E"/>
          <w:sz w:val="19"/>
        </w:rPr>
      </w:pPr>
      <w:bookmarkStart w:id="49" w:name="wp_knowledge_caveat"/>
      <w:r>
        <w:rPr>
          <w:vanish w:val="false"/>
          <w:color w:val="6D788E"/>
        </w:rPr>
        <w:t>能力指数与比例均为展示性数据；本报告不把它们当作考古学定量结论。</w:t>
      </w:r>
      <w:bookmarkEnd w:id="49"/>
      <w:r>
        <w:br w:type="page"/>
      </w:r>
    </w:p>
    <w:p>
      <w:pPr>
        <w:pStyle w:val="BodyText"/>
        <w:numPr>
          <w:ilvl w:val="0"/>
          <w:numId w:val="0"/>
        </w:numPr>
        <w:bidi w:val="0"/>
        <w:spacing w:lineRule="auto" w:line="312" w:before="102" w:after="0"/>
        <w:jc w:val="start"/>
        <w:rPr>
          <w:b w:val="false"/>
          <w:i/>
          <w:vanish/>
          <w:color w:val="6D788E"/>
          <w:sz w:val="19"/>
        </w:rPr>
      </w:pPr>
      <w:bookmarkStart w:id="50" w:name="wp_break_legacy"/>
      <w:r>
        <w:rPr>
          <w:b w:val="false"/>
          <w:i/>
          <w:vanish/>
          <w:color w:val="6D788E"/>
          <w:sz w:val="19"/>
        </w:rPr>
        <w:t>⁠</w:t>
      </w:r>
      <w:bookmarkEnd w:id="50"/>
    </w:p>
    <w:p>
      <w:pPr>
        <w:pStyle w:val="BodyText"/>
        <w:numPr>
          <w:ilvl w:val="0"/>
          <w:numId w:val="0"/>
        </w:numPr>
        <w:bidi w:val="0"/>
        <w:spacing w:lineRule="auto" w:line="312" w:before="0" w:after="45"/>
        <w:jc w:val="start"/>
        <w:rPr>
          <w:b/>
          <w:i w:val="false"/>
          <w:vanish w:val="false"/>
          <w:color w:val="C79A43"/>
          <w:sz w:val="20"/>
        </w:rPr>
      </w:pPr>
      <w:bookmarkStart w:id="51" w:name="wp_legacy_eyebrow"/>
      <w:r>
        <w:rPr>
          <w:b/>
          <w:i w:val="false"/>
          <w:vanish w:val="false"/>
          <w:color w:val="C79A43"/>
          <w:sz w:val="20"/>
        </w:rPr>
        <w:t>IMAGE GALLERY + CONCLUSION</w:t>
      </w:r>
      <w:bookmarkEnd w:id="51"/>
    </w:p>
    <w:p>
      <w:pPr>
        <w:pStyle w:val="Heading1"/>
        <w:bidi w:val="0"/>
        <w:spacing w:lineRule="auto" w:line="274" w:before="0" w:after="102"/>
        <w:ind w:hanging="0" w:start="0"/>
        <w:jc w:val="start"/>
        <w:rPr>
          <w:b/>
          <w:i w:val="false"/>
          <w:color w:val="19334D"/>
          <w:sz w:val="48"/>
        </w:rPr>
      </w:pPr>
      <w:bookmarkStart w:id="52" w:name="wp_legacy_title"/>
      <w:r>
        <w:rPr>
          <w:color w:val="19334D"/>
        </w:rPr>
        <w:t>遗产：对象、制度与方法</w:t>
      </w:r>
      <w:bookmarkEnd w:id="52"/>
    </w:p>
    <w:p>
      <w:pPr>
        <w:pStyle w:val="BodyText"/>
        <w:numPr>
          <w:ilvl w:val="0"/>
          <w:numId w:val="0"/>
        </w:numPr>
        <w:bidi w:val="0"/>
        <w:spacing w:lineRule="auto" w:line="348" w:before="0" w:after="125"/>
        <w:jc w:val="start"/>
        <w:rPr>
          <w:b w:val="false"/>
          <w:i w:val="false"/>
          <w:vanish w:val="false"/>
          <w:color w:val="2E4057"/>
          <w:sz w:val="23"/>
        </w:rPr>
      </w:pPr>
      <w:bookmarkStart w:id="53" w:name="wp_legacy_intro"/>
      <w:r>
        <w:rPr>
          <w:vanish w:val="false"/>
          <w:color w:val="2E4057"/>
        </w:rPr>
        <w:t>古埃及的遗产不仅是宏伟对象，也包括治理、记录和知识组织的方法。今天的观察者可以同时从国土尺度、工程尺度与人物尺度理解它。</w:t>
      </w:r>
      <w:bookmarkEnd w:id="53"/>
    </w:p>
    <w:p>
      <w:pPr>
        <w:pStyle w:val="BodyText"/>
        <w:numPr>
          <w:ilvl w:val="0"/>
          <w:numId w:val="0"/>
        </w:numPr>
        <w:bidi w:val="0"/>
        <w:spacing w:lineRule="auto" w:line="348" w:before="0" w:after="57"/>
        <w:jc w:val="center"/>
        <w:rPr>
          <w:b w:val="false"/>
          <w:i w:val="false"/>
          <w:vanish w:val="false"/>
          <w:color w:val="2E4057"/>
          <w:sz w:val="23"/>
        </w:rPr>
      </w:pPr>
      <w:r>
        <w:rPr>
          <w:b w:val="false"/>
          <w:i w:val="false"/>
          <w:vanish w:val="false"/>
          <w:color w:val="2E4057"/>
          <w:sz w:val="23"/>
        </w:rPr>
        <w:drawing>
          <wp:inline distT="0" distB="0" distL="0" distR="0">
            <wp:extent cx="2833370" cy="3780155"/>
            <wp:effectExtent l="0" t="0" r="0" b="0"/>
            <wp:docPr id="7" name="wp_legacy_stat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p_legacy_statu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3370" cy="3780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0"/>
        </w:numPr>
        <w:bidi w:val="0"/>
        <w:spacing w:lineRule="auto" w:line="312" w:before="0" w:after="102"/>
        <w:jc w:val="center"/>
        <w:rPr>
          <w:b w:val="false"/>
          <w:i/>
          <w:vanish w:val="false"/>
          <w:color w:val="6D788E"/>
          <w:sz w:val="19"/>
        </w:rPr>
      </w:pPr>
      <w:bookmarkStart w:id="54" w:name="wp_legacy_statue_caption"/>
      <w:r>
        <w:rPr>
          <w:vanish w:val="false"/>
          <w:color w:val="6D788E"/>
        </w:rPr>
        <w:t>卡夫拉雕像：王权形象、材料规范与精细工艺在人物尺度上的结合。</w:t>
      </w:r>
      <w:bookmarkEnd w:id="54"/>
    </w:p>
    <w:p>
      <w:pPr>
        <w:pStyle w:val="Heading2"/>
        <w:bidi w:val="0"/>
        <w:spacing w:lineRule="auto" w:line="274" w:before="125" w:after="102"/>
        <w:ind w:hanging="0" w:start="0"/>
        <w:jc w:val="start"/>
        <w:rPr>
          <w:b/>
          <w:i w:val="false"/>
          <w:color w:val="1F7A83"/>
          <w:sz w:val="36"/>
        </w:rPr>
      </w:pPr>
      <w:bookmarkStart w:id="55" w:name="wp_legacy_conclusion_title"/>
      <w:r>
        <w:rPr>
          <w:color w:val="1F7A83"/>
        </w:rPr>
        <w:t>四点结论</w:t>
      </w:r>
      <w:bookmarkEnd w:id="55"/>
    </w:p>
    <w:p>
      <w:pPr>
        <w:pStyle w:val="BodyText"/>
        <w:numPr>
          <w:ilvl w:val="0"/>
          <w:numId w:val="2"/>
        </w:numPr>
        <w:bidi w:val="0"/>
        <w:spacing w:lineRule="auto" w:line="274" w:before="125" w:after="45"/>
        <w:jc w:val="start"/>
        <w:rPr>
          <w:b/>
          <w:i w:val="false"/>
          <w:vanish w:val="false"/>
          <w:color w:val="2E4057"/>
          <w:sz w:val="21"/>
        </w:rPr>
      </w:pPr>
      <w:bookmarkStart w:id="56" w:name="wp_legacy_conclusions_1"/>
      <w:r>
        <w:rPr>
          <w:vanish w:val="false"/>
          <w:color w:val="2E4057"/>
        </w:rPr>
        <w:t>地理并不自动产生文明，但稳定约束为长期组织创造了条件。</w:t>
      </w:r>
      <w:bookmarkEnd w:id="56"/>
    </w:p>
    <w:p>
      <w:pPr>
        <w:pStyle w:val="BodyText"/>
        <w:numPr>
          <w:ilvl w:val="0"/>
          <w:numId w:val="2"/>
        </w:numPr>
        <w:bidi w:val="0"/>
        <w:spacing w:lineRule="auto" w:line="274" w:before="125" w:after="45"/>
        <w:jc w:val="start"/>
        <w:rPr>
          <w:b/>
          <w:i w:val="false"/>
          <w:vanish w:val="false"/>
          <w:color w:val="2E4057"/>
          <w:sz w:val="21"/>
        </w:rPr>
      </w:pPr>
      <w:bookmarkStart w:id="57" w:name="wp_legacy_conclusions_2"/>
      <w:r>
        <w:rPr>
          <w:vanish w:val="false"/>
          <w:color w:val="2E4057"/>
        </w:rPr>
        <w:t>治理的核心是把资源、信息和合法性连接成可持续网络。</w:t>
      </w:r>
      <w:bookmarkEnd w:id="57"/>
    </w:p>
    <w:p>
      <w:pPr>
        <w:pStyle w:val="BodyText"/>
        <w:numPr>
          <w:ilvl w:val="0"/>
          <w:numId w:val="2"/>
        </w:numPr>
        <w:bidi w:val="0"/>
        <w:spacing w:lineRule="auto" w:line="274" w:before="125" w:after="45"/>
        <w:jc w:val="start"/>
        <w:rPr>
          <w:b/>
          <w:i w:val="false"/>
          <w:vanish w:val="false"/>
          <w:color w:val="2E4057"/>
          <w:sz w:val="21"/>
        </w:rPr>
      </w:pPr>
      <w:bookmarkStart w:id="58" w:name="wp_legacy_conclusions_3"/>
      <w:r>
        <w:rPr>
          <w:vanish w:val="false"/>
          <w:color w:val="2E4057"/>
        </w:rPr>
        <w:t>工程成就来自测量、材料、供应链和知识传承的系统协同。</w:t>
      </w:r>
      <w:bookmarkEnd w:id="58"/>
    </w:p>
    <w:p>
      <w:pPr>
        <w:pStyle w:val="BodyText"/>
        <w:numPr>
          <w:ilvl w:val="0"/>
          <w:numId w:val="2"/>
        </w:numPr>
        <w:bidi w:val="0"/>
        <w:spacing w:lineRule="auto" w:line="274" w:before="125" w:after="45"/>
        <w:jc w:val="start"/>
        <w:rPr>
          <w:b/>
          <w:i w:val="false"/>
          <w:vanish w:val="false"/>
          <w:color w:val="2E4057"/>
          <w:sz w:val="21"/>
        </w:rPr>
      </w:pPr>
      <w:bookmarkStart w:id="59" w:name="wp_legacy_conclusions_4"/>
      <w:r>
        <w:rPr>
          <w:b/>
          <w:i w:val="false"/>
          <w:vanish w:val="false"/>
          <w:color w:val="2E4057"/>
          <w:sz w:val="21"/>
        </w:rPr>
        <w:t xml:space="preserve">UNO </w:t>
      </w:r>
      <w:r>
        <w:rPr>
          <w:vanish w:val="false"/>
          <w:color w:val="2E4057"/>
        </w:rPr>
        <w:t xml:space="preserve">的流式 </w:t>
      </w:r>
      <w:r>
        <w:rPr>
          <w:b/>
          <w:i w:val="false"/>
          <w:vanish w:val="false"/>
          <w:color w:val="2E4057"/>
          <w:sz w:val="21"/>
        </w:rPr>
        <w:t xml:space="preserve">Writer </w:t>
      </w:r>
      <w:r>
        <w:rPr>
          <w:vanish w:val="false"/>
          <w:color w:val="2E4057"/>
        </w:rPr>
        <w:t>布局能让表格、图片和矢量图表随正文分页，避免绝对定位造成的重叠。</w:t>
      </w:r>
      <w:bookmarkEnd w:id="59"/>
      <w:r>
        <w:br w:type="page"/>
      </w:r>
    </w:p>
    <w:p>
      <w:pPr>
        <w:pStyle w:val="BodyText"/>
        <w:numPr>
          <w:ilvl w:val="0"/>
          <w:numId w:val="0"/>
        </w:numPr>
        <w:bidi w:val="0"/>
        <w:spacing w:lineRule="auto" w:line="274" w:before="125" w:after="45"/>
        <w:jc w:val="start"/>
        <w:rPr>
          <w:b/>
          <w:i w:val="false"/>
          <w:vanish/>
          <w:color w:val="2E4057"/>
          <w:sz w:val="21"/>
        </w:rPr>
      </w:pPr>
      <w:bookmarkStart w:id="60" w:name="wp_break_sources"/>
      <w:r>
        <w:rPr>
          <w:b/>
          <w:i w:val="false"/>
          <w:vanish/>
          <w:color w:val="2E4057"/>
          <w:sz w:val="21"/>
        </w:rPr>
        <w:t>⁠</w:t>
      </w:r>
      <w:bookmarkEnd w:id="60"/>
    </w:p>
    <w:p>
      <w:pPr>
        <w:pStyle w:val="BodyText"/>
        <w:numPr>
          <w:ilvl w:val="0"/>
          <w:numId w:val="0"/>
        </w:numPr>
        <w:bidi w:val="0"/>
        <w:spacing w:lineRule="auto" w:line="312" w:before="0" w:after="45"/>
        <w:jc w:val="start"/>
        <w:rPr>
          <w:b/>
          <w:i w:val="false"/>
          <w:vanish w:val="false"/>
          <w:color w:val="C79A43"/>
          <w:sz w:val="20"/>
        </w:rPr>
      </w:pPr>
      <w:bookmarkStart w:id="61" w:name="wp_sources_eyebrow"/>
      <w:r>
        <w:rPr>
          <w:b/>
          <w:i w:val="false"/>
          <w:vanish w:val="false"/>
          <w:color w:val="C79A43"/>
          <w:sz w:val="20"/>
        </w:rPr>
        <w:t>SOURCES + QUALITY ASSURANCE</w:t>
      </w:r>
      <w:bookmarkEnd w:id="61"/>
    </w:p>
    <w:p>
      <w:pPr>
        <w:pStyle w:val="Heading1"/>
        <w:bidi w:val="0"/>
        <w:spacing w:lineRule="auto" w:line="274" w:before="0" w:after="102"/>
        <w:ind w:hanging="0" w:start="0"/>
        <w:jc w:val="start"/>
        <w:rPr>
          <w:b/>
          <w:i w:val="false"/>
          <w:color w:val="19334D"/>
          <w:sz w:val="48"/>
        </w:rPr>
      </w:pPr>
      <w:bookmarkStart w:id="62" w:name="wp_sources_title"/>
      <w:r>
        <w:rPr>
          <w:color w:val="19334D"/>
        </w:rPr>
        <w:t>资料、范围与验证</w:t>
      </w:r>
      <w:bookmarkEnd w:id="62"/>
    </w:p>
    <w:p>
      <w:pPr>
        <w:pStyle w:val="BodyText"/>
        <w:numPr>
          <w:ilvl w:val="0"/>
          <w:numId w:val="0"/>
        </w:numPr>
        <w:bidi w:val="0"/>
        <w:spacing w:lineRule="auto" w:line="348" w:before="0" w:after="125"/>
        <w:jc w:val="start"/>
        <w:rPr>
          <w:b w:val="false"/>
          <w:i w:val="false"/>
          <w:vanish w:val="false"/>
          <w:color w:val="2E4057"/>
          <w:sz w:val="23"/>
        </w:rPr>
      </w:pPr>
      <w:bookmarkStart w:id="63" w:name="wp_sources_intro"/>
      <w:r>
        <w:rPr>
          <w:vanish w:val="false"/>
          <w:color w:val="2E4057"/>
        </w:rPr>
        <w:t xml:space="preserve">这一页明确区分史实脉络、视觉素材与展示性数据，同时记录文件经过的 </w:t>
      </w:r>
      <w:r>
        <w:rPr>
          <w:b w:val="false"/>
          <w:i w:val="false"/>
          <w:vanish w:val="false"/>
          <w:color w:val="2E4057"/>
          <w:sz w:val="23"/>
        </w:rPr>
        <w:t xml:space="preserve">UNO </w:t>
      </w:r>
      <w:r>
        <w:rPr>
          <w:vanish w:val="false"/>
          <w:color w:val="2E4057"/>
        </w:rPr>
        <w:t>保存、重开、导出和逐页检查过程。</w:t>
      </w:r>
      <w:bookmarkEnd w:id="63"/>
    </w:p>
    <w:p>
      <w:pPr>
        <w:pStyle w:val="BodyText"/>
        <w:numPr>
          <w:ilvl w:val="0"/>
          <w:numId w:val="0"/>
        </w:numPr>
        <w:bidi w:val="0"/>
        <w:spacing w:lineRule="auto" w:line="312" w:before="0" w:after="34"/>
        <w:jc w:val="start"/>
        <w:rPr>
          <w:b w:val="false"/>
          <w:i w:val="false"/>
          <w:vanish w:val="false"/>
          <w:color w:val="6D788E"/>
          <w:sz w:val="18"/>
        </w:rPr>
      </w:pPr>
      <w:bookmarkStart w:id="64" w:name="wp_legacy_source_1"/>
      <w:r>
        <w:rPr>
          <w:vanish w:val="false"/>
          <w:color w:val="6D788E"/>
        </w:rPr>
        <w:t>主题脉络参考：</w:t>
      </w:r>
      <w:r>
        <w:rPr>
          <w:b w:val="false"/>
          <w:i w:val="false"/>
          <w:vanish w:val="false"/>
          <w:color w:val="6D788E"/>
          <w:sz w:val="18"/>
        </w:rPr>
        <w:t xml:space="preserve">Wikipedia “Ancient Egypt” </w:t>
      </w:r>
      <w:r>
        <w:rPr>
          <w:vanish w:val="false"/>
          <w:color w:val="6D788E"/>
        </w:rPr>
        <w:t>条目及其历史时期、社会、技术与文化章节。</w:t>
      </w:r>
      <w:bookmarkEnd w:id="64"/>
    </w:p>
    <w:p>
      <w:pPr>
        <w:pStyle w:val="BodyText"/>
        <w:numPr>
          <w:ilvl w:val="0"/>
          <w:numId w:val="0"/>
        </w:numPr>
        <w:bidi w:val="0"/>
        <w:spacing w:lineRule="auto" w:line="312" w:before="0" w:after="34"/>
        <w:jc w:val="start"/>
        <w:rPr>
          <w:b w:val="false"/>
          <w:i w:val="false"/>
          <w:vanish w:val="false"/>
          <w:color w:val="6D788E"/>
          <w:sz w:val="18"/>
        </w:rPr>
      </w:pPr>
      <w:bookmarkStart w:id="65" w:name="wp_legacy_source_2"/>
      <w:r>
        <w:rPr>
          <w:vanish w:val="false"/>
          <w:color w:val="6D788E"/>
        </w:rPr>
        <w:t xml:space="preserve">视觉素材来自用户提供的既有演示文稿中嵌入的地图、吉萨金字塔与卡夫拉雕像图片；图表为本次 </w:t>
      </w:r>
      <w:r>
        <w:rPr>
          <w:b w:val="false"/>
          <w:i w:val="false"/>
          <w:vanish w:val="false"/>
          <w:color w:val="6D788E"/>
          <w:sz w:val="18"/>
        </w:rPr>
        <w:t xml:space="preserve">UNO </w:t>
      </w:r>
      <w:r>
        <w:rPr>
          <w:vanish w:val="false"/>
          <w:color w:val="6D788E"/>
        </w:rPr>
        <w:t>流程生成的教学展示图。</w:t>
      </w:r>
      <w:bookmarkEnd w:id="65"/>
    </w:p>
    <w:p>
      <w:pPr>
        <w:pStyle w:val="BodyText"/>
        <w:numPr>
          <w:ilvl w:val="0"/>
          <w:numId w:val="0"/>
        </w:numPr>
        <w:bidi w:val="0"/>
        <w:spacing w:lineRule="auto" w:line="312" w:before="0" w:after="125"/>
        <w:jc w:val="start"/>
        <w:rPr>
          <w:b w:val="false"/>
          <w:i w:val="false"/>
          <w:vanish w:val="false"/>
          <w:color w:val="6D788E"/>
          <w:sz w:val="18"/>
        </w:rPr>
      </w:pPr>
      <w:bookmarkStart w:id="66" w:name="wp_legacy_source_3"/>
      <w:r>
        <w:rPr>
          <w:vanish w:val="false"/>
          <w:color w:val="6D788E"/>
        </w:rPr>
        <w:t xml:space="preserve">生成与验证：项目内 </w:t>
      </w:r>
      <w:r>
        <w:rPr>
          <w:b w:val="false"/>
          <w:i w:val="false"/>
          <w:vanish w:val="false"/>
          <w:color w:val="6D788E"/>
          <w:sz w:val="18"/>
        </w:rPr>
        <w:t>libreoffice-program-worker.py</w:t>
      </w:r>
      <w:r>
        <w:rPr>
          <w:vanish w:val="false"/>
          <w:color w:val="6D788E"/>
        </w:rPr>
        <w:t>；</w:t>
      </w:r>
      <w:r>
        <w:rPr>
          <w:b w:val="false"/>
          <w:i w:val="false"/>
          <w:vanish w:val="false"/>
          <w:color w:val="6D788E"/>
          <w:sz w:val="18"/>
        </w:rPr>
        <w:t>renderer=libreoffice-uno</w:t>
      </w:r>
      <w:r>
        <w:rPr>
          <w:vanish w:val="false"/>
          <w:color w:val="6D788E"/>
        </w:rPr>
        <w:t>；</w:t>
      </w:r>
      <w:r>
        <w:rPr>
          <w:b w:val="false"/>
          <w:i w:val="false"/>
          <w:vanish w:val="false"/>
          <w:color w:val="6D788E"/>
          <w:sz w:val="18"/>
        </w:rPr>
        <w:t xml:space="preserve">DOCX </w:t>
      </w:r>
      <w:r>
        <w:rPr>
          <w:vanish w:val="false"/>
          <w:color w:val="6D788E"/>
        </w:rPr>
        <w:t xml:space="preserve">保存后重新打开，并由同一 </w:t>
      </w:r>
      <w:r>
        <w:rPr>
          <w:b w:val="false"/>
          <w:i w:val="false"/>
          <w:vanish w:val="false"/>
          <w:color w:val="6D788E"/>
          <w:sz w:val="18"/>
        </w:rPr>
        <w:t xml:space="preserve">LibreOffice </w:t>
      </w:r>
      <w:r>
        <w:rPr>
          <w:vanish w:val="false"/>
          <w:color w:val="6D788E"/>
        </w:rPr>
        <w:t xml:space="preserve">实例导出 </w:t>
      </w:r>
      <w:r>
        <w:rPr>
          <w:b w:val="false"/>
          <w:i w:val="false"/>
          <w:vanish w:val="false"/>
          <w:color w:val="6D788E"/>
          <w:sz w:val="18"/>
        </w:rPr>
        <w:t xml:space="preserve">PDF </w:t>
      </w:r>
      <w:r>
        <w:rPr>
          <w:vanish w:val="false"/>
          <w:color w:val="6D788E"/>
        </w:rPr>
        <w:t>预览。</w:t>
      </w:r>
      <w:bookmarkEnd w:id="66"/>
    </w:p>
    <w:p>
      <w:pPr>
        <w:pStyle w:val="BodyText"/>
        <w:numPr>
          <w:ilvl w:val="0"/>
          <w:numId w:val="0"/>
        </w:numPr>
        <w:bidi w:val="0"/>
        <w:spacing w:lineRule="auto" w:line="312" w:before="0" w:after="125"/>
        <w:jc w:val="start"/>
        <w:rPr>
          <w:b w:val="false"/>
          <w:i w:val="false"/>
          <w:vanish/>
          <w:color w:val="6D788E"/>
          <w:sz w:val="18"/>
        </w:rPr>
      </w:pPr>
      <w:bookmarkStart w:id="67" w:name="wp_sources_delivery_matrix"/>
      <w:r>
        <w:rPr>
          <w:b w:val="false"/>
          <w:i w:val="false"/>
          <w:vanish/>
          <w:color w:val="6D788E"/>
          <w:sz w:val="18"/>
        </w:rPr>
        <w:t>⁠</w:t>
      </w:r>
      <w:bookmarkEnd w:id="67"/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5012"/>
        <w:gridCol w:w="2699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19334D" w:val="clear"/>
          </w:tcPr>
          <w:p>
            <w:pPr>
              <w:pStyle w:val="Style16"/>
              <w:bidi w:val="0"/>
              <w:spacing w:before="57" w:after="57"/>
              <w:rPr>
                <w:rFonts w:ascii="Microsoft YaHei" w:hAnsi="Microsoft YaHei" w:eastAsia="Microsoft YaHei"/>
                <w:b/>
                <w:color w:val="FFFFFF"/>
                <w:sz w:val="17"/>
              </w:rPr>
            </w:pPr>
            <w:r>
              <w:rPr>
                <w:rFonts w:ascii="Microsoft YaHei" w:hAnsi="Microsoft YaHei"/>
                <w:color w:val="FFFFFF"/>
              </w:rPr>
              <w:t>交付物</w:t>
            </w:r>
          </w:p>
        </w:tc>
        <w:tc>
          <w:tcPr>
            <w:tcW w:w="50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19334D" w:val="clear"/>
          </w:tcPr>
          <w:p>
            <w:pPr>
              <w:pStyle w:val="Style16"/>
              <w:bidi w:val="0"/>
              <w:spacing w:before="57" w:after="57"/>
              <w:rPr>
                <w:rFonts w:ascii="Microsoft YaHei" w:hAnsi="Microsoft YaHei" w:eastAsia="Microsoft YaHei"/>
                <w:b/>
                <w:color w:val="FFFFFF"/>
                <w:sz w:val="17"/>
              </w:rPr>
            </w:pPr>
            <w:r>
              <w:rPr>
                <w:rFonts w:eastAsia="Microsoft YaHei"/>
                <w:b/>
                <w:color w:val="FFFFFF"/>
                <w:sz w:val="17"/>
              </w:rPr>
              <w:t xml:space="preserve">UNO </w:t>
            </w:r>
            <w:r>
              <w:rPr>
                <w:rFonts w:ascii="Microsoft YaHei" w:hAnsi="Microsoft YaHei"/>
                <w:color w:val="FFFFFF"/>
              </w:rPr>
              <w:t>能力覆盖</w:t>
            </w:r>
          </w:p>
        </w:tc>
        <w:tc>
          <w:tcPr>
            <w:tcW w:w="2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9334D" w:val="clear"/>
          </w:tcPr>
          <w:p>
            <w:pPr>
              <w:pStyle w:val="Style16"/>
              <w:bidi w:val="0"/>
              <w:spacing w:before="57" w:after="57"/>
              <w:rPr>
                <w:rFonts w:ascii="Microsoft YaHei" w:hAnsi="Microsoft YaHei" w:eastAsia="Microsoft YaHei"/>
                <w:b/>
                <w:color w:val="FFFFFF"/>
                <w:sz w:val="17"/>
              </w:rPr>
            </w:pPr>
            <w:r>
              <w:rPr>
                <w:rFonts w:ascii="Microsoft YaHei" w:hAnsi="Microsoft YaHei"/>
                <w:color w:val="FFFFFF"/>
              </w:rPr>
              <w:t>验证结果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  <w:shd w:fill="F1EBDD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7"/>
              </w:rPr>
            </w:pPr>
            <w:r>
              <w:rPr>
                <w:rFonts w:eastAsia="Microsoft YaHei"/>
                <w:color w:val="2E4057"/>
                <w:sz w:val="17"/>
              </w:rPr>
              <w:t>PPTX</w:t>
            </w:r>
          </w:p>
        </w:tc>
        <w:tc>
          <w:tcPr>
            <w:tcW w:w="5012" w:type="dxa"/>
            <w:tcBorders>
              <w:start w:val="single" w:sz="4" w:space="0" w:color="000000"/>
              <w:bottom w:val="single" w:sz="4" w:space="0" w:color="000000"/>
            </w:tcBorders>
            <w:shd w:fill="F1EBDD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7"/>
              </w:rPr>
            </w:pPr>
            <w:r>
              <w:rPr>
                <w:rFonts w:eastAsia="Microsoft YaHei"/>
                <w:color w:val="2E4057"/>
                <w:sz w:val="17"/>
              </w:rPr>
              <w:t xml:space="preserve">12 </w:t>
            </w:r>
            <w:r>
              <w:rPr>
                <w:rFonts w:ascii="Microsoft YaHei" w:hAnsi="Microsoft YaHei"/>
                <w:color w:val="2E4057"/>
              </w:rPr>
              <w:t xml:space="preserve">页；文本、图片、原生 </w:t>
            </w:r>
            <w:r>
              <w:rPr>
                <w:rFonts w:eastAsia="Microsoft YaHei"/>
                <w:color w:val="2E4057"/>
                <w:sz w:val="17"/>
              </w:rPr>
              <w:t>TableShape</w:t>
            </w:r>
            <w:r>
              <w:rPr>
                <w:rFonts w:ascii="Microsoft YaHei" w:hAnsi="Microsoft YaHei"/>
                <w:color w:val="2E4057"/>
              </w:rPr>
              <w:t>、柱形</w:t>
            </w:r>
            <w:r>
              <w:rPr>
                <w:rFonts w:eastAsia="Microsoft YaHei"/>
                <w:color w:val="2E4057"/>
                <w:sz w:val="17"/>
              </w:rPr>
              <w:t>/</w:t>
            </w:r>
            <w:r>
              <w:rPr>
                <w:rFonts w:ascii="Microsoft YaHei" w:hAnsi="Microsoft YaHei"/>
                <w:color w:val="2E4057"/>
              </w:rPr>
              <w:t>条形</w:t>
            </w:r>
            <w:r>
              <w:rPr>
                <w:rFonts w:eastAsia="Microsoft YaHei"/>
                <w:color w:val="2E4057"/>
                <w:sz w:val="17"/>
              </w:rPr>
              <w:t>/</w:t>
            </w:r>
            <w:r>
              <w:rPr>
                <w:rFonts w:ascii="Microsoft YaHei" w:hAnsi="Microsoft YaHei"/>
                <w:color w:val="2E4057"/>
              </w:rPr>
              <w:t>饼形图、时间线与连接线</w:t>
            </w:r>
          </w:p>
        </w:tc>
        <w:tc>
          <w:tcPr>
            <w:tcW w:w="2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EBDD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7"/>
              </w:rPr>
            </w:pPr>
            <w:r>
              <w:rPr>
                <w:rFonts w:ascii="Microsoft YaHei" w:hAnsi="Microsoft YaHei"/>
                <w:color w:val="2E4057"/>
              </w:rPr>
              <w:t>保存后重开；内容碰撞、越界与文本溢出检查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7"/>
              </w:rPr>
            </w:pPr>
            <w:r>
              <w:rPr>
                <w:rFonts w:ascii="Microsoft YaHei" w:hAnsi="Microsoft YaHei"/>
                <w:color w:val="2E4057"/>
              </w:rPr>
              <w:t xml:space="preserve">演示文稿 </w:t>
            </w:r>
            <w:r>
              <w:rPr>
                <w:rFonts w:eastAsia="Microsoft YaHei"/>
                <w:color w:val="2E4057"/>
                <w:sz w:val="17"/>
              </w:rPr>
              <w:t>PDF</w:t>
            </w:r>
          </w:p>
        </w:tc>
        <w:tc>
          <w:tcPr>
            <w:tcW w:w="5012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7"/>
              </w:rPr>
            </w:pPr>
            <w:r>
              <w:rPr>
                <w:rFonts w:ascii="Microsoft YaHei" w:hAnsi="Microsoft YaHei"/>
                <w:color w:val="2E4057"/>
              </w:rPr>
              <w:t xml:space="preserve">由同一 </w:t>
            </w:r>
            <w:r>
              <w:rPr>
                <w:rFonts w:eastAsia="Microsoft YaHei"/>
                <w:color w:val="2E4057"/>
                <w:sz w:val="17"/>
              </w:rPr>
              <w:t xml:space="preserve">LibreOffice </w:t>
            </w:r>
            <w:r>
              <w:rPr>
                <w:rFonts w:ascii="Microsoft YaHei" w:hAnsi="Microsoft YaHei"/>
                <w:color w:val="2E4057"/>
              </w:rPr>
              <w:t>实例导出</w:t>
            </w:r>
          </w:p>
        </w:tc>
        <w:tc>
          <w:tcPr>
            <w:tcW w:w="2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7"/>
              </w:rPr>
            </w:pPr>
            <w:r>
              <w:rPr>
                <w:rFonts w:eastAsia="Microsoft YaHei"/>
                <w:color w:val="2E4057"/>
                <w:sz w:val="17"/>
              </w:rPr>
              <w:t xml:space="preserve">12 </w:t>
            </w:r>
            <w:r>
              <w:rPr>
                <w:rFonts w:ascii="Microsoft YaHei" w:hAnsi="Microsoft YaHei"/>
                <w:color w:val="2E4057"/>
              </w:rPr>
              <w:t>页逐页渲染检查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  <w:shd w:fill="F1EBDD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7"/>
              </w:rPr>
            </w:pPr>
            <w:r>
              <w:rPr>
                <w:rFonts w:eastAsia="Microsoft YaHei"/>
                <w:color w:val="2E4057"/>
                <w:sz w:val="17"/>
              </w:rPr>
              <w:t>DOCX</w:t>
            </w:r>
          </w:p>
        </w:tc>
        <w:tc>
          <w:tcPr>
            <w:tcW w:w="5012" w:type="dxa"/>
            <w:tcBorders>
              <w:start w:val="single" w:sz="4" w:space="0" w:color="000000"/>
              <w:bottom w:val="single" w:sz="4" w:space="0" w:color="000000"/>
            </w:tcBorders>
            <w:shd w:fill="F1EBDD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7"/>
              </w:rPr>
            </w:pPr>
            <w:r>
              <w:rPr>
                <w:rFonts w:eastAsia="Microsoft YaHei"/>
                <w:color w:val="2E4057"/>
                <w:sz w:val="17"/>
              </w:rPr>
              <w:t xml:space="preserve">9 </w:t>
            </w:r>
            <w:r>
              <w:rPr>
                <w:rFonts w:ascii="Microsoft YaHei" w:hAnsi="Microsoft YaHei"/>
                <w:color w:val="2E4057"/>
              </w:rPr>
              <w:t>页；页眉页脚、标题层级、列表、</w:t>
            </w:r>
            <w:r>
              <w:rPr>
                <w:rFonts w:eastAsia="Microsoft YaHei"/>
                <w:color w:val="2E4057"/>
                <w:sz w:val="17"/>
              </w:rPr>
              <w:t xml:space="preserve">6 </w:t>
            </w:r>
            <w:r>
              <w:rPr>
                <w:rFonts w:ascii="Microsoft YaHei" w:hAnsi="Microsoft YaHei"/>
                <w:color w:val="2E4057"/>
              </w:rPr>
              <w:t>张原生表格、</w:t>
            </w:r>
            <w:r>
              <w:rPr>
                <w:rFonts w:eastAsia="Microsoft YaHei"/>
                <w:color w:val="2E4057"/>
                <w:sz w:val="17"/>
              </w:rPr>
              <w:t xml:space="preserve">7 </w:t>
            </w:r>
            <w:r>
              <w:rPr>
                <w:rFonts w:ascii="Microsoft YaHei" w:hAnsi="Microsoft YaHei"/>
                <w:color w:val="2E4057"/>
              </w:rPr>
              <w:t>个图像</w:t>
            </w:r>
            <w:r>
              <w:rPr>
                <w:rFonts w:eastAsia="Microsoft YaHei"/>
                <w:color w:val="2E4057"/>
                <w:sz w:val="17"/>
              </w:rPr>
              <w:t>/</w:t>
            </w:r>
            <w:r>
              <w:rPr>
                <w:rFonts w:ascii="Microsoft YaHei" w:hAnsi="Microsoft YaHei"/>
                <w:color w:val="2E4057"/>
              </w:rPr>
              <w:t>图表对象</w:t>
            </w:r>
          </w:p>
        </w:tc>
        <w:tc>
          <w:tcPr>
            <w:tcW w:w="2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EBDD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7"/>
              </w:rPr>
            </w:pPr>
            <w:r>
              <w:rPr>
                <w:rFonts w:ascii="Microsoft YaHei" w:hAnsi="Microsoft YaHei"/>
                <w:color w:val="2E4057"/>
              </w:rPr>
              <w:t>保存后重开；</w:t>
            </w:r>
            <w:r>
              <w:rPr>
                <w:rFonts w:eastAsia="Microsoft YaHei"/>
                <w:color w:val="2E4057"/>
                <w:sz w:val="17"/>
              </w:rPr>
              <w:t xml:space="preserve">Writer </w:t>
            </w:r>
            <w:r>
              <w:rPr>
                <w:rFonts w:ascii="Microsoft YaHei" w:hAnsi="Microsoft YaHei"/>
                <w:color w:val="2E4057"/>
              </w:rPr>
              <w:t>页面与对象几何检查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7"/>
              </w:rPr>
            </w:pPr>
            <w:r>
              <w:rPr>
                <w:rFonts w:ascii="Microsoft YaHei" w:hAnsi="Microsoft YaHei"/>
                <w:color w:val="2E4057"/>
              </w:rPr>
              <w:t xml:space="preserve">专题报告 </w:t>
            </w:r>
            <w:r>
              <w:rPr>
                <w:rFonts w:eastAsia="Microsoft YaHei"/>
                <w:color w:val="2E4057"/>
                <w:sz w:val="17"/>
              </w:rPr>
              <w:t>PDF</w:t>
            </w:r>
          </w:p>
        </w:tc>
        <w:tc>
          <w:tcPr>
            <w:tcW w:w="5012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7"/>
              </w:rPr>
            </w:pPr>
            <w:r>
              <w:rPr>
                <w:rFonts w:ascii="Microsoft YaHei" w:hAnsi="Microsoft YaHei"/>
                <w:color w:val="2E4057"/>
              </w:rPr>
              <w:t xml:space="preserve">由 </w:t>
            </w:r>
            <w:r>
              <w:rPr>
                <w:rFonts w:eastAsia="Microsoft YaHei"/>
                <w:color w:val="2E4057"/>
                <w:sz w:val="17"/>
              </w:rPr>
              <w:t xml:space="preserve">DOCX </w:t>
            </w:r>
            <w:r>
              <w:rPr>
                <w:rFonts w:ascii="Microsoft YaHei" w:hAnsi="Microsoft YaHei"/>
                <w:color w:val="2E4057"/>
              </w:rPr>
              <w:t xml:space="preserve">的 </w:t>
            </w:r>
            <w:r>
              <w:rPr>
                <w:rFonts w:eastAsia="Microsoft YaHei"/>
                <w:color w:val="2E4057"/>
                <w:sz w:val="17"/>
              </w:rPr>
              <w:t xml:space="preserve">LibreOffice </w:t>
            </w:r>
            <w:r>
              <w:rPr>
                <w:rFonts w:ascii="Microsoft YaHei" w:hAnsi="Microsoft YaHei"/>
                <w:color w:val="2E4057"/>
              </w:rPr>
              <w:t>预览链路导出</w:t>
            </w:r>
          </w:p>
        </w:tc>
        <w:tc>
          <w:tcPr>
            <w:tcW w:w="2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7" w:after="57"/>
              <w:jc w:val="start"/>
              <w:rPr>
                <w:rFonts w:ascii="Microsoft YaHei" w:hAnsi="Microsoft YaHei" w:eastAsia="Microsoft YaHei"/>
                <w:color w:val="2E4057"/>
                <w:sz w:val="17"/>
              </w:rPr>
            </w:pPr>
            <w:r>
              <w:rPr>
                <w:rFonts w:eastAsia="Microsoft YaHei"/>
                <w:color w:val="2E4057"/>
                <w:sz w:val="17"/>
              </w:rPr>
              <w:t xml:space="preserve">9 </w:t>
            </w:r>
            <w:r>
              <w:rPr>
                <w:rFonts w:ascii="Microsoft YaHei" w:hAnsi="Microsoft YaHei"/>
                <w:color w:val="2E4057"/>
              </w:rPr>
              <w:t>页逐页渲染检查</w:t>
            </w:r>
          </w:p>
        </w:tc>
      </w:tr>
    </w:tbl>
    <w:p>
      <w:pPr>
        <w:pStyle w:val="BodyText"/>
        <w:numPr>
          <w:ilvl w:val="0"/>
          <w:numId w:val="0"/>
        </w:numPr>
        <w:bidi w:val="0"/>
        <w:spacing w:lineRule="auto" w:line="312" w:before="0" w:after="125"/>
        <w:jc w:val="start"/>
        <w:rPr>
          <w:b w:val="false"/>
          <w:i w:val="false"/>
          <w:vanish w:val="false"/>
          <w:color w:val="6D788E"/>
          <w:sz w:val="18"/>
        </w:rPr>
      </w:pPr>
      <w:r>
        <w:rPr>
          <w:b w:val="false"/>
          <w:i w:val="false"/>
          <w:vanish w:val="false"/>
          <w:color w:val="6D788E"/>
          <w:sz w:val="18"/>
        </w:rPr>
      </w:r>
    </w:p>
    <w:p>
      <w:pPr>
        <w:pStyle w:val="Heading2"/>
        <w:bidi w:val="0"/>
        <w:spacing w:lineRule="auto" w:line="274" w:before="125" w:after="102"/>
        <w:ind w:hanging="0" w:start="0"/>
        <w:jc w:val="start"/>
        <w:rPr>
          <w:b/>
          <w:i w:val="false"/>
          <w:color w:val="1F7A83"/>
          <w:sz w:val="36"/>
        </w:rPr>
      </w:pPr>
      <w:bookmarkStart w:id="68" w:name="wp_sources_qa_title"/>
      <w:r>
        <w:rPr>
          <w:color w:val="1F7A83"/>
        </w:rPr>
        <w:t>本次修复验证了什么</w:t>
      </w:r>
      <w:bookmarkEnd w:id="68"/>
    </w:p>
    <w:p>
      <w:pPr>
        <w:pStyle w:val="BodyText"/>
        <w:numPr>
          <w:ilvl w:val="0"/>
          <w:numId w:val="2"/>
        </w:numPr>
        <w:bidi w:val="0"/>
        <w:spacing w:lineRule="auto" w:line="274" w:before="125" w:after="45"/>
        <w:jc w:val="start"/>
        <w:rPr>
          <w:b/>
          <w:i w:val="false"/>
          <w:vanish w:val="false"/>
          <w:color w:val="2E4057"/>
          <w:sz w:val="20"/>
        </w:rPr>
      </w:pPr>
      <w:bookmarkStart w:id="69" w:name="wp_sources_qa_list_1"/>
      <w:r>
        <w:rPr>
          <w:b/>
          <w:i w:val="false"/>
          <w:vanish w:val="false"/>
          <w:color w:val="2E4057"/>
          <w:sz w:val="20"/>
        </w:rPr>
        <w:t>Impress</w:t>
      </w:r>
      <w:r>
        <w:rPr>
          <w:vanish w:val="false"/>
          <w:color w:val="2E4057"/>
        </w:rPr>
        <w:t xml:space="preserve">：自动网格与堆叠布局减少手写坐标；碰撞诊断返回准确 </w:t>
      </w:r>
      <w:r>
        <w:rPr>
          <w:b/>
          <w:i w:val="false"/>
          <w:vanish w:val="false"/>
          <w:color w:val="2E4057"/>
          <w:sz w:val="20"/>
        </w:rPr>
        <w:t>elementId</w:t>
      </w:r>
      <w:r>
        <w:rPr>
          <w:vanish w:val="false"/>
          <w:color w:val="2E4057"/>
        </w:rPr>
        <w:t>。</w:t>
      </w:r>
      <w:bookmarkEnd w:id="69"/>
    </w:p>
    <w:p>
      <w:pPr>
        <w:pStyle w:val="BodyText"/>
        <w:numPr>
          <w:ilvl w:val="0"/>
          <w:numId w:val="2"/>
        </w:numPr>
        <w:bidi w:val="0"/>
        <w:spacing w:lineRule="auto" w:line="274" w:before="125" w:after="45"/>
        <w:jc w:val="start"/>
        <w:rPr>
          <w:b/>
          <w:i w:val="false"/>
          <w:vanish w:val="false"/>
          <w:color w:val="2E4057"/>
          <w:sz w:val="20"/>
        </w:rPr>
      </w:pPr>
      <w:bookmarkStart w:id="70" w:name="wp_sources_qa_list_2"/>
      <w:r>
        <w:rPr>
          <w:b/>
          <w:i w:val="false"/>
          <w:vanish w:val="false"/>
          <w:color w:val="2E4057"/>
          <w:sz w:val="20"/>
        </w:rPr>
        <w:t>Writer</w:t>
      </w:r>
      <w:r>
        <w:rPr>
          <w:vanish w:val="false"/>
          <w:color w:val="2E4057"/>
        </w:rPr>
        <w:t xml:space="preserve">：空书签的隐藏格式不再泄漏到后续内容，图片不会在 </w:t>
      </w:r>
      <w:r>
        <w:rPr>
          <w:b/>
          <w:i w:val="false"/>
          <w:vanish w:val="false"/>
          <w:color w:val="2E4057"/>
          <w:sz w:val="20"/>
        </w:rPr>
        <w:t xml:space="preserve">DOCX </w:t>
      </w:r>
      <w:r>
        <w:rPr>
          <w:vanish w:val="false"/>
          <w:color w:val="2E4057"/>
        </w:rPr>
        <w:t>中压成单行高度。</w:t>
      </w:r>
      <w:bookmarkEnd w:id="70"/>
    </w:p>
    <w:p>
      <w:pPr>
        <w:pStyle w:val="BodyText"/>
        <w:numPr>
          <w:ilvl w:val="0"/>
          <w:numId w:val="2"/>
        </w:numPr>
        <w:bidi w:val="0"/>
        <w:spacing w:lineRule="auto" w:line="274" w:before="125" w:after="45"/>
        <w:jc w:val="start"/>
        <w:rPr>
          <w:b/>
          <w:i w:val="false"/>
          <w:vanish w:val="false"/>
          <w:color w:val="2E4057"/>
          <w:sz w:val="20"/>
        </w:rPr>
      </w:pPr>
      <w:bookmarkStart w:id="71" w:name="wp_sources_qa_list_3"/>
      <w:r>
        <w:rPr>
          <w:vanish w:val="false"/>
          <w:color w:val="2E4057"/>
        </w:rPr>
        <w:t xml:space="preserve">图片尺寸：优先读取 </w:t>
      </w:r>
      <w:r>
        <w:rPr>
          <w:b/>
          <w:i w:val="false"/>
          <w:vanish w:val="false"/>
          <w:color w:val="2E4057"/>
          <w:sz w:val="20"/>
        </w:rPr>
        <w:t>PNG</w:t>
      </w:r>
      <w:r>
        <w:rPr>
          <w:vanish w:val="false"/>
          <w:color w:val="2E4057"/>
        </w:rPr>
        <w:t>、</w:t>
      </w:r>
      <w:r>
        <w:rPr>
          <w:b/>
          <w:i w:val="false"/>
          <w:vanish w:val="false"/>
          <w:color w:val="2E4057"/>
          <w:sz w:val="20"/>
        </w:rPr>
        <w:t>JPEG</w:t>
      </w:r>
      <w:r>
        <w:rPr>
          <w:vanish w:val="false"/>
          <w:color w:val="2E4057"/>
        </w:rPr>
        <w:t>、</w:t>
      </w:r>
      <w:r>
        <w:rPr>
          <w:b/>
          <w:i w:val="false"/>
          <w:vanish w:val="false"/>
          <w:color w:val="2E4057"/>
          <w:sz w:val="20"/>
        </w:rPr>
        <w:t xml:space="preserve">GIF </w:t>
      </w:r>
      <w:r>
        <w:rPr>
          <w:vanish w:val="false"/>
          <w:color w:val="2E4057"/>
        </w:rPr>
        <w:t xml:space="preserve">或 </w:t>
      </w:r>
      <w:r>
        <w:rPr>
          <w:b/>
          <w:i w:val="false"/>
          <w:vanish w:val="false"/>
          <w:color w:val="2E4057"/>
          <w:sz w:val="20"/>
        </w:rPr>
        <w:t xml:space="preserve">SVG </w:t>
      </w:r>
      <w:r>
        <w:rPr>
          <w:vanish w:val="false"/>
          <w:color w:val="2E4057"/>
        </w:rPr>
        <w:t xml:space="preserve">的固有宽高比，不依赖 </w:t>
      </w:r>
      <w:r>
        <w:rPr>
          <w:b/>
          <w:i w:val="false"/>
          <w:vanish w:val="false"/>
          <w:color w:val="2E4057"/>
          <w:sz w:val="20"/>
        </w:rPr>
        <w:t xml:space="preserve">UNO </w:t>
      </w:r>
      <w:r>
        <w:rPr>
          <w:vanish w:val="false"/>
          <w:color w:val="2E4057"/>
        </w:rPr>
        <w:t>懒加载元数据。</w:t>
      </w:r>
      <w:bookmarkEnd w:id="71"/>
    </w:p>
    <w:p>
      <w:pPr>
        <w:pStyle w:val="BodyText"/>
        <w:numPr>
          <w:ilvl w:val="0"/>
          <w:numId w:val="2"/>
        </w:numPr>
        <w:bidi w:val="0"/>
        <w:spacing w:lineRule="auto" w:line="274" w:before="125" w:after="45"/>
        <w:jc w:val="start"/>
        <w:rPr>
          <w:b/>
          <w:i w:val="false"/>
          <w:vanish w:val="false"/>
          <w:color w:val="2E4057"/>
          <w:sz w:val="20"/>
        </w:rPr>
      </w:pPr>
      <w:bookmarkStart w:id="72" w:name="wp_sources_qa_list_4"/>
      <w:r>
        <w:rPr>
          <w:vanish w:val="false"/>
          <w:color w:val="2E4057"/>
        </w:rPr>
        <w:t xml:space="preserve">渲染器：整个生成与验证链只使用 </w:t>
      </w:r>
      <w:r>
        <w:rPr>
          <w:b/>
          <w:i w:val="false"/>
          <w:vanish w:val="false"/>
          <w:color w:val="2E4057"/>
          <w:sz w:val="20"/>
        </w:rPr>
        <w:t>LibreOffice UNO</w:t>
      </w:r>
      <w:r>
        <w:rPr>
          <w:vanish w:val="false"/>
          <w:color w:val="2E4057"/>
        </w:rPr>
        <w:t xml:space="preserve">，不调用 </w:t>
      </w:r>
      <w:r>
        <w:rPr>
          <w:b/>
          <w:i w:val="false"/>
          <w:vanish w:val="false"/>
          <w:color w:val="2E4057"/>
          <w:sz w:val="20"/>
        </w:rPr>
        <w:t>Microsoft Office</w:t>
      </w:r>
      <w:r>
        <w:rPr>
          <w:vanish w:val="false"/>
          <w:color w:val="2E4057"/>
        </w:rPr>
        <w:t>。</w:t>
      </w:r>
      <w:bookmarkEnd w:id="72"/>
    </w:p>
    <w:p>
      <w:pPr>
        <w:pStyle w:val="BodyText"/>
        <w:numPr>
          <w:ilvl w:val="0"/>
          <w:numId w:val="0"/>
        </w:numPr>
        <w:bidi w:val="0"/>
        <w:spacing w:lineRule="auto" w:line="274" w:before="125" w:after="45"/>
        <w:jc w:val="start"/>
        <w:rPr>
          <w:b/>
          <w:i w:val="false"/>
          <w:vanish w:val="false"/>
          <w:color w:val="2E4057"/>
          <w:sz w:val="20"/>
        </w:rPr>
      </w:pPr>
      <w:r>
        <w:rPr>
          <w:b/>
          <w:i w:val="false"/>
          <w:vanish w:val="false"/>
          <w:color w:val="2E4057"/>
          <w:sz w:val="20"/>
        </w:rPr>
      </w:r>
    </w:p>
    <w:sectPr>
      <w:headerReference w:type="default" r:id="rId11"/>
      <w:footerReference w:type="default" r:id="rId12"/>
      <w:type w:val="nextPage"/>
      <w:pgSz w:w="11906" w:h="16838"/>
      <w:pgMar w:left="1134" w:right="1134" w:gutter="0" w:header="964" w:top="1254" w:footer="964" w:bottom="125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Microsoft YaHei">
    <w:charset w:val="86"/>
    <w:family w:val="roman"/>
    <w:pitch w:val="variable"/>
  </w:font>
  <w:font w:name="Microsoft YaHei">
    <w:charset w:val="86"/>
    <w:family w:val="swiss"/>
    <w:pitch w:val="variable"/>
  </w:font>
  <w:font w:name="Liberation Sans">
    <w:altName w:val="Arial"/>
    <w:charset w:val="86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start"/>
      <w:rPr/>
    </w:pPr>
    <w:bookmarkStart w:id="74" w:name="wp_document_footer"/>
    <w:r>
      <w:rPr/>
      <w:t xml:space="preserve">古埃及文明专题报告 </w:t>
    </w:r>
    <w:r>
      <w:rPr/>
      <w:t xml:space="preserve">· </w:t>
    </w:r>
    <w:r>
      <w:rPr/>
      <w:t xml:space="preserve">项目原生 </w:t>
    </w:r>
    <w:r>
      <w:rPr/>
      <w:t xml:space="preserve">UNO </w:t>
    </w:r>
    <w:r>
      <w:rPr/>
      <w:t>流程</w:t>
    </w:r>
    <w:bookmarkEnd w:id="74"/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start"/>
      <w:rPr/>
    </w:pPr>
    <w:bookmarkStart w:id="73" w:name="wp_document_header"/>
    <w:r>
      <w:rPr/>
      <w:t>UNO / LIBREOFFICE · ANCIENT EGYPT FEATURE SHOWCASE</w:t>
    </w:r>
    <w:bookmarkEnd w:id="73"/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227"/>
        </w:tabs>
        <w:ind w:star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454"/>
        </w:tabs>
        <w:ind w:star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680"/>
        </w:tabs>
        <w:ind w:star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Microsoft YaHei" w:hAnsi="Microsoft YaHei" w:eastAsia="Microsoft YaHei" w:cs="Lucida Sans"/>
      <w:color w:val="2E4057"/>
      <w:kern w:val="2"/>
      <w:sz w:val="22"/>
      <w:szCs w:val="24"/>
      <w:lang w:val="en-US" w:eastAsia="zh-CN" w:bidi="hi-IN"/>
    </w:rPr>
  </w:style>
  <w:style w:type="paragraph" w:styleId="Heading1">
    <w:name w:val="heading 1"/>
    <w:basedOn w:val="Style12"/>
    <w:next w:val="BodyText"/>
    <w:qFormat/>
    <w:pPr>
      <w:numPr>
        <w:ilvl w:val="0"/>
        <w:numId w:val="1"/>
      </w:numPr>
      <w:spacing w:before="240" w:after="120"/>
      <w:outlineLvl w:val="0"/>
    </w:pPr>
    <w:rPr>
      <w:rFonts w:ascii="Microsoft YaHei" w:hAnsi="Microsoft YaHei" w:eastAsia="Microsoft YaHei"/>
      <w:b/>
      <w:bCs/>
      <w:color w:val="19334D"/>
      <w:sz w:val="48"/>
      <w:szCs w:val="36"/>
    </w:rPr>
  </w:style>
  <w:style w:type="paragraph" w:styleId="Heading2">
    <w:name w:val="heading 2"/>
    <w:basedOn w:val="Style12"/>
    <w:next w:val="BodyText"/>
    <w:qFormat/>
    <w:pPr>
      <w:numPr>
        <w:ilvl w:val="1"/>
        <w:numId w:val="1"/>
      </w:numPr>
      <w:spacing w:before="200" w:after="120"/>
      <w:outlineLvl w:val="1"/>
    </w:pPr>
    <w:rPr>
      <w:rFonts w:ascii="Microsoft YaHei" w:hAnsi="Microsoft YaHei" w:eastAsia="Microsoft YaHei"/>
      <w:b/>
      <w:bCs/>
      <w:color w:val="1F7A83"/>
      <w:sz w:val="36"/>
      <w:szCs w:val="32"/>
    </w:rPr>
  </w:style>
  <w:style w:type="paragraph" w:styleId="Heading3">
    <w:name w:val="heading 3"/>
    <w:basedOn w:val="Style12"/>
    <w:next w:val="BodyText"/>
    <w:qFormat/>
    <w:pPr>
      <w:numPr>
        <w:ilvl w:val="2"/>
        <w:numId w:val="1"/>
      </w:numPr>
      <w:spacing w:before="140" w:after="120"/>
      <w:outlineLvl w:val="2"/>
    </w:pPr>
    <w:rPr>
      <w:rFonts w:ascii="Microsoft YaHei" w:hAnsi="Microsoft YaHei" w:eastAsia="Microsoft YaHei"/>
      <w:b/>
      <w:bCs/>
      <w:color w:val="DD6B48"/>
      <w:sz w:val="28"/>
      <w:szCs w:val="28"/>
    </w:rPr>
  </w:style>
  <w:style w:type="character" w:styleId="Style11">
    <w:name w:val="编号符号"/>
    <w:qFormat/>
    <w:rPr/>
  </w:style>
  <w:style w:type="paragraph" w:styleId="Style12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3">
    <w:name w:val="索引"/>
    <w:basedOn w:val="Normal"/>
    <w:qFormat/>
    <w:pPr>
      <w:suppressLineNumbers/>
    </w:pPr>
    <w:rPr>
      <w:rFonts w:cs="Lucida Sans"/>
    </w:rPr>
  </w:style>
  <w:style w:type="paragraph" w:styleId="Style14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Style14"/>
    <w:pPr>
      <w:suppressLineNumbers/>
    </w:pPr>
    <w:rPr/>
  </w:style>
  <w:style w:type="paragraph" w:styleId="Footer">
    <w:name w:val="footer"/>
    <w:basedOn w:val="Style14"/>
    <w:pPr>
      <w:suppressLineNumbers/>
    </w:pPr>
    <w:rPr/>
  </w:style>
  <w:style w:type="paragraph" w:styleId="ListBullet">
    <w:name w:val="List Bullet"/>
    <w:basedOn w:val="List"/>
    <w:pPr>
      <w:spacing w:before="0" w:after="120"/>
      <w:ind w:hanging="360" w:start="360"/>
    </w:pPr>
    <w:rPr>
      <w:rFonts w:ascii="Microsoft YaHei" w:hAnsi="Microsoft YaHei" w:eastAsia="Microsoft YaHei"/>
      <w:color w:val="2E4057"/>
      <w:sz w:val="22"/>
    </w:rPr>
  </w:style>
  <w:style w:type="paragraph" w:styleId="Style15">
    <w:name w:val="表格内容"/>
    <w:basedOn w:val="Normal"/>
    <w:qFormat/>
    <w:pPr>
      <w:widowControl w:val="false"/>
      <w:suppressLineNumbers/>
    </w:pPr>
    <w:rPr/>
  </w:style>
  <w:style w:type="paragraph" w:styleId="Style16">
    <w:name w:val="表格标题"/>
    <w:basedOn w:val="Style15"/>
    <w:qFormat/>
    <w:pPr>
      <w:suppressLineNumbers/>
      <w:jc w:val="center"/>
    </w:pPr>
    <w:rPr>
      <w:b/>
      <w:bCs/>
    </w:rPr>
  </w:style>
  <w:style w:type="numbering" w:styleId="Style17">
    <w:name w:val="项目符号 •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png"/><Relationship Id="rId6" Type="http://schemas.openxmlformats.org/officeDocument/2006/relationships/image" Target="media/image5.svg"/><Relationship Id="rId7" Type="http://schemas.openxmlformats.org/officeDocument/2006/relationships/image" Target="media/image1.jpeg"/><Relationship Id="rId8" Type="http://schemas.openxmlformats.org/officeDocument/2006/relationships/image" Target="media/image6.png"/><Relationship Id="rId9" Type="http://schemas.openxmlformats.org/officeDocument/2006/relationships/image" Target="media/image7.svg"/><Relationship Id="rId10" Type="http://schemas.openxmlformats.org/officeDocument/2006/relationships/image" Target="media/image8.jpe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  <Pages>7</Pages>
  <Words>2121</Words>
  <Characters>2413</Characters>
  <CharactersWithSpaces>2506</CharactersWithSpaces>
  <Paragraphs>165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dcterms:modified xsi:type="dcterms:W3CDTF">2026-08-30T19:27:02Z</dcterms:modified>
  <cp:revision>1</cp:revision>
  <dc:subject/>
  <dc:title/>
</cp:coreProperties>
</file>