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40285">
      <w:r>
        <w:drawing>
          <wp:inline distT="0" distB="0" distL="114300" distR="114300">
            <wp:extent cx="5267960" cy="440182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FA0E">
      <w:pPr>
        <w:rPr>
          <w:rFonts w:hint="eastAsia"/>
          <w:lang w:val="en-US" w:eastAsia="zh-CN"/>
        </w:rPr>
      </w:pPr>
    </w:p>
    <w:p w14:paraId="7E583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在qt的bin下面找到windeployqt.exe或者windeployqt6.exe，点击他们会弹出一个命令行（会闪退，直接把release版本的exe拖入windeployqt.exe或者windeployqt6.exe里面），然后事先准备一个文件夹把release版本的exe放入文件夹，然后把release版本的exe放入windeployqt.exe或者windeployqt6.exe里面，在与release版本的exe同级的文件夹里面会有需要的配置文件</w:t>
      </w:r>
    </w:p>
    <w:p w14:paraId="52CC1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</w:t>
      </w:r>
    </w:p>
    <w:p w14:paraId="351B406E">
      <w:r>
        <w:rPr>
          <w:rFonts w:hint="eastAsia"/>
          <w:lang w:val="en-US" w:eastAsia="zh-CN"/>
        </w:rPr>
        <w:t>打开</w:t>
      </w:r>
      <w:r>
        <w:drawing>
          <wp:inline distT="0" distB="0" distL="114300" distR="114300">
            <wp:extent cx="5267960" cy="117983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D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Inno setup compiler（一个界面化打包软件会生成打包的安装器）</w:t>
      </w:r>
    </w:p>
    <w:p w14:paraId="07C9218E">
      <w:r>
        <w:drawing>
          <wp:inline distT="0" distB="0" distL="114300" distR="114300">
            <wp:extent cx="5266690" cy="352615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F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直接next</w:t>
      </w:r>
    </w:p>
    <w:p w14:paraId="2516580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4239895"/>
            <wp:effectExtent l="0" t="0" r="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填写软件名称还有版本号后next</w:t>
      </w:r>
    </w:p>
    <w:p w14:paraId="16477A45">
      <w:r>
        <w:drawing>
          <wp:inline distT="0" distB="0" distL="114300" distR="114300">
            <wp:extent cx="5269865" cy="1378585"/>
            <wp:effectExtent l="0" t="0" r="317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9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事先准备好的文件夹里面放入的release版本的exe路径</w:t>
      </w:r>
    </w:p>
    <w:p w14:paraId="2D2CA3AE">
      <w:r>
        <w:drawing>
          <wp:inline distT="0" distB="0" distL="114300" distR="114300">
            <wp:extent cx="5271135" cy="854075"/>
            <wp:effectExtent l="0" t="0" r="190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4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这个是配置文件，把事先准备的文件夹里面的所有经过windeployqt.exe或者windeployqt6.exe得到的配置文件放入，其实将整个文件夹放入即可</w:t>
      </w:r>
    </w:p>
    <w:p w14:paraId="1C5BB88A">
      <w:r>
        <w:drawing>
          <wp:inline distT="0" distB="0" distL="114300" distR="114300">
            <wp:extent cx="5266055" cy="4036695"/>
            <wp:effectExtent l="0" t="0" r="698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B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选择输出文件夹以及配置图标</w:t>
      </w:r>
    </w:p>
    <w:p w14:paraId="0E1D87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其它都直接next</w:t>
      </w:r>
      <w:bookmarkStart w:id="0" w:name="_GoBack"/>
      <w:bookmarkEnd w:id="0"/>
    </w:p>
    <w:p w14:paraId="5DF7E801">
      <w:pPr>
        <w:rPr>
          <w:rFonts w:hint="default"/>
          <w:lang w:val="en-US" w:eastAsia="zh-CN"/>
        </w:rPr>
      </w:pPr>
    </w:p>
    <w:p w14:paraId="429AF0F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3F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2026-05-13T16:12:31Z</dcterms:created>
  <dc:creator>ckgxnn</dc:creator>
  <cp:lastModifiedBy>陈越云</cp:lastModifiedBy>
  <dcterms:modified xsi:type="dcterms:W3CDTF">2026-05-13T16:28:47Z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eyJoZGlkIjoiNTM1Y2I1NzFiOTZmNDBlYmU5MjBmYWQxN2RhOGE0MWYiLCJ1c2VySWQiOiIxNjcxMDgzMzEyIn0=</vt:lpwstr>
  </property>
  <property fmtid="{D5CDD505-2E9C-101B-9397-08002B2CF9AE}" pid="4" name="ICV">
    <vt:lpwstr>E9C7B610E46C49D1B7A4FD7BE956E7A2_12</vt:lpwstr>
  </property>
</Properties>
</file>