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Task二分类与Three三分类结果分析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实验总览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</w:t>
      </w:r>
      <w:r>
        <w:rPr>
          <w:rFonts w:eastAsia="等线" w:ascii="Arial" w:cs="Arial" w:hAnsi="Arial"/>
          <w:sz w:val="22"/>
        </w:rPr>
        <w:t>：openbmi_balanced_train_2s（平衡后的运动想象数据，8 导联，2 秒窗口）</w:t>
        <w:br/>
      </w:r>
      <w:r>
        <w:rPr>
          <w:rFonts w:eastAsia="等线" w:ascii="Arial" w:cs="Arial" w:hAnsi="Arial"/>
          <w:b w:val="true"/>
          <w:sz w:val="22"/>
        </w:rPr>
        <w:t>验证方式</w:t>
      </w:r>
      <w:r>
        <w:rPr>
          <w:rFonts w:eastAsia="等线" w:ascii="Arial" w:cs="Arial" w:hAnsi="Arial"/>
          <w:sz w:val="22"/>
        </w:rPr>
        <w:t>：被试独立五折交叉验证</w:t>
        <w:br/>
      </w:r>
      <w:r>
        <w:rPr>
          <w:rFonts w:eastAsia="等线" w:ascii="Arial" w:cs="Arial" w:hAnsi="Arial"/>
          <w:b w:val="true"/>
          <w:sz w:val="22"/>
        </w:rPr>
        <w:t>超参</w:t>
      </w:r>
      <w:r>
        <w:rPr>
          <w:rFonts w:eastAsia="等线" w:ascii="Arial" w:cs="Arial" w:hAnsi="Arial"/>
          <w:sz w:val="22"/>
        </w:rPr>
        <w:t>：max_epochs=300, patience=18, batch=32, lr=1e-4, weight_decay=1e-4, drop_prob=0.5, seed=42</w:t>
        <w:br/>
      </w:r>
      <w:r>
        <w:rPr>
          <w:rFonts w:eastAsia="等线" w:ascii="Arial" w:cs="Arial" w:hAnsi="Arial"/>
          <w:b w:val="true"/>
          <w:sz w:val="22"/>
        </w:rPr>
        <w:t>任务类型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</w:t>
      </w:r>
      <w:r>
        <w:rPr>
          <w:rFonts w:eastAsia="等线" w:ascii="Arial" w:cs="Arial" w:hAnsi="Arial"/>
          <w:sz w:val="22"/>
        </w:rPr>
        <w:t>：二分类（静息 vs 任务）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Three</w:t>
      </w:r>
      <w:r>
        <w:rPr>
          <w:rFonts w:eastAsia="等线" w:ascii="Arial" w:cs="Arial" w:hAnsi="Arial"/>
          <w:sz w:val="22"/>
        </w:rPr>
        <w:t>：三分类（空闲 / 左手 / 右手）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模型分类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输入形式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结构特点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经典 CNN</w:t>
            </w:r>
            <w:r>
              <w:rPr>
                <w:rFonts w:eastAsia="等线" w:ascii="Arial" w:cs="Arial" w:hAnsi="Arial"/>
                <w:sz w:val="22"/>
              </w:rPr>
              <w:t>（braindecode）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 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ShallowFBCSPNet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 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 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F1=8, D=2, F2=16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 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TCN + 深度可分离卷积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Transformer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 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层 Transformer，10 头注意力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图模型（bandpower）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频带功率 8×2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动态图卷积，k=2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频带功率 8×2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图卷积 + 通道注意力，k=2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频带功率 8×2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深度信念网络（300/400 隐层）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图模型（raw+Encoder）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时域→Encoder→64 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TemporalEncoder + DGCNN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时域→Encoder→64 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TemporalEncoder + GCBNet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时域→Encoder→64 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TemporalEncoder + DBN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一、Task 二分类结果对比（静息 / 任务）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核心指标总表（按 Test F1 排序）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F1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Bal Acc / Val F1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Specificity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Precision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Conformer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0.6519 ± 0.0247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0.6016 ± 0.0126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0.6008 ± 0.0359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0.4529 ± 0.0713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0.7503 ± 0.0799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0.5789 ± 0.0122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0.6373 ± 0.0601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0.5793 ± 0.0154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0.6265 ± 0.0731¹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0.3952 ± 0.1639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0.7633 ± 0.1752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0.5604 ± 0.0167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0.6281 ± 0.0390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0.5717 ± 0.0483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0.5723 ± 0.0503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0.4093 ± 0.2366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0.7341 ± 0.1589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0.5627 ± 0.0471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0.6117 ± 0.0449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0.5824 ± 0.0264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0.5833 ± 0.0314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0.4923 ± 0.1859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0.6725 ± 0.1542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0.5765 ± 0.0359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0.6083 ± 0.0306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0.6039 ± 0.0127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0.5996 ± 0.0231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0.5878 ± 0.0755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0.6201 ± 0.0806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0.6025 ± 0.0220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0.5975 ± 0.0393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0.5878 ± 0.0222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0.6061 ± 0.0436¹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0.5571 ± 0.0987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0.6186 ± 0.1005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 ± 0.0284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0.5910 ± 0.0376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0.5655 ± 0.0355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0.6075 ± 0.0345¹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0.4950 ± 0.1644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0.6360 ± 0.1224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0.5641 ± 0.0480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0.5840 ± 0.0588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0.5816 ± 0.0291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0.5966 ± 0.0290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0.5615 ± 0.1347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0.6018 ± 0.1315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0.5849 ± 0.0444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0.5502 ± 0.0488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0.5439 ± 0.0135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0.5376 ± 0.0176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0.5190 ± 0.1175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0.5688 ± 0.1216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0.5429 ± 0.0152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0.5403 ± 0.0404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0.5441 ± 0.0087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0.5396 ± 0.0139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0.5463 ± 0.0755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0.5419 ± 0.0832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0.5448 ± 0.0094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0.5114 ± 0.1181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0.5266 ± 0.0139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0.5363 ± 0.0126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0.5049 ± 0.2458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0.5482 ± 0.2516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0.5298 ± 0.0197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¹ raw 系列模型报告的是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Val F1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而非 Val Balanced Acc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关键发现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表现最优梯队（F1 &gt; 0.60）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Conformer</w:t>
      </w:r>
      <w:r>
        <w:rPr>
          <w:rFonts w:eastAsia="等线" w:ascii="Arial" w:cs="Arial" w:hAnsi="Arial"/>
          <w:sz w:val="22"/>
        </w:rPr>
        <w:t>：F1 最高（0.6519），但偏向高召回（0.75）低特异度（0.45），存在预测偏置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Shallow</w:t>
      </w:r>
      <w:r>
        <w:rPr>
          <w:rFonts w:eastAsia="等线" w:ascii="Arial" w:cs="Arial" w:hAnsi="Arial"/>
          <w:sz w:val="22"/>
        </w:rPr>
        <w:t>：Acc 最高（0.6039），且召回 / 特异度最均衡（0.62/0.59），稳定性最好（std 最小）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DBN_raw</w:t>
      </w:r>
      <w:r>
        <w:rPr>
          <w:rFonts w:eastAsia="等线" w:ascii="Arial" w:cs="Arial" w:hAnsi="Arial"/>
          <w:sz w:val="22"/>
        </w:rPr>
        <w:t>：F1 第二高，但方差最大（std=0.06），各折波动剧烈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EEGTCNet / Deep4Net</w:t>
      </w:r>
      <w:r>
        <w:rPr>
          <w:rFonts w:eastAsia="等线" w:ascii="Arial" w:cs="Arial" w:hAnsi="Arial"/>
          <w:sz w:val="22"/>
        </w:rPr>
        <w:t>：处于第二梯队，F1 在 0.61-0.63 之间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图模型对比（bandpower vs raw+Encoder）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 F1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raw+Encoder F1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+9.4%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+8.6%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+24.6%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加入 TemporalEncoder 后，三类图模型均有显著提升，DBN 提升最明显。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最差表现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DBN（bandpower 版）</w:t>
      </w:r>
      <w:r>
        <w:rPr>
          <w:rFonts w:eastAsia="等线" w:ascii="Arial" w:cs="Arial" w:hAnsi="Arial"/>
          <w:sz w:val="22"/>
        </w:rPr>
        <w:t>：F1 仅 0.5114，且方差极大（0.118），几乎不可用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DGCNN / GCBNet（bandpower 版）</w:t>
      </w:r>
      <w:r>
        <w:rPr>
          <w:rFonts w:eastAsia="等线" w:ascii="Arial" w:cs="Arial" w:hAnsi="Arial"/>
          <w:sz w:val="22"/>
        </w:rPr>
        <w:t>：仅略优于随机水平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二、Three 三分类结果对比（空闲 / 左 / 右）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核心指标总表（按 Test Acc 排序）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Shallow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0.5216 ± 0.0133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0.5133 ± 0.0137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0.5041 ± 0.0204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0.5000 ± 0.0000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0.4995 ± 0.0041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0.4996 ± 0.0297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0.4923 ± 0.0117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0.4889 ± 0.0267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0.4745 ± 0.0110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0.4707 ± 0.0261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0.4484 ± 0.0561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分析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整体效果差</w:t>
      </w:r>
      <w:r>
        <w:rPr>
          <w:rFonts w:eastAsia="等线" w:ascii="Arial" w:cs="Arial" w:hAnsi="Arial"/>
          <w:sz w:val="22"/>
        </w:rPr>
        <w:t>：所有模型三分类准确率仅在 45%-52% 之间，远低于二分类表现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随机猜测水平为 33%，说明模型仍学到了一定特征，但区分度有限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Shallow 和 Conformer</w:t>
      </w:r>
      <w:r>
        <w:rPr>
          <w:rFonts w:eastAsia="等线" w:ascii="Arial" w:cs="Arial" w:hAnsi="Arial"/>
          <w:sz w:val="22"/>
        </w:rPr>
        <w:t>相对最好，但也仅 52% 左右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DBN</w:t>
      </w:r>
      <w:r>
        <w:rPr>
          <w:rFonts w:eastAsia="等线" w:ascii="Arial" w:cs="Arial" w:hAnsi="Arial"/>
          <w:sz w:val="22"/>
        </w:rPr>
        <w:t>三分类准确率恰好 50% 且方差为 0，疑似退化为常量预测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三、训练行为对比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 best_epoch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 stopped_epoch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收敛速度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快（但易欠拟合）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快（但易欠拟合）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四、总结与建议</w:t>
      </w:r>
      <w:bookmarkEnd w:id="9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最佳综合模型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ShallowFBCSPNet</w:t>
      </w:r>
      <w:r>
        <w:rPr>
          <w:rFonts w:eastAsia="等线" w:ascii="Arial" w:cs="Arial" w:hAnsi="Arial"/>
          <w:sz w:val="22"/>
        </w:rPr>
        <w:t xml:space="preserve"> — 准确率最高、最稳定、召回 / 特异度最均衡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最高 F1 模型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Conformer</w:t>
      </w:r>
      <w:r>
        <w:rPr>
          <w:rFonts w:eastAsia="等线" w:ascii="Arial" w:cs="Arial" w:hAnsi="Arial"/>
          <w:sz w:val="22"/>
        </w:rPr>
        <w:t xml:space="preserve"> — 但存在明显的正类预测偏置，特异度偏低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图模型必须配 Encoder</w:t>
      </w:r>
      <w:r>
        <w:rPr>
          <w:rFonts w:eastAsia="等线" w:ascii="Arial" w:cs="Arial" w:hAnsi="Arial"/>
          <w:sz w:val="22"/>
        </w:rPr>
        <w:t>：纯 bandpower 输入的图模型效果很差，加入 TemporalEncoder 后提升显著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三分类任务困难</w:t>
      </w:r>
      <w:r>
        <w:rPr>
          <w:rFonts w:eastAsia="等线" w:ascii="Arial" w:cs="Arial" w:hAnsi="Arial"/>
          <w:sz w:val="22"/>
        </w:rPr>
        <w:t>：所有模型在空闲 / 左 / 右三分类上表现不佳，建议考虑数据增强、调整模型结构或降低任务难度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DBN 不适合 bandpower 直接输入</w:t>
      </w:r>
      <w:r>
        <w:rPr>
          <w:rFonts w:eastAsia="等线" w:ascii="Arial" w:cs="Arial" w:hAnsi="Arial"/>
          <w:sz w:val="22"/>
        </w:rPr>
        <w:t>：频带功率维度太低（8×2=16），DBN 参数量大，严重欠拟合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5636">
    <w:lvl>
      <w:numFmt w:val="bullet"/>
      <w:suff w:val="tab"/>
      <w:lvlText w:val="•"/>
      <w:rPr>
        <w:color w:val="3370ff"/>
      </w:rPr>
    </w:lvl>
  </w:abstractNum>
  <w:abstractNum w:abstractNumId="1795637">
    <w:lvl>
      <w:numFmt w:val="bullet"/>
      <w:suff w:val="tab"/>
      <w:lvlText w:val="•"/>
      <w:rPr>
        <w:color w:val="3370ff"/>
      </w:rPr>
    </w:lvl>
  </w:abstractNum>
  <w:abstractNum w:abstractNumId="1795638">
    <w:lvl>
      <w:numFmt w:val="bullet"/>
      <w:suff w:val="tab"/>
      <w:lvlText w:val="•"/>
      <w:rPr>
        <w:color w:val="3370ff"/>
      </w:rPr>
    </w:lvl>
  </w:abstractNum>
  <w:abstractNum w:abstractNumId="1795639">
    <w:lvl>
      <w:numFmt w:val="bullet"/>
      <w:suff w:val="tab"/>
      <w:lvlText w:val="•"/>
      <w:rPr>
        <w:color w:val="3370ff"/>
      </w:rPr>
    </w:lvl>
  </w:abstractNum>
  <w:abstractNum w:abstractNumId="1795640">
    <w:lvl>
      <w:numFmt w:val="bullet"/>
      <w:suff w:val="tab"/>
      <w:lvlText w:val="•"/>
      <w:rPr>
        <w:color w:val="3370ff"/>
      </w:rPr>
    </w:lvl>
  </w:abstractNum>
  <w:abstractNum w:abstractNumId="1795641">
    <w:lvl>
      <w:numFmt w:val="bullet"/>
      <w:suff w:val="tab"/>
      <w:lvlText w:val="•"/>
      <w:rPr>
        <w:color w:val="3370ff"/>
      </w:rPr>
    </w:lvl>
  </w:abstractNum>
  <w:abstractNum w:abstractNumId="1795642">
    <w:lvl>
      <w:numFmt w:val="bullet"/>
      <w:suff w:val="tab"/>
      <w:lvlText w:val="•"/>
      <w:rPr>
        <w:color w:val="3370ff"/>
      </w:rPr>
    </w:lvl>
  </w:abstractNum>
  <w:abstractNum w:abstractNumId="1795643">
    <w:lvl>
      <w:numFmt w:val="bullet"/>
      <w:suff w:val="tab"/>
      <w:lvlText w:val="•"/>
      <w:rPr>
        <w:color w:val="3370ff"/>
      </w:rPr>
    </w:lvl>
  </w:abstractNum>
  <w:abstractNum w:abstractNumId="1795644">
    <w:lvl>
      <w:numFmt w:val="bullet"/>
      <w:suff w:val="tab"/>
      <w:lvlText w:val="•"/>
      <w:rPr>
        <w:color w:val="3370ff"/>
      </w:rPr>
    </w:lvl>
  </w:abstractNum>
  <w:abstractNum w:abstractNumId="1795645">
    <w:lvl>
      <w:numFmt w:val="bullet"/>
      <w:suff w:val="tab"/>
      <w:lvlText w:val="•"/>
      <w:rPr>
        <w:color w:val="3370ff"/>
      </w:rPr>
    </w:lvl>
  </w:abstractNum>
  <w:abstractNum w:abstractNumId="1795646">
    <w:lvl>
      <w:numFmt w:val="bullet"/>
      <w:suff w:val="tab"/>
      <w:lvlText w:val="•"/>
      <w:rPr>
        <w:color w:val="3370ff"/>
      </w:rPr>
    </w:lvl>
  </w:abstractNum>
  <w:abstractNum w:abstractNumId="1795647">
    <w:lvl>
      <w:numFmt w:val="bullet"/>
      <w:suff w:val="tab"/>
      <w:lvlText w:val="•"/>
      <w:rPr>
        <w:color w:val="3370ff"/>
      </w:rPr>
    </w:lvl>
  </w:abstractNum>
  <w:abstractNum w:abstractNumId="1795648">
    <w:lvl>
      <w:start w:val="1"/>
      <w:numFmt w:val="decimal"/>
      <w:suff w:val="tab"/>
      <w:lvlText w:val="%1."/>
      <w:rPr>
        <w:color w:val="3370ff"/>
      </w:rPr>
    </w:lvl>
  </w:abstractNum>
  <w:abstractNum w:abstractNumId="1795649">
    <w:lvl>
      <w:start w:val="2"/>
      <w:numFmt w:val="decimal"/>
      <w:suff w:val="tab"/>
      <w:lvlText w:val="%1."/>
      <w:rPr>
        <w:color w:val="3370ff"/>
      </w:rPr>
    </w:lvl>
  </w:abstractNum>
  <w:abstractNum w:abstractNumId="1795650">
    <w:lvl>
      <w:start w:val="3"/>
      <w:numFmt w:val="decimal"/>
      <w:suff w:val="tab"/>
      <w:lvlText w:val="%1."/>
      <w:rPr>
        <w:color w:val="3370ff"/>
      </w:rPr>
    </w:lvl>
  </w:abstractNum>
  <w:abstractNum w:abstractNumId="1795651">
    <w:lvl>
      <w:start w:val="4"/>
      <w:numFmt w:val="decimal"/>
      <w:suff w:val="tab"/>
      <w:lvlText w:val="%1."/>
      <w:rPr>
        <w:color w:val="3370ff"/>
      </w:rPr>
    </w:lvl>
  </w:abstractNum>
  <w:abstractNum w:abstractNumId="179565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95636"/>
  </w:num>
  <w:num w:numId="2">
    <w:abstractNumId w:val="1795637"/>
  </w:num>
  <w:num w:numId="3">
    <w:abstractNumId w:val="1795638"/>
  </w:num>
  <w:num w:numId="4">
    <w:abstractNumId w:val="1795639"/>
  </w:num>
  <w:num w:numId="5">
    <w:abstractNumId w:val="1795640"/>
  </w:num>
  <w:num w:numId="6">
    <w:abstractNumId w:val="1795641"/>
  </w:num>
  <w:num w:numId="7">
    <w:abstractNumId w:val="1795642"/>
  </w:num>
  <w:num w:numId="8">
    <w:abstractNumId w:val="1795643"/>
  </w:num>
  <w:num w:numId="9">
    <w:abstractNumId w:val="1795644"/>
  </w:num>
  <w:num w:numId="10">
    <w:abstractNumId w:val="1795645"/>
  </w:num>
  <w:num w:numId="11">
    <w:abstractNumId w:val="1795646"/>
  </w:num>
  <w:num w:numId="12">
    <w:abstractNumId w:val="1795647"/>
  </w:num>
  <w:num w:numId="13">
    <w:abstractNumId w:val="1795648"/>
  </w:num>
  <w:num w:numId="14">
    <w:abstractNumId w:val="1795649"/>
  </w:num>
  <w:num w:numId="15">
    <w:abstractNumId w:val="1795650"/>
  </w:num>
  <w:num w:numId="16">
    <w:abstractNumId w:val="1795651"/>
  </w:num>
  <w:num w:numId="17">
    <w:abstractNumId w:val="17956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2026-08-07T16:35:29Z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{"Label":"1","ContentProducer":"001191110102MACQD9K64010000","ProduceID":"7671329070642482164","ReservedCode1":"","ContentPropagator":"","PropagateID":"","ReservedCode2":""}</vt:lpwstr>
  </property>
</Properties>
</file>