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D935A">
      <w:pPr>
        <w:spacing w:before="1600"/>
      </w:pPr>
    </w:p>
    <w:p w14:paraId="560106E3">
      <w:pPr>
        <w:jc w:val="center"/>
      </w:pPr>
      <w:r>
        <w:rPr>
          <w:rFonts w:ascii="Times New Roman" w:hAnsi="Times New Roman" w:eastAsia="黑体"/>
          <w:b/>
          <w:color w:val="000000"/>
          <w:sz w:val="44"/>
        </w:rPr>
        <w:t>基于运动想象的脑-机交互算法研究与系统实现 · 技术报告</w:t>
      </w:r>
    </w:p>
    <w:p w14:paraId="0918F002"/>
    <w:p w14:paraId="4CAE1292">
      <w:pPr>
        <w:jc w:val="center"/>
      </w:pPr>
      <w:r>
        <w:rPr>
          <w:rFonts w:ascii="Times New Roman" w:hAnsi="Times New Roman" w:eastAsia="宋体"/>
          <w:b w:val="0"/>
          <w:color w:val="000000"/>
          <w:sz w:val="24"/>
        </w:rPr>
        <w:t>基于运动想象的脑-机交互算法研究与系统实现</w:t>
      </w:r>
    </w:p>
    <w:p w14:paraId="33FF293D">
      <w:pPr>
        <w:jc w:val="center"/>
      </w:pPr>
      <w:r>
        <w:rPr>
          <w:rFonts w:ascii="Times New Roman" w:hAnsi="Times New Roman" w:eastAsia="宋体"/>
          <w:b w:val="0"/>
          <w:color w:val="000000"/>
          <w:sz w:val="24"/>
        </w:rPr>
        <w:t>题目编号：XH-202610 ｜ 挑战杯"揭榜挂帅"擂台赛</w:t>
      </w:r>
    </w:p>
    <w:p w14:paraId="613B4B66">
      <w:pPr>
        <w:jc w:val="center"/>
      </w:pPr>
      <w:r>
        <w:rPr>
          <w:rFonts w:ascii="Times New Roman" w:hAnsi="Times New Roman" w:eastAsia="宋体"/>
          <w:b w:val="0"/>
          <w:color w:val="000000"/>
          <w:sz w:val="24"/>
        </w:rPr>
        <w:t>提交日期：2026 年 9 月</w:t>
      </w:r>
    </w:p>
    <w:p w14:paraId="010FF872"/>
    <w:p w14:paraId="6DBBAB33">
      <w:pPr>
        <w:jc w:val="center"/>
      </w:pPr>
      <w:r>
        <w:rPr>
          <w:rFonts w:ascii="Times New Roman" w:hAnsi="Times New Roman" w:eastAsia="黑体"/>
          <w:b/>
          <w:color w:val="000000"/>
          <w:sz w:val="28"/>
        </w:rPr>
        <w:t>申报信息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4353"/>
        <w:gridCol w:w="4353"/>
      </w:tblGrid>
      <w:tr w14:paraId="6C89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4353" w:type="dxa"/>
            <w:shd w:val="clear" w:color="auto" w:fill="D9E2F3"/>
          </w:tcPr>
          <w:p w14:paraId="5804A968">
            <w:pPr>
              <w:spacing w:after="0" w:line="276" w:lineRule="auto"/>
              <w:jc w:val="center"/>
            </w:pPr>
            <w:r>
              <w:rPr>
                <w:rFonts w:ascii="Times New Roman" w:hAnsi="Times New Roman" w:eastAsia="宋体"/>
                <w:b w:val="0"/>
                <w:color w:val="000000"/>
                <w:sz w:val="21"/>
              </w:rPr>
              <w:t>项</w:t>
            </w:r>
          </w:p>
        </w:tc>
        <w:tc>
          <w:tcPr>
            <w:tcW w:w="4353" w:type="dxa"/>
            <w:shd w:val="clear" w:color="auto" w:fill="D9E2F3"/>
          </w:tcPr>
          <w:p w14:paraId="3FAE0A8C">
            <w:pPr>
              <w:spacing w:after="0" w:line="276" w:lineRule="auto"/>
              <w:jc w:val="center"/>
            </w:pPr>
            <w:r>
              <w:rPr>
                <w:rFonts w:ascii="Times New Roman" w:hAnsi="Times New Roman" w:eastAsia="宋体"/>
                <w:b w:val="0"/>
                <w:color w:val="000000"/>
                <w:sz w:val="21"/>
              </w:rPr>
              <w:t>内容</w:t>
            </w:r>
          </w:p>
        </w:tc>
      </w:tr>
      <w:tr w14:paraId="6224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70E293D4">
            <w:pPr>
              <w:spacing w:after="0" w:line="276" w:lineRule="auto"/>
              <w:jc w:val="left"/>
            </w:pPr>
            <w:r>
              <w:rPr>
                <w:rFonts w:ascii="Times New Roman" w:hAnsi="Times New Roman" w:eastAsia="宋体"/>
                <w:b w:val="0"/>
                <w:color w:val="000000"/>
                <w:sz w:val="21"/>
              </w:rPr>
              <w:t>申报学校</w:t>
            </w:r>
          </w:p>
        </w:tc>
        <w:tc>
          <w:tcPr>
            <w:tcW w:w="4353" w:type="dxa"/>
          </w:tcPr>
          <w:p w14:paraId="4E1353E3">
            <w:pPr>
              <w:spacing w:after="0" w:line="276" w:lineRule="auto"/>
              <w:jc w:val="left"/>
            </w:pPr>
            <w:r>
              <w:rPr>
                <w:rFonts w:ascii="Times New Roman" w:hAnsi="Times New Roman" w:eastAsia="宋体"/>
                <w:b w:val="0"/>
                <w:color w:val="000000"/>
                <w:sz w:val="21"/>
              </w:rPr>
              <w:t>上海理工大学</w:t>
            </w:r>
          </w:p>
        </w:tc>
      </w:tr>
      <w:tr w14:paraId="1548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5FDE7F83">
            <w:pPr>
              <w:spacing w:after="0" w:line="276" w:lineRule="auto"/>
              <w:jc w:val="left"/>
            </w:pPr>
            <w:r>
              <w:rPr>
                <w:rFonts w:ascii="Times New Roman" w:hAnsi="Times New Roman" w:eastAsia="宋体"/>
                <w:b w:val="0"/>
                <w:color w:val="000000"/>
                <w:sz w:val="21"/>
              </w:rPr>
              <w:t>榜单发榜单位</w:t>
            </w:r>
          </w:p>
        </w:tc>
        <w:tc>
          <w:tcPr>
            <w:tcW w:w="4353" w:type="dxa"/>
          </w:tcPr>
          <w:p w14:paraId="25F55AC5">
            <w:pPr>
              <w:spacing w:after="0" w:line="276" w:lineRule="auto"/>
              <w:jc w:val="left"/>
            </w:pPr>
            <w:r>
              <w:rPr>
                <w:rFonts w:ascii="Times New Roman" w:hAnsi="Times New Roman" w:eastAsia="宋体"/>
                <w:b w:val="0"/>
                <w:color w:val="000000"/>
                <w:sz w:val="21"/>
              </w:rPr>
              <w:t>中国智慧工程研究会</w:t>
            </w:r>
          </w:p>
        </w:tc>
      </w:tr>
      <w:tr w14:paraId="4FDA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24CB45E1">
            <w:pPr>
              <w:spacing w:after="0" w:line="276" w:lineRule="auto"/>
              <w:jc w:val="left"/>
            </w:pPr>
            <w:r>
              <w:rPr>
                <w:rFonts w:ascii="Times New Roman" w:hAnsi="Times New Roman" w:eastAsia="宋体"/>
                <w:b w:val="0"/>
                <w:color w:val="000000"/>
                <w:sz w:val="21"/>
              </w:rPr>
              <w:t>申报作品</w:t>
            </w:r>
          </w:p>
        </w:tc>
        <w:tc>
          <w:tcPr>
            <w:tcW w:w="4353" w:type="dxa"/>
          </w:tcPr>
          <w:p w14:paraId="26C88E87">
            <w:pPr>
              <w:spacing w:after="0" w:line="276" w:lineRule="auto"/>
              <w:jc w:val="left"/>
            </w:pPr>
            <w:r>
              <w:rPr>
                <w:rFonts w:ascii="Times New Roman" w:hAnsi="Times New Roman" w:eastAsia="宋体"/>
                <w:b w:val="0"/>
                <w:color w:val="000000"/>
                <w:sz w:val="21"/>
              </w:rPr>
              <w:t>面向少样本个性化的智能运动想象脑机交互系统</w:t>
            </w:r>
          </w:p>
        </w:tc>
      </w:tr>
      <w:tr w14:paraId="50C1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00D5F0AB">
            <w:pPr>
              <w:spacing w:after="0" w:line="276" w:lineRule="auto"/>
              <w:jc w:val="left"/>
            </w:pPr>
            <w:r>
              <w:rPr>
                <w:rFonts w:ascii="Times New Roman" w:hAnsi="Times New Roman" w:eastAsia="宋体"/>
                <w:b w:val="0"/>
                <w:color w:val="000000"/>
                <w:sz w:val="21"/>
              </w:rPr>
              <w:t>申报者（按报名表顺序）</w:t>
            </w:r>
          </w:p>
        </w:tc>
        <w:tc>
          <w:tcPr>
            <w:tcW w:w="4353" w:type="dxa"/>
          </w:tcPr>
          <w:p w14:paraId="1C4990A6">
            <w:pPr>
              <w:spacing w:after="0" w:line="276" w:lineRule="auto"/>
              <w:jc w:val="left"/>
            </w:pPr>
            <w:r>
              <w:rPr>
                <w:rFonts w:ascii="Times New Roman" w:hAnsi="Times New Roman" w:eastAsia="宋体"/>
                <w:b w:val="0"/>
                <w:color w:val="000000"/>
                <w:sz w:val="21"/>
              </w:rPr>
              <w:t>陈越云、许嘉浩、严诚信、丁建华、谢昕、范恩泽、孙英杰、周怡君</w:t>
            </w:r>
          </w:p>
        </w:tc>
      </w:tr>
      <w:tr w14:paraId="1948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264C5F4A">
            <w:pPr>
              <w:spacing w:after="0" w:line="276" w:lineRule="auto"/>
              <w:jc w:val="left"/>
            </w:pPr>
            <w:r>
              <w:rPr>
                <w:rFonts w:ascii="Times New Roman" w:hAnsi="Times New Roman" w:eastAsia="宋体"/>
                <w:b w:val="0"/>
                <w:color w:val="000000"/>
                <w:sz w:val="21"/>
              </w:rPr>
              <w:t>指导老师</w:t>
            </w:r>
          </w:p>
        </w:tc>
        <w:tc>
          <w:tcPr>
            <w:tcW w:w="4353" w:type="dxa"/>
          </w:tcPr>
          <w:p w14:paraId="1EEE5DDD">
            <w:pPr>
              <w:spacing w:after="0" w:line="276" w:lineRule="auto"/>
              <w:jc w:val="left"/>
            </w:pPr>
            <w:r>
              <w:rPr>
                <w:rFonts w:ascii="Times New Roman" w:hAnsi="Times New Roman" w:eastAsia="宋体"/>
                <w:b w:val="0"/>
                <w:color w:val="000000"/>
                <w:sz w:val="21"/>
              </w:rPr>
              <w:t>尹钟、陈斌</w:t>
            </w:r>
          </w:p>
        </w:tc>
      </w:tr>
    </w:tbl>
    <w:p w14:paraId="235100DA">
      <w:r>
        <w:br w:type="page"/>
      </w:r>
    </w:p>
    <w:p w14:paraId="4D5953A3">
      <w:pPr>
        <w:pStyle w:val="4"/>
        <w:spacing w:before="200" w:after="160" w:line="312" w:lineRule="auto"/>
        <w:jc w:val="center"/>
      </w:pPr>
      <w:bookmarkStart w:id="0" w:name="_Toc4491"/>
      <w:r>
        <w:rPr>
          <w:rFonts w:ascii="Times New Roman" w:hAnsi="Times New Roman" w:eastAsia="黑体"/>
          <w:b/>
          <w:color w:val="000000"/>
          <w:sz w:val="30"/>
        </w:rPr>
        <w:t>摘要</w:t>
      </w:r>
      <w:bookmarkEnd w:id="0"/>
    </w:p>
    <w:p w14:paraId="3F63F414">
      <w:pPr>
        <w:spacing w:before="0" w:after="120" w:line="312" w:lineRule="auto"/>
        <w:ind w:firstLine="480"/>
        <w:jc w:val="both"/>
      </w:pPr>
      <w:r>
        <w:rPr>
          <w:rFonts w:ascii="Times New Roman" w:hAnsi="Times New Roman" w:eastAsia="宋体"/>
          <w:b w:val="0"/>
          <w:color w:val="000000"/>
          <w:sz w:val="24"/>
        </w:rPr>
        <w:t>赛题要求完成左手、右手、空闲三类认知信号的精准分类与实时识别，并自采不少于 20 人数据、形成可演示在线系统。本报告的方案是：以浅层卷积为主干的四成员温度校准融合网络（CausalFuse-8）作在线底座；新用户每完成一场采集后做逐场次增量微调与质量门控；以网页游戏承载三类实时分类与视觉反馈。</w:t>
      </w:r>
    </w:p>
    <w:p w14:paraId="233FB998">
      <w:pPr>
        <w:spacing w:before="0" w:after="120" w:line="312" w:lineRule="auto"/>
        <w:ind w:firstLine="480"/>
        <w:jc w:val="both"/>
      </w:pPr>
      <w:r>
        <w:rPr>
          <w:rFonts w:ascii="Times New Roman" w:hAnsi="Times New Roman" w:eastAsia="宋体"/>
          <w:b w:val="0"/>
          <w:color w:val="000000"/>
          <w:sz w:val="24"/>
        </w:rPr>
        <w:t>离线结果：（1）OpenBMI 54 人被试独立五折，三分类窗级准确率 61.88%（macro 召回 61.88%，macro 特异性 80.94%；试次级多数票 61.25%）。（2）主办方指定集留一被试六折准确率 51.11%±6.57%，折内乐观偏置 +4.7 个百分点；离线模型 QuadFold-59 从零训练，不依赖在线底座权重。（3）Stieger 跨库伪在线：零样本 41.98% → 采后微调 65.90%。（4）BCI2a 逐场次采后微调（Leave-Next）仿真末档 66.30%，较「仅微调浅层单成员」高 21.1 个百分点。主要增益来自更长窗口、概率校准集成与权重级适配。</w:t>
      </w:r>
    </w:p>
    <w:p w14:paraId="412E6ED4">
      <w:pPr>
        <w:spacing w:before="0" w:after="120" w:line="312" w:lineRule="auto"/>
        <w:ind w:firstLine="480"/>
        <w:jc w:val="both"/>
      </w:pPr>
      <w:r>
        <w:rPr>
          <w:rFonts w:ascii="Times New Roman" w:hAnsi="Times New Roman" w:eastAsia="宋体"/>
          <w:b w:val="0"/>
          <w:color w:val="000000"/>
          <w:sz w:val="24"/>
        </w:rPr>
        <w:t>在线结果：（5）20 名真人闭环：末档微调三分类窗级均值 47.60%、最优 92.40%，零样本均值 37.50%，12/20 通过场次质量门控。（6）可演示实时系统：结构化试次内异步判别（起止由 Cue/时间表规定，含显式空闲类），单窗前向 1.11 ms，判定延迟约 3.5 s。</w:t>
      </w:r>
    </w:p>
    <w:p w14:paraId="7E9AD7F6">
      <w:pPr>
        <w:spacing w:before="0" w:after="120" w:line="312" w:lineRule="auto"/>
        <w:ind w:firstLine="480"/>
        <w:jc w:val="both"/>
      </w:pPr>
      <w:r>
        <w:rPr>
          <w:rFonts w:ascii="Times New Roman" w:hAnsi="Times New Roman" w:eastAsia="宋体"/>
          <w:b w:val="0"/>
          <w:color w:val="000000"/>
          <w:sz w:val="24"/>
        </w:rPr>
        <w:t>贡献在于把信号处理、集成解码、采后逐场微调、质量门控与实时交互串成可部署系统，并以预注册评测纪律约束实验，而非提出新的单一网络结构。</w:t>
      </w:r>
    </w:p>
    <w:p w14:paraId="4EA2E4E5">
      <w:pPr>
        <w:spacing w:before="0" w:after="120" w:line="312" w:lineRule="auto"/>
        <w:ind w:firstLine="480"/>
        <w:jc w:val="both"/>
      </w:pPr>
      <w:r>
        <w:rPr>
          <w:rFonts w:ascii="Times New Roman" w:hAnsi="Times New Roman" w:eastAsia="宋体"/>
          <w:b w:val="0"/>
          <w:color w:val="000000"/>
          <w:sz w:val="24"/>
        </w:rPr>
        <w:t>关键词：运动想象；脑机接口；少样本个性化适配；迁移学习；异步交互机制</w:t>
      </w:r>
    </w:p>
    <w:p w14:paraId="0C06DF0F">
      <w:r>
        <w:br w:type="page"/>
      </w:r>
    </w:p>
    <w:p w14:paraId="218F69AB">
      <w:pPr>
        <w:jc w:val="center"/>
      </w:pPr>
      <w:r>
        <w:rPr>
          <w:rFonts w:ascii="Times New Roman" w:hAnsi="Times New Roman" w:eastAsia="黑体"/>
          <w:b/>
          <w:color w:val="000000"/>
          <w:sz w:val="32"/>
        </w:rPr>
        <w:t>目  录</w:t>
      </w:r>
    </w:p>
    <w:p w14:paraId="5AE7652C">
      <w:pPr>
        <w:pStyle w:val="30"/>
        <w:tabs>
          <w:tab w:val="right" w:leader="dot" w:pos="8706"/>
        </w:tabs>
      </w:pPr>
      <w:r>
        <w:fldChar w:fldCharType="begin"/>
      </w:r>
      <w:r>
        <w:instrText xml:space="preserve"> TOC \o "1-3" \h \z \u </w:instrText>
      </w:r>
      <w:r>
        <w:fldChar w:fldCharType="separate"/>
      </w:r>
      <w:r>
        <w:fldChar w:fldCharType="begin"/>
      </w:r>
      <w:r>
        <w:instrText xml:space="preserve"> HYPERLINK \l _Toc4491 </w:instrText>
      </w:r>
      <w:r>
        <w:fldChar w:fldCharType="separate"/>
      </w:r>
      <w:r>
        <w:rPr>
          <w:rFonts w:ascii="Times New Roman" w:hAnsi="Times New Roman" w:eastAsia="黑体"/>
        </w:rPr>
        <w:t>摘要</w:t>
      </w:r>
      <w:r>
        <w:tab/>
      </w:r>
      <w:r>
        <w:fldChar w:fldCharType="begin"/>
      </w:r>
      <w:r>
        <w:instrText xml:space="preserve"> PAGEREF _Toc4491 \h </w:instrText>
      </w:r>
      <w:r>
        <w:fldChar w:fldCharType="separate"/>
      </w:r>
      <w:r>
        <w:t>2</w:t>
      </w:r>
      <w:r>
        <w:fldChar w:fldCharType="end"/>
      </w:r>
      <w:r>
        <w:fldChar w:fldCharType="end"/>
      </w:r>
    </w:p>
    <w:p w14:paraId="3D5BE213">
      <w:pPr>
        <w:pStyle w:val="27"/>
        <w:tabs>
          <w:tab w:val="right" w:leader="dot" w:pos="8706"/>
        </w:tabs>
      </w:pPr>
      <w:r>
        <w:fldChar w:fldCharType="begin"/>
      </w:r>
      <w:r>
        <w:instrText xml:space="preserve"> HYPERLINK \l _Toc20643 </w:instrText>
      </w:r>
      <w:r>
        <w:fldChar w:fldCharType="separate"/>
      </w:r>
      <w:r>
        <w:rPr>
          <w:rFonts w:ascii="Times New Roman" w:hAnsi="Times New Roman" w:eastAsia="黑体"/>
        </w:rPr>
        <w:t>1 引言</w:t>
      </w:r>
      <w:r>
        <w:tab/>
      </w:r>
      <w:r>
        <w:fldChar w:fldCharType="begin"/>
      </w:r>
      <w:r>
        <w:instrText xml:space="preserve"> PAGEREF _Toc20643 \h </w:instrText>
      </w:r>
      <w:r>
        <w:fldChar w:fldCharType="separate"/>
      </w:r>
      <w:r>
        <w:t>5</w:t>
      </w:r>
      <w:r>
        <w:fldChar w:fldCharType="end"/>
      </w:r>
      <w:r>
        <w:fldChar w:fldCharType="end"/>
      </w:r>
    </w:p>
    <w:p w14:paraId="14E1182A">
      <w:pPr>
        <w:pStyle w:val="30"/>
        <w:tabs>
          <w:tab w:val="right" w:leader="dot" w:pos="8706"/>
        </w:tabs>
      </w:pPr>
      <w:r>
        <w:fldChar w:fldCharType="begin"/>
      </w:r>
      <w:r>
        <w:instrText xml:space="preserve"> HYPERLINK \l _Toc8806 </w:instrText>
      </w:r>
      <w:r>
        <w:fldChar w:fldCharType="separate"/>
      </w:r>
      <w:r>
        <w:rPr>
          <w:rFonts w:ascii="Times New Roman" w:hAnsi="Times New Roman" w:eastAsia="黑体"/>
        </w:rPr>
        <w:t>1.1 背景与问题</w:t>
      </w:r>
      <w:r>
        <w:tab/>
      </w:r>
      <w:r>
        <w:fldChar w:fldCharType="begin"/>
      </w:r>
      <w:r>
        <w:instrText xml:space="preserve"> PAGEREF _Toc8806 \h </w:instrText>
      </w:r>
      <w:r>
        <w:fldChar w:fldCharType="separate"/>
      </w:r>
      <w:r>
        <w:t>5</w:t>
      </w:r>
      <w:r>
        <w:fldChar w:fldCharType="end"/>
      </w:r>
      <w:r>
        <w:fldChar w:fldCharType="end"/>
      </w:r>
    </w:p>
    <w:p w14:paraId="1B324721">
      <w:pPr>
        <w:pStyle w:val="30"/>
        <w:tabs>
          <w:tab w:val="right" w:leader="dot" w:pos="8706"/>
        </w:tabs>
      </w:pPr>
      <w:r>
        <w:fldChar w:fldCharType="begin"/>
      </w:r>
      <w:r>
        <w:instrText xml:space="preserve"> HYPERLINK \l _Toc5606 </w:instrText>
      </w:r>
      <w:r>
        <w:fldChar w:fldCharType="separate"/>
      </w:r>
      <w:r>
        <w:rPr>
          <w:rFonts w:ascii="Times New Roman" w:hAnsi="Times New Roman" w:eastAsia="黑体"/>
        </w:rPr>
        <w:t>1.2 研究路线概述</w:t>
      </w:r>
      <w:r>
        <w:tab/>
      </w:r>
      <w:r>
        <w:fldChar w:fldCharType="begin"/>
      </w:r>
      <w:r>
        <w:instrText xml:space="preserve"> PAGEREF _Toc5606 \h </w:instrText>
      </w:r>
      <w:r>
        <w:fldChar w:fldCharType="separate"/>
      </w:r>
      <w:r>
        <w:t>5</w:t>
      </w:r>
      <w:r>
        <w:fldChar w:fldCharType="end"/>
      </w:r>
      <w:r>
        <w:fldChar w:fldCharType="end"/>
      </w:r>
    </w:p>
    <w:p w14:paraId="30010723">
      <w:pPr>
        <w:pStyle w:val="30"/>
        <w:tabs>
          <w:tab w:val="right" w:leader="dot" w:pos="8706"/>
        </w:tabs>
      </w:pPr>
      <w:r>
        <w:fldChar w:fldCharType="begin"/>
      </w:r>
      <w:r>
        <w:instrText xml:space="preserve"> HYPERLINK \l _Toc32568 </w:instrText>
      </w:r>
      <w:r>
        <w:fldChar w:fldCharType="separate"/>
      </w:r>
      <w:r>
        <w:rPr>
          <w:rFonts w:ascii="Times New Roman" w:hAnsi="Times New Roman" w:eastAsia="黑体"/>
        </w:rPr>
        <w:t>1.3 与赛题要求的对应</w:t>
      </w:r>
      <w:r>
        <w:tab/>
      </w:r>
      <w:r>
        <w:fldChar w:fldCharType="begin"/>
      </w:r>
      <w:r>
        <w:instrText xml:space="preserve"> PAGEREF _Toc32568 \h </w:instrText>
      </w:r>
      <w:r>
        <w:fldChar w:fldCharType="separate"/>
      </w:r>
      <w:r>
        <w:t>6</w:t>
      </w:r>
      <w:r>
        <w:fldChar w:fldCharType="end"/>
      </w:r>
      <w:r>
        <w:fldChar w:fldCharType="end"/>
      </w:r>
    </w:p>
    <w:p w14:paraId="15C1E310">
      <w:pPr>
        <w:pStyle w:val="30"/>
        <w:tabs>
          <w:tab w:val="right" w:leader="dot" w:pos="8706"/>
        </w:tabs>
      </w:pPr>
      <w:r>
        <w:fldChar w:fldCharType="begin"/>
      </w:r>
      <w:r>
        <w:instrText xml:space="preserve"> HYPERLINK \l _Toc15675 </w:instrText>
      </w:r>
      <w:r>
        <w:fldChar w:fldCharType="separate"/>
      </w:r>
      <w:r>
        <w:rPr>
          <w:rFonts w:ascii="Times New Roman" w:hAnsi="Times New Roman" w:eastAsia="黑体"/>
        </w:rPr>
        <w:t>1.4 核心结果一览</w:t>
      </w:r>
      <w:r>
        <w:tab/>
      </w:r>
      <w:r>
        <w:fldChar w:fldCharType="begin"/>
      </w:r>
      <w:r>
        <w:instrText xml:space="preserve"> PAGEREF _Toc15675 \h </w:instrText>
      </w:r>
      <w:r>
        <w:fldChar w:fldCharType="separate"/>
      </w:r>
      <w:r>
        <w:t>6</w:t>
      </w:r>
      <w:r>
        <w:fldChar w:fldCharType="end"/>
      </w:r>
      <w:r>
        <w:fldChar w:fldCharType="end"/>
      </w:r>
    </w:p>
    <w:p w14:paraId="2F4E8322">
      <w:pPr>
        <w:pStyle w:val="27"/>
        <w:tabs>
          <w:tab w:val="right" w:leader="dot" w:pos="8706"/>
        </w:tabs>
      </w:pPr>
      <w:r>
        <w:fldChar w:fldCharType="begin"/>
      </w:r>
      <w:r>
        <w:instrText xml:space="preserve"> HYPERLINK \l _Toc1275 </w:instrText>
      </w:r>
      <w:r>
        <w:fldChar w:fldCharType="separate"/>
      </w:r>
      <w:r>
        <w:rPr>
          <w:rFonts w:ascii="Times New Roman" w:hAnsi="Times New Roman" w:eastAsia="黑体"/>
        </w:rPr>
        <w:t>2 系统与方法</w:t>
      </w:r>
      <w:r>
        <w:tab/>
      </w:r>
      <w:r>
        <w:fldChar w:fldCharType="begin"/>
      </w:r>
      <w:r>
        <w:instrText xml:space="preserve"> PAGEREF _Toc1275 \h </w:instrText>
      </w:r>
      <w:r>
        <w:fldChar w:fldCharType="separate"/>
      </w:r>
      <w:r>
        <w:t>7</w:t>
      </w:r>
      <w:r>
        <w:fldChar w:fldCharType="end"/>
      </w:r>
      <w:r>
        <w:fldChar w:fldCharType="end"/>
      </w:r>
    </w:p>
    <w:p w14:paraId="4DEA1B5D">
      <w:pPr>
        <w:pStyle w:val="30"/>
        <w:tabs>
          <w:tab w:val="right" w:leader="dot" w:pos="8706"/>
        </w:tabs>
      </w:pPr>
      <w:r>
        <w:fldChar w:fldCharType="begin"/>
      </w:r>
      <w:r>
        <w:instrText xml:space="preserve"> HYPERLINK \l _Toc6484 </w:instrText>
      </w:r>
      <w:r>
        <w:fldChar w:fldCharType="separate"/>
      </w:r>
      <w:r>
        <w:rPr>
          <w:rFonts w:ascii="Times New Roman" w:hAnsi="Times New Roman" w:eastAsia="黑体"/>
        </w:rPr>
        <w:t>2.1 总体架构</w:t>
      </w:r>
      <w:r>
        <w:tab/>
      </w:r>
      <w:r>
        <w:fldChar w:fldCharType="begin"/>
      </w:r>
      <w:r>
        <w:instrText xml:space="preserve"> PAGEREF _Toc6484 \h </w:instrText>
      </w:r>
      <w:r>
        <w:fldChar w:fldCharType="separate"/>
      </w:r>
      <w:r>
        <w:t>7</w:t>
      </w:r>
      <w:r>
        <w:fldChar w:fldCharType="end"/>
      </w:r>
      <w:r>
        <w:fldChar w:fldCharType="end"/>
      </w:r>
    </w:p>
    <w:p w14:paraId="6341A823">
      <w:pPr>
        <w:pStyle w:val="30"/>
        <w:tabs>
          <w:tab w:val="right" w:leader="dot" w:pos="8706"/>
        </w:tabs>
      </w:pPr>
      <w:r>
        <w:fldChar w:fldCharType="begin"/>
      </w:r>
      <w:r>
        <w:instrText xml:space="preserve"> HYPERLINK \l _Toc1708 </w:instrText>
      </w:r>
      <w:r>
        <w:fldChar w:fldCharType="separate"/>
      </w:r>
      <w:r>
        <w:rPr>
          <w:rFonts w:ascii="Times New Roman" w:hAnsi="Times New Roman" w:eastAsia="黑体"/>
        </w:rPr>
        <w:t>2.2 数据采集规范</w:t>
      </w:r>
      <w:r>
        <w:tab/>
      </w:r>
      <w:r>
        <w:fldChar w:fldCharType="begin"/>
      </w:r>
      <w:r>
        <w:instrText xml:space="preserve"> PAGEREF _Toc1708 \h </w:instrText>
      </w:r>
      <w:r>
        <w:fldChar w:fldCharType="separate"/>
      </w:r>
      <w:r>
        <w:t>10</w:t>
      </w:r>
      <w:r>
        <w:fldChar w:fldCharType="end"/>
      </w:r>
      <w:r>
        <w:fldChar w:fldCharType="end"/>
      </w:r>
    </w:p>
    <w:p w14:paraId="5A8ED0BD">
      <w:pPr>
        <w:pStyle w:val="30"/>
        <w:tabs>
          <w:tab w:val="right" w:leader="dot" w:pos="8706"/>
        </w:tabs>
      </w:pPr>
      <w:r>
        <w:fldChar w:fldCharType="begin"/>
      </w:r>
      <w:r>
        <w:instrText xml:space="preserve"> HYPERLINK \l _Toc14314 </w:instrText>
      </w:r>
      <w:r>
        <w:fldChar w:fldCharType="separate"/>
      </w:r>
      <w:r>
        <w:rPr>
          <w:rFonts w:ascii="Times New Roman" w:hAnsi="Times New Roman" w:eastAsia="黑体"/>
        </w:rPr>
        <w:t>2.3 预处理与特征</w:t>
      </w:r>
      <w:r>
        <w:tab/>
      </w:r>
      <w:r>
        <w:fldChar w:fldCharType="begin"/>
      </w:r>
      <w:r>
        <w:instrText xml:space="preserve"> PAGEREF _Toc14314 \h </w:instrText>
      </w:r>
      <w:r>
        <w:fldChar w:fldCharType="separate"/>
      </w:r>
      <w:r>
        <w:t>12</w:t>
      </w:r>
      <w:r>
        <w:fldChar w:fldCharType="end"/>
      </w:r>
      <w:r>
        <w:fldChar w:fldCharType="end"/>
      </w:r>
    </w:p>
    <w:p w14:paraId="6620A08D">
      <w:pPr>
        <w:pStyle w:val="30"/>
        <w:tabs>
          <w:tab w:val="right" w:leader="dot" w:pos="8706"/>
        </w:tabs>
      </w:pPr>
      <w:r>
        <w:fldChar w:fldCharType="begin"/>
      </w:r>
      <w:r>
        <w:instrText xml:space="preserve"> HYPERLINK \l _Toc3854 </w:instrText>
      </w:r>
      <w:r>
        <w:fldChar w:fldCharType="separate"/>
      </w:r>
      <w:r>
        <w:rPr>
          <w:rFonts w:ascii="Times New Roman" w:hAnsi="Times New Roman" w:eastAsia="黑体"/>
        </w:rPr>
        <w:t>2.4 模型结构：四成员温度校准融合（在线底座 CausalFuse-8 · 离线模型 QuadFold-59）</w:t>
      </w:r>
      <w:r>
        <w:tab/>
      </w:r>
      <w:r>
        <w:fldChar w:fldCharType="begin"/>
      </w:r>
      <w:r>
        <w:instrText xml:space="preserve"> PAGEREF _Toc3854 \h </w:instrText>
      </w:r>
      <w:r>
        <w:fldChar w:fldCharType="separate"/>
      </w:r>
      <w:r>
        <w:t>13</w:t>
      </w:r>
      <w:r>
        <w:fldChar w:fldCharType="end"/>
      </w:r>
      <w:r>
        <w:fldChar w:fldCharType="end"/>
      </w:r>
    </w:p>
    <w:p w14:paraId="4248978B">
      <w:pPr>
        <w:pStyle w:val="24"/>
        <w:tabs>
          <w:tab w:val="right" w:leader="dot" w:pos="8706"/>
        </w:tabs>
      </w:pPr>
      <w:r>
        <w:fldChar w:fldCharType="begin"/>
      </w:r>
      <w:r>
        <w:instrText xml:space="preserve"> HYPERLINK \l _Toc1273 </w:instrText>
      </w:r>
      <w:r>
        <w:fldChar w:fldCharType="separate"/>
      </w:r>
      <w:r>
        <w:rPr>
          <w:rFonts w:ascii="Times New Roman" w:hAnsi="Times New Roman" w:eastAsia="黑体"/>
        </w:rPr>
        <w:t>2.4.1 共用融合骨架</w:t>
      </w:r>
      <w:r>
        <w:tab/>
      </w:r>
      <w:r>
        <w:fldChar w:fldCharType="begin"/>
      </w:r>
      <w:r>
        <w:instrText xml:space="preserve"> PAGEREF _Toc1273 \h </w:instrText>
      </w:r>
      <w:r>
        <w:fldChar w:fldCharType="separate"/>
      </w:r>
      <w:r>
        <w:t>13</w:t>
      </w:r>
      <w:r>
        <w:fldChar w:fldCharType="end"/>
      </w:r>
      <w:r>
        <w:fldChar w:fldCharType="end"/>
      </w:r>
    </w:p>
    <w:p w14:paraId="55C5D0C2">
      <w:pPr>
        <w:pStyle w:val="24"/>
        <w:tabs>
          <w:tab w:val="right" w:leader="dot" w:pos="8706"/>
        </w:tabs>
      </w:pPr>
      <w:r>
        <w:fldChar w:fldCharType="begin"/>
      </w:r>
      <w:r>
        <w:instrText xml:space="preserve"> HYPERLINK \l _Toc15719 </w:instrText>
      </w:r>
      <w:r>
        <w:fldChar w:fldCharType="separate"/>
      </w:r>
      <w:r>
        <w:rPr>
          <w:rFonts w:ascii="Times New Roman" w:hAnsi="Times New Roman" w:eastAsia="黑体"/>
        </w:rPr>
        <w:t>2.4.2 在线底座 CausalFuse-8：构成与读出</w:t>
      </w:r>
      <w:r>
        <w:tab/>
      </w:r>
      <w:r>
        <w:fldChar w:fldCharType="begin"/>
      </w:r>
      <w:r>
        <w:instrText xml:space="preserve"> PAGEREF _Toc15719 \h </w:instrText>
      </w:r>
      <w:r>
        <w:fldChar w:fldCharType="separate"/>
      </w:r>
      <w:r>
        <w:t>13</w:t>
      </w:r>
      <w:r>
        <w:fldChar w:fldCharType="end"/>
      </w:r>
      <w:r>
        <w:fldChar w:fldCharType="end"/>
      </w:r>
    </w:p>
    <w:p w14:paraId="2A12AB7C">
      <w:pPr>
        <w:pStyle w:val="24"/>
        <w:tabs>
          <w:tab w:val="right" w:leader="dot" w:pos="8706"/>
        </w:tabs>
      </w:pPr>
      <w:r>
        <w:fldChar w:fldCharType="begin"/>
      </w:r>
      <w:r>
        <w:instrText xml:space="preserve"> HYPERLINK \l _Toc24828 </w:instrText>
      </w:r>
      <w:r>
        <w:fldChar w:fldCharType="separate"/>
      </w:r>
      <w:r>
        <w:rPr>
          <w:rFonts w:ascii="Times New Roman" w:hAnsi="Times New Roman" w:eastAsia="黑体"/>
        </w:rPr>
        <w:t>2.4.3 离线模型 QuadFold-59：构成与读出</w:t>
      </w:r>
      <w:r>
        <w:tab/>
      </w:r>
      <w:r>
        <w:fldChar w:fldCharType="begin"/>
      </w:r>
      <w:r>
        <w:instrText xml:space="preserve"> PAGEREF _Toc24828 \h </w:instrText>
      </w:r>
      <w:r>
        <w:fldChar w:fldCharType="separate"/>
      </w:r>
      <w:r>
        <w:t>13</w:t>
      </w:r>
      <w:r>
        <w:fldChar w:fldCharType="end"/>
      </w:r>
      <w:r>
        <w:fldChar w:fldCharType="end"/>
      </w:r>
    </w:p>
    <w:p w14:paraId="7BCE62B7">
      <w:pPr>
        <w:pStyle w:val="24"/>
        <w:tabs>
          <w:tab w:val="right" w:leader="dot" w:pos="8706"/>
        </w:tabs>
      </w:pPr>
      <w:r>
        <w:fldChar w:fldCharType="begin"/>
      </w:r>
      <w:r>
        <w:instrText xml:space="preserve"> HYPERLINK \l _Toc32080 </w:instrText>
      </w:r>
      <w:r>
        <w:fldChar w:fldCharType="separate"/>
      </w:r>
      <w:r>
        <w:rPr>
          <w:rFonts w:ascii="Times New Roman" w:hAnsi="Times New Roman" w:eastAsia="黑体"/>
        </w:rPr>
        <w:t>2.4.4 在线底座与离线模型对照</w:t>
      </w:r>
      <w:r>
        <w:tab/>
      </w:r>
      <w:r>
        <w:fldChar w:fldCharType="begin"/>
      </w:r>
      <w:r>
        <w:instrText xml:space="preserve"> PAGEREF _Toc32080 \h </w:instrText>
      </w:r>
      <w:r>
        <w:fldChar w:fldCharType="separate"/>
      </w:r>
      <w:r>
        <w:t>14</w:t>
      </w:r>
      <w:r>
        <w:fldChar w:fldCharType="end"/>
      </w:r>
      <w:r>
        <w:fldChar w:fldCharType="end"/>
      </w:r>
    </w:p>
    <w:p w14:paraId="7182FCB0">
      <w:pPr>
        <w:pStyle w:val="30"/>
        <w:tabs>
          <w:tab w:val="right" w:leader="dot" w:pos="8706"/>
        </w:tabs>
      </w:pPr>
      <w:r>
        <w:fldChar w:fldCharType="begin"/>
      </w:r>
      <w:r>
        <w:instrText xml:space="preserve"> HYPERLINK \l _Toc2576 </w:instrText>
      </w:r>
      <w:r>
        <w:fldChar w:fldCharType="separate"/>
      </w:r>
      <w:r>
        <w:rPr>
          <w:rFonts w:ascii="Times New Roman" w:hAnsi="Times New Roman" w:eastAsia="黑体"/>
        </w:rPr>
        <w:t>2.5 在线模型：采后逐场次增量微调与适配态</w:t>
      </w:r>
      <w:r>
        <w:tab/>
      </w:r>
      <w:r>
        <w:fldChar w:fldCharType="begin"/>
      </w:r>
      <w:r>
        <w:instrText xml:space="preserve"> PAGEREF _Toc2576 \h </w:instrText>
      </w:r>
      <w:r>
        <w:fldChar w:fldCharType="separate"/>
      </w:r>
      <w:r>
        <w:t>15</w:t>
      </w:r>
      <w:r>
        <w:fldChar w:fldCharType="end"/>
      </w:r>
      <w:r>
        <w:fldChar w:fldCharType="end"/>
      </w:r>
    </w:p>
    <w:p w14:paraId="4B608B11">
      <w:pPr>
        <w:pStyle w:val="30"/>
        <w:tabs>
          <w:tab w:val="right" w:leader="dot" w:pos="8706"/>
        </w:tabs>
      </w:pPr>
      <w:r>
        <w:fldChar w:fldCharType="begin"/>
      </w:r>
      <w:r>
        <w:instrText xml:space="preserve"> HYPERLINK \l _Toc6601 </w:instrText>
      </w:r>
      <w:r>
        <w:fldChar w:fldCharType="separate"/>
      </w:r>
      <w:r>
        <w:rPr>
          <w:rFonts w:ascii="Times New Roman" w:hAnsi="Times New Roman" w:eastAsia="黑体"/>
        </w:rPr>
        <w:t>2.6 在线交互系统：异步交互机制与实时架构</w:t>
      </w:r>
      <w:r>
        <w:tab/>
      </w:r>
      <w:r>
        <w:fldChar w:fldCharType="begin"/>
      </w:r>
      <w:r>
        <w:instrText xml:space="preserve"> PAGEREF _Toc6601 \h </w:instrText>
      </w:r>
      <w:r>
        <w:fldChar w:fldCharType="separate"/>
      </w:r>
      <w:r>
        <w:t>16</w:t>
      </w:r>
      <w:r>
        <w:fldChar w:fldCharType="end"/>
      </w:r>
      <w:r>
        <w:fldChar w:fldCharType="end"/>
      </w:r>
    </w:p>
    <w:p w14:paraId="58692389">
      <w:pPr>
        <w:pStyle w:val="24"/>
        <w:tabs>
          <w:tab w:val="right" w:leader="dot" w:pos="8706"/>
        </w:tabs>
      </w:pPr>
      <w:r>
        <w:fldChar w:fldCharType="begin"/>
      </w:r>
      <w:r>
        <w:instrText xml:space="preserve"> HYPERLINK \l _Toc30500 </w:instrText>
      </w:r>
      <w:r>
        <w:fldChar w:fldCharType="separate"/>
      </w:r>
      <w:r>
        <w:rPr>
          <w:rFonts w:ascii="Times New Roman" w:hAnsi="Times New Roman" w:eastAsia="黑体"/>
        </w:rPr>
        <w:t>2.6.1 分层架构与实时链路</w:t>
      </w:r>
      <w:r>
        <w:tab/>
      </w:r>
      <w:r>
        <w:fldChar w:fldCharType="begin"/>
      </w:r>
      <w:r>
        <w:instrText xml:space="preserve"> PAGEREF _Toc30500 \h </w:instrText>
      </w:r>
      <w:r>
        <w:fldChar w:fldCharType="separate"/>
      </w:r>
      <w:r>
        <w:t>18</w:t>
      </w:r>
      <w:r>
        <w:fldChar w:fldCharType="end"/>
      </w:r>
      <w:r>
        <w:fldChar w:fldCharType="end"/>
      </w:r>
    </w:p>
    <w:p w14:paraId="72FC3E0D">
      <w:pPr>
        <w:pStyle w:val="27"/>
        <w:tabs>
          <w:tab w:val="right" w:leader="dot" w:pos="8706"/>
        </w:tabs>
      </w:pPr>
      <w:r>
        <w:fldChar w:fldCharType="begin"/>
      </w:r>
      <w:r>
        <w:instrText xml:space="preserve"> HYPERLINK \l _Toc28210 </w:instrText>
      </w:r>
      <w:r>
        <w:fldChar w:fldCharType="separate"/>
      </w:r>
      <w:r>
        <w:rPr>
          <w:rFonts w:ascii="Times New Roman" w:hAnsi="Times New Roman" w:eastAsia="黑体"/>
        </w:rPr>
        <w:t>3 实验研究</w:t>
      </w:r>
      <w:r>
        <w:tab/>
      </w:r>
      <w:r>
        <w:fldChar w:fldCharType="begin"/>
      </w:r>
      <w:r>
        <w:instrText xml:space="preserve"> PAGEREF _Toc28210 \h </w:instrText>
      </w:r>
      <w:r>
        <w:fldChar w:fldCharType="separate"/>
      </w:r>
      <w:r>
        <w:t>20</w:t>
      </w:r>
      <w:r>
        <w:fldChar w:fldCharType="end"/>
      </w:r>
      <w:r>
        <w:fldChar w:fldCharType="end"/>
      </w:r>
    </w:p>
    <w:p w14:paraId="49950FB2">
      <w:pPr>
        <w:pStyle w:val="30"/>
        <w:tabs>
          <w:tab w:val="right" w:leader="dot" w:pos="8706"/>
        </w:tabs>
      </w:pPr>
      <w:r>
        <w:fldChar w:fldCharType="begin"/>
      </w:r>
      <w:r>
        <w:instrText xml:space="preserve"> HYPERLINK \l _Toc32154 </w:instrText>
      </w:r>
      <w:r>
        <w:fldChar w:fldCharType="separate"/>
      </w:r>
      <w:r>
        <w:rPr>
          <w:rFonts w:ascii="Times New Roman" w:hAnsi="Times New Roman" w:eastAsia="黑体"/>
        </w:rPr>
        <w:t>3.0 统一评测方案与判定纪律</w:t>
      </w:r>
      <w:r>
        <w:tab/>
      </w:r>
      <w:r>
        <w:fldChar w:fldCharType="begin"/>
      </w:r>
      <w:r>
        <w:instrText xml:space="preserve"> PAGEREF _Toc32154 \h </w:instrText>
      </w:r>
      <w:r>
        <w:fldChar w:fldCharType="separate"/>
      </w:r>
      <w:r>
        <w:t>20</w:t>
      </w:r>
      <w:r>
        <w:fldChar w:fldCharType="end"/>
      </w:r>
      <w:r>
        <w:fldChar w:fldCharType="end"/>
      </w:r>
    </w:p>
    <w:p w14:paraId="4608AAF8">
      <w:pPr>
        <w:pStyle w:val="30"/>
        <w:tabs>
          <w:tab w:val="right" w:leader="dot" w:pos="8706"/>
        </w:tabs>
      </w:pPr>
      <w:r>
        <w:fldChar w:fldCharType="begin"/>
      </w:r>
      <w:r>
        <w:instrText xml:space="preserve"> HYPERLINK \l _Toc19422 </w:instrText>
      </w:r>
      <w:r>
        <w:fldChar w:fldCharType="separate"/>
      </w:r>
      <w:r>
        <w:rPr>
          <w:rFonts w:ascii="Times New Roman" w:hAnsi="Times New Roman" w:eastAsia="黑体"/>
        </w:rPr>
        <w:t>3.1 切窗口径与主干选型</w:t>
      </w:r>
      <w:r>
        <w:tab/>
      </w:r>
      <w:r>
        <w:fldChar w:fldCharType="begin"/>
      </w:r>
      <w:r>
        <w:instrText xml:space="preserve"> PAGEREF _Toc19422 \h </w:instrText>
      </w:r>
      <w:r>
        <w:fldChar w:fldCharType="separate"/>
      </w:r>
      <w:r>
        <w:t>21</w:t>
      </w:r>
      <w:r>
        <w:fldChar w:fldCharType="end"/>
      </w:r>
      <w:r>
        <w:fldChar w:fldCharType="end"/>
      </w:r>
    </w:p>
    <w:p w14:paraId="21EBABAA">
      <w:pPr>
        <w:pStyle w:val="30"/>
        <w:tabs>
          <w:tab w:val="right" w:leader="dot" w:pos="8706"/>
        </w:tabs>
      </w:pPr>
      <w:r>
        <w:fldChar w:fldCharType="begin"/>
      </w:r>
      <w:r>
        <w:instrText xml:space="preserve"> HYPERLINK \l _Toc7432 </w:instrText>
      </w:r>
      <w:r>
        <w:fldChar w:fldCharType="separate"/>
      </w:r>
      <w:r>
        <w:rPr>
          <w:rFonts w:ascii="Times New Roman" w:hAnsi="Times New Roman" w:eastAsia="黑体"/>
        </w:rPr>
        <w:t>3.2 增益来源的机制探查</w:t>
      </w:r>
      <w:r>
        <w:tab/>
      </w:r>
      <w:r>
        <w:fldChar w:fldCharType="begin"/>
      </w:r>
      <w:r>
        <w:instrText xml:space="preserve"> PAGEREF _Toc7432 \h </w:instrText>
      </w:r>
      <w:r>
        <w:fldChar w:fldCharType="separate"/>
      </w:r>
      <w:r>
        <w:t>23</w:t>
      </w:r>
      <w:r>
        <w:fldChar w:fldCharType="end"/>
      </w:r>
      <w:r>
        <w:fldChar w:fldCharType="end"/>
      </w:r>
    </w:p>
    <w:p w14:paraId="31785F01">
      <w:pPr>
        <w:pStyle w:val="30"/>
        <w:tabs>
          <w:tab w:val="right" w:leader="dot" w:pos="8706"/>
        </w:tabs>
      </w:pPr>
      <w:r>
        <w:fldChar w:fldCharType="begin"/>
      </w:r>
      <w:r>
        <w:instrText xml:space="preserve"> HYPERLINK \l _Toc8533 </w:instrText>
      </w:r>
      <w:r>
        <w:fldChar w:fldCharType="separate"/>
      </w:r>
      <w:r>
        <w:rPr>
          <w:rFonts w:ascii="Times New Roman" w:hAnsi="Times New Roman" w:eastAsia="黑体"/>
        </w:rPr>
        <w:t>3.3 集成底座定型与读出因果化</w:t>
      </w:r>
      <w:r>
        <w:tab/>
      </w:r>
      <w:r>
        <w:fldChar w:fldCharType="begin"/>
      </w:r>
      <w:r>
        <w:instrText xml:space="preserve"> PAGEREF _Toc8533 \h </w:instrText>
      </w:r>
      <w:r>
        <w:fldChar w:fldCharType="separate"/>
      </w:r>
      <w:r>
        <w:t>23</w:t>
      </w:r>
      <w:r>
        <w:fldChar w:fldCharType="end"/>
      </w:r>
      <w:r>
        <w:fldChar w:fldCharType="end"/>
      </w:r>
    </w:p>
    <w:p w14:paraId="5F2ABAA8">
      <w:pPr>
        <w:pStyle w:val="30"/>
        <w:tabs>
          <w:tab w:val="right" w:leader="dot" w:pos="8706"/>
        </w:tabs>
      </w:pPr>
      <w:r>
        <w:fldChar w:fldCharType="begin"/>
      </w:r>
      <w:r>
        <w:instrText xml:space="preserve"> HYPERLINK \l _Toc27137 </w:instrText>
      </w:r>
      <w:r>
        <w:fldChar w:fldCharType="separate"/>
      </w:r>
      <w:r>
        <w:rPr>
          <w:rFonts w:ascii="Times New Roman" w:hAnsi="Times New Roman" w:eastAsia="黑体"/>
        </w:rPr>
        <w:t>3.4 指定集评测与提交决策</w:t>
      </w:r>
      <w:r>
        <w:tab/>
      </w:r>
      <w:r>
        <w:fldChar w:fldCharType="begin"/>
      </w:r>
      <w:r>
        <w:instrText xml:space="preserve"> PAGEREF _Toc27137 \h </w:instrText>
      </w:r>
      <w:r>
        <w:fldChar w:fldCharType="separate"/>
      </w:r>
      <w:r>
        <w:t>25</w:t>
      </w:r>
      <w:r>
        <w:fldChar w:fldCharType="end"/>
      </w:r>
      <w:r>
        <w:fldChar w:fldCharType="end"/>
      </w:r>
    </w:p>
    <w:p w14:paraId="4E998DA3">
      <w:pPr>
        <w:pStyle w:val="30"/>
        <w:tabs>
          <w:tab w:val="right" w:leader="dot" w:pos="8706"/>
        </w:tabs>
      </w:pPr>
      <w:r>
        <w:fldChar w:fldCharType="begin"/>
      </w:r>
      <w:r>
        <w:instrText xml:space="preserve"> HYPERLINK \l _Toc6267 </w:instrText>
      </w:r>
      <w:r>
        <w:fldChar w:fldCharType="separate"/>
      </w:r>
      <w:r>
        <w:rPr>
          <w:rFonts w:ascii="Times New Roman" w:hAnsi="Times New Roman" w:eastAsia="黑体"/>
        </w:rPr>
        <w:t>3.5 少样本个体适配方法学</w:t>
      </w:r>
      <w:r>
        <w:tab/>
      </w:r>
      <w:r>
        <w:fldChar w:fldCharType="begin"/>
      </w:r>
      <w:r>
        <w:instrText xml:space="preserve"> PAGEREF _Toc6267 \h </w:instrText>
      </w:r>
      <w:r>
        <w:fldChar w:fldCharType="separate"/>
      </w:r>
      <w:r>
        <w:t>27</w:t>
      </w:r>
      <w:r>
        <w:fldChar w:fldCharType="end"/>
      </w:r>
      <w:r>
        <w:fldChar w:fldCharType="end"/>
      </w:r>
    </w:p>
    <w:p w14:paraId="11B507AB">
      <w:pPr>
        <w:pStyle w:val="30"/>
        <w:tabs>
          <w:tab w:val="right" w:leader="dot" w:pos="8706"/>
        </w:tabs>
      </w:pPr>
      <w:r>
        <w:fldChar w:fldCharType="begin"/>
      </w:r>
      <w:r>
        <w:instrText xml:space="preserve"> HYPERLINK \l _Toc6144 </w:instrText>
      </w:r>
      <w:r>
        <w:fldChar w:fldCharType="separate"/>
      </w:r>
      <w:r>
        <w:rPr>
          <w:rFonts w:ascii="Times New Roman" w:hAnsi="Times New Roman" w:eastAsia="黑体"/>
        </w:rPr>
        <w:t>3.6 真人被试全队列验证</w:t>
      </w:r>
      <w:r>
        <w:tab/>
      </w:r>
      <w:r>
        <w:fldChar w:fldCharType="begin"/>
      </w:r>
      <w:r>
        <w:instrText xml:space="preserve"> PAGEREF _Toc6144 \h </w:instrText>
      </w:r>
      <w:r>
        <w:fldChar w:fldCharType="separate"/>
      </w:r>
      <w:r>
        <w:t>30</w:t>
      </w:r>
      <w:r>
        <w:fldChar w:fldCharType="end"/>
      </w:r>
      <w:r>
        <w:fldChar w:fldCharType="end"/>
      </w:r>
    </w:p>
    <w:p w14:paraId="3A6DA186">
      <w:pPr>
        <w:pStyle w:val="30"/>
        <w:tabs>
          <w:tab w:val="right" w:leader="dot" w:pos="8706"/>
        </w:tabs>
      </w:pPr>
      <w:r>
        <w:fldChar w:fldCharType="begin"/>
      </w:r>
      <w:r>
        <w:instrText xml:space="preserve"> HYPERLINK \l _Toc19265 </w:instrText>
      </w:r>
      <w:r>
        <w:fldChar w:fldCharType="separate"/>
      </w:r>
      <w:r>
        <w:rPr>
          <w:rFonts w:ascii="Times New Roman" w:hAnsi="Times New Roman" w:eastAsia="黑体"/>
        </w:rPr>
        <w:t>3.7 适配增益的混杂分解与坍塌普查</w:t>
      </w:r>
      <w:r>
        <w:tab/>
      </w:r>
      <w:r>
        <w:fldChar w:fldCharType="begin"/>
      </w:r>
      <w:r>
        <w:instrText xml:space="preserve"> PAGEREF _Toc19265 \h </w:instrText>
      </w:r>
      <w:r>
        <w:fldChar w:fldCharType="separate"/>
      </w:r>
      <w:r>
        <w:t>33</w:t>
      </w:r>
      <w:r>
        <w:fldChar w:fldCharType="end"/>
      </w:r>
      <w:r>
        <w:fldChar w:fldCharType="end"/>
      </w:r>
    </w:p>
    <w:p w14:paraId="250EACB7">
      <w:pPr>
        <w:pStyle w:val="27"/>
        <w:tabs>
          <w:tab w:val="right" w:leader="dot" w:pos="8706"/>
        </w:tabs>
      </w:pPr>
      <w:r>
        <w:fldChar w:fldCharType="begin"/>
      </w:r>
      <w:r>
        <w:instrText xml:space="preserve"> HYPERLINK \l _Toc25595 </w:instrText>
      </w:r>
      <w:r>
        <w:fldChar w:fldCharType="separate"/>
      </w:r>
      <w:r>
        <w:rPr>
          <w:rFonts w:ascii="Times New Roman" w:hAnsi="Times New Roman" w:eastAsia="黑体"/>
        </w:rPr>
        <w:t>4 讨论</w:t>
      </w:r>
      <w:r>
        <w:tab/>
      </w:r>
      <w:r>
        <w:fldChar w:fldCharType="begin"/>
      </w:r>
      <w:r>
        <w:instrText xml:space="preserve"> PAGEREF _Toc25595 \h </w:instrText>
      </w:r>
      <w:r>
        <w:fldChar w:fldCharType="separate"/>
      </w:r>
      <w:r>
        <w:t>35</w:t>
      </w:r>
      <w:r>
        <w:fldChar w:fldCharType="end"/>
      </w:r>
      <w:r>
        <w:fldChar w:fldCharType="end"/>
      </w:r>
    </w:p>
    <w:p w14:paraId="77001A75">
      <w:pPr>
        <w:pStyle w:val="27"/>
        <w:tabs>
          <w:tab w:val="right" w:leader="dot" w:pos="8706"/>
        </w:tabs>
      </w:pPr>
      <w:r>
        <w:fldChar w:fldCharType="begin"/>
      </w:r>
      <w:r>
        <w:instrText xml:space="preserve"> HYPERLINK \l _Toc27274 </w:instrText>
      </w:r>
      <w:r>
        <w:fldChar w:fldCharType="separate"/>
      </w:r>
      <w:r>
        <w:rPr>
          <w:rFonts w:ascii="Times New Roman" w:hAnsi="Times New Roman" w:eastAsia="黑体"/>
        </w:rPr>
        <w:t>5 结论与展望</w:t>
      </w:r>
      <w:r>
        <w:tab/>
      </w:r>
      <w:r>
        <w:fldChar w:fldCharType="begin"/>
      </w:r>
      <w:r>
        <w:instrText xml:space="preserve"> PAGEREF _Toc27274 \h </w:instrText>
      </w:r>
      <w:r>
        <w:fldChar w:fldCharType="separate"/>
      </w:r>
      <w:r>
        <w:t>36</w:t>
      </w:r>
      <w:r>
        <w:fldChar w:fldCharType="end"/>
      </w:r>
      <w:r>
        <w:fldChar w:fldCharType="end"/>
      </w:r>
    </w:p>
    <w:p w14:paraId="261B8257">
      <w:pPr>
        <w:pStyle w:val="27"/>
        <w:tabs>
          <w:tab w:val="right" w:leader="dot" w:pos="8706"/>
        </w:tabs>
      </w:pPr>
      <w:r>
        <w:fldChar w:fldCharType="begin"/>
      </w:r>
      <w:r>
        <w:instrText xml:space="preserve"> HYPERLINK \l _Toc27675 </w:instrText>
      </w:r>
      <w:r>
        <w:fldChar w:fldCharType="separate"/>
      </w:r>
      <w:r>
        <w:rPr>
          <w:rFonts w:ascii="Times New Roman" w:hAnsi="Times New Roman" w:eastAsia="黑体"/>
        </w:rPr>
        <w:t>参考文献</w:t>
      </w:r>
      <w:r>
        <w:tab/>
      </w:r>
      <w:r>
        <w:fldChar w:fldCharType="begin"/>
      </w:r>
      <w:r>
        <w:instrText xml:space="preserve"> PAGEREF _Toc27675 \h </w:instrText>
      </w:r>
      <w:r>
        <w:fldChar w:fldCharType="separate"/>
      </w:r>
      <w:r>
        <w:t>36</w:t>
      </w:r>
      <w:r>
        <w:fldChar w:fldCharType="end"/>
      </w:r>
      <w:r>
        <w:fldChar w:fldCharType="end"/>
      </w:r>
    </w:p>
    <w:p w14:paraId="3A81E8D9">
      <w:pPr>
        <w:pStyle w:val="27"/>
        <w:tabs>
          <w:tab w:val="right" w:leader="dot" w:pos="8706"/>
        </w:tabs>
      </w:pPr>
      <w:r>
        <w:fldChar w:fldCharType="begin"/>
      </w:r>
      <w:r>
        <w:instrText xml:space="preserve"> HYPERLINK \l _Toc20827 </w:instrText>
      </w:r>
      <w:r>
        <w:fldChar w:fldCharType="separate"/>
      </w:r>
      <w:r>
        <w:rPr>
          <w:rFonts w:ascii="Times New Roman" w:hAnsi="Times New Roman" w:eastAsia="黑体"/>
        </w:rPr>
        <w:t>附录 A · 实验总览</w:t>
      </w:r>
      <w:r>
        <w:tab/>
      </w:r>
      <w:r>
        <w:fldChar w:fldCharType="begin"/>
      </w:r>
      <w:r>
        <w:instrText xml:space="preserve"> PAGEREF _Toc20827 \h </w:instrText>
      </w:r>
      <w:r>
        <w:fldChar w:fldCharType="separate"/>
      </w:r>
      <w:r>
        <w:t>38</w:t>
      </w:r>
      <w:r>
        <w:fldChar w:fldCharType="end"/>
      </w:r>
      <w:r>
        <w:fldChar w:fldCharType="end"/>
      </w:r>
    </w:p>
    <w:p w14:paraId="6B458293">
      <w:pPr>
        <w:pStyle w:val="27"/>
        <w:tabs>
          <w:tab w:val="right" w:leader="dot" w:pos="8706"/>
        </w:tabs>
      </w:pPr>
      <w:r>
        <w:fldChar w:fldCharType="begin"/>
      </w:r>
      <w:r>
        <w:instrText xml:space="preserve"> HYPERLINK \l _Toc9905 </w:instrText>
      </w:r>
      <w:r>
        <w:fldChar w:fldCharType="separate"/>
      </w:r>
      <w:r>
        <w:rPr>
          <w:rFonts w:ascii="Times New Roman" w:hAnsi="Times New Roman" w:eastAsia="黑体"/>
        </w:rPr>
        <w:t>附录 B · 系统常量与冻结口径</w:t>
      </w:r>
      <w:r>
        <w:tab/>
      </w:r>
      <w:r>
        <w:fldChar w:fldCharType="begin"/>
      </w:r>
      <w:r>
        <w:instrText xml:space="preserve"> PAGEREF _Toc9905 \h </w:instrText>
      </w:r>
      <w:r>
        <w:fldChar w:fldCharType="separate"/>
      </w:r>
      <w:r>
        <w:t>40</w:t>
      </w:r>
      <w:r>
        <w:fldChar w:fldCharType="end"/>
      </w:r>
      <w:r>
        <w:fldChar w:fldCharType="end"/>
      </w:r>
    </w:p>
    <w:p w14:paraId="71D8DF3E">
      <w:pPr>
        <w:pStyle w:val="27"/>
        <w:tabs>
          <w:tab w:val="right" w:leader="dot" w:pos="8706"/>
        </w:tabs>
      </w:pPr>
      <w:r>
        <w:fldChar w:fldCharType="begin"/>
      </w:r>
      <w:r>
        <w:instrText xml:space="preserve"> HYPERLINK \l _Toc3746 </w:instrText>
      </w:r>
      <w:r>
        <w:fldChar w:fldCharType="separate"/>
      </w:r>
      <w:r>
        <w:rPr>
          <w:rFonts w:ascii="Times New Roman" w:hAnsi="Times New Roman" w:eastAsia="黑体"/>
        </w:rPr>
        <w:t>附录 C · 与赛题要求对照</w:t>
      </w:r>
      <w:r>
        <w:tab/>
      </w:r>
      <w:r>
        <w:fldChar w:fldCharType="begin"/>
      </w:r>
      <w:r>
        <w:instrText xml:space="preserve"> PAGEREF _Toc3746 \h </w:instrText>
      </w:r>
      <w:r>
        <w:fldChar w:fldCharType="separate"/>
      </w:r>
      <w:r>
        <w:t>41</w:t>
      </w:r>
      <w:r>
        <w:fldChar w:fldCharType="end"/>
      </w:r>
      <w:r>
        <w:fldChar w:fldCharType="end"/>
      </w:r>
    </w:p>
    <w:p w14:paraId="2F69E56E">
      <w:pPr>
        <w:pStyle w:val="27"/>
        <w:tabs>
          <w:tab w:val="right" w:leader="dot" w:pos="8706"/>
        </w:tabs>
      </w:pPr>
      <w:r>
        <w:fldChar w:fldCharType="begin"/>
      </w:r>
      <w:r>
        <w:instrText xml:space="preserve"> HYPERLINK \l _Toc31076 </w:instrText>
      </w:r>
      <w:r>
        <w:fldChar w:fldCharType="separate"/>
      </w:r>
      <w:r>
        <w:rPr>
          <w:rFonts w:ascii="Times New Roman" w:hAnsi="Times New Roman" w:eastAsia="黑体"/>
        </w:rPr>
        <w:t>附录 D · 算法公式详述</w:t>
      </w:r>
      <w:r>
        <w:tab/>
      </w:r>
      <w:r>
        <w:fldChar w:fldCharType="begin"/>
      </w:r>
      <w:r>
        <w:instrText xml:space="preserve"> PAGEREF _Toc31076 \h </w:instrText>
      </w:r>
      <w:r>
        <w:fldChar w:fldCharType="separate"/>
      </w:r>
      <w:r>
        <w:t>41</w:t>
      </w:r>
      <w:r>
        <w:fldChar w:fldCharType="end"/>
      </w:r>
      <w:r>
        <w:fldChar w:fldCharType="end"/>
      </w:r>
    </w:p>
    <w:p w14:paraId="363E35E4">
      <w:pPr>
        <w:pStyle w:val="27"/>
        <w:tabs>
          <w:tab w:val="right" w:leader="dot" w:pos="8706"/>
        </w:tabs>
      </w:pPr>
      <w:r>
        <w:fldChar w:fldCharType="begin"/>
      </w:r>
      <w:r>
        <w:instrText xml:space="preserve"> HYPERLINK \l _Toc529 </w:instrText>
      </w:r>
      <w:r>
        <w:fldChar w:fldCharType="separate"/>
      </w:r>
      <w:r>
        <w:rPr>
          <w:rFonts w:ascii="Times New Roman" w:hAnsi="Times New Roman" w:eastAsia="黑体"/>
        </w:rPr>
        <w:t>文献核查说明</w:t>
      </w:r>
      <w:r>
        <w:tab/>
      </w:r>
      <w:r>
        <w:fldChar w:fldCharType="begin"/>
      </w:r>
      <w:r>
        <w:instrText xml:space="preserve"> PAGEREF _Toc529 \h </w:instrText>
      </w:r>
      <w:r>
        <w:fldChar w:fldCharType="separate"/>
      </w:r>
      <w:r>
        <w:t>42</w:t>
      </w:r>
      <w:r>
        <w:fldChar w:fldCharType="end"/>
      </w:r>
      <w:r>
        <w:fldChar w:fldCharType="end"/>
      </w:r>
    </w:p>
    <w:p w14:paraId="3AE5C940">
      <w:r>
        <w:fldChar w:fldCharType="end"/>
      </w:r>
    </w:p>
    <w:p w14:paraId="5B6D414E">
      <w:bookmarkStart w:id="35" w:name="_GoBack"/>
      <w:bookmarkEnd w:id="35"/>
      <w:r>
        <w:br w:type="page"/>
      </w:r>
    </w:p>
    <w:p w14:paraId="42167A89">
      <w:pPr>
        <w:pStyle w:val="3"/>
        <w:spacing w:before="280" w:after="160" w:line="312" w:lineRule="auto"/>
        <w:jc w:val="center"/>
      </w:pPr>
      <w:bookmarkStart w:id="1" w:name="_Toc20643"/>
      <w:r>
        <w:rPr>
          <w:rFonts w:ascii="Times New Roman" w:hAnsi="Times New Roman" w:eastAsia="黑体"/>
          <w:b/>
          <w:color w:val="000000"/>
          <w:sz w:val="32"/>
        </w:rPr>
        <w:t>1 引言</w:t>
      </w:r>
      <w:bookmarkEnd w:id="1"/>
    </w:p>
    <w:p w14:paraId="0786D363">
      <w:pPr>
        <w:pStyle w:val="4"/>
        <w:spacing w:before="200" w:after="160" w:line="312" w:lineRule="auto"/>
      </w:pPr>
      <w:bookmarkStart w:id="2" w:name="_Toc8806"/>
      <w:r>
        <w:rPr>
          <w:rFonts w:ascii="Times New Roman" w:hAnsi="Times New Roman" w:eastAsia="黑体"/>
          <w:b/>
          <w:color w:val="000000"/>
          <w:sz w:val="30"/>
        </w:rPr>
        <w:t>1.1 背景与问题</w:t>
      </w:r>
      <w:bookmarkEnd w:id="2"/>
    </w:p>
    <w:p w14:paraId="69711F00">
      <w:pPr>
        <w:spacing w:before="0" w:after="120" w:line="312" w:lineRule="auto"/>
        <w:ind w:firstLine="480"/>
        <w:jc w:val="both"/>
      </w:pPr>
      <w:r>
        <w:rPr>
          <w:rFonts w:ascii="Times New Roman" w:hAnsi="Times New Roman" w:eastAsia="宋体"/>
          <w:b w:val="0"/>
          <w:color w:val="000000"/>
          <w:sz w:val="24"/>
        </w:rPr>
        <w:t>我国 60 岁及以上人口已超 3 亿，脑卒中患者总数超 2876 万，绝大多数患者遗留运动功能障碍，对智能康复与辅助移动技术需求突出。现有智能轮椅等辅具多依赖环境感知或残存肌力控制，难以实时解读用户主动意图，自主性与安全性受限。运动想象脑机接口不依赖外部刺激与残存肌力，仅通过想象肢体动作产生控制信号，可用于「随心而动」类智能辅具[1]。</w:t>
      </w:r>
    </w:p>
    <w:p w14:paraId="38A83FDE">
      <w:pPr>
        <w:spacing w:before="0" w:after="120" w:line="312" w:lineRule="auto"/>
        <w:ind w:firstLine="480"/>
        <w:jc w:val="both"/>
      </w:pPr>
      <w:r>
        <w:rPr>
          <w:rFonts w:ascii="Times New Roman" w:hAnsi="Times New Roman" w:eastAsia="宋体"/>
          <w:b w:val="0"/>
          <w:color w:val="000000"/>
          <w:sz w:val="24"/>
        </w:rPr>
        <w:t>落地到康复训练仍有难点。运动想象需长期重复练习，要领因人而异：初学者常需较长时间才能稳定，部分用户始终难以掌握，单靠治疗师一对一引导不易规模化；缺少实时反馈时，用户难以确认「想象是否被正确识别」，训练剂量与质量也难保证。因此系统需要双向适配：用任务化、游戏化范式帮助用户更快掌握技巧，同时让算法适配不同用户的信号特征。</w:t>
      </w:r>
    </w:p>
    <w:p w14:paraId="1030A701">
      <w:pPr>
        <w:spacing w:before="0" w:after="120" w:line="312" w:lineRule="auto"/>
        <w:ind w:firstLine="480"/>
        <w:jc w:val="both"/>
      </w:pPr>
      <w:r>
        <w:rPr>
          <w:rFonts w:ascii="Times New Roman" w:hAnsi="Times New Roman" w:eastAsia="宋体"/>
          <w:b w:val="0"/>
          <w:color w:val="000000"/>
          <w:sz w:val="24"/>
        </w:rPr>
        <w:t>对照赛题，本研究的任务是：实现左手、右手、空闲三类认知信号的精准分类与实时识别；自采不少于 20 人数据佐证有效性；提交算法设计报告、离线性能验证与可演示在线系统。完成该任务需依次解决四个问题：噪声环境下的稳定解码；异步交互中控制态与空闲态的可靠判别（避免误触发）；少样本条件下的快速个性化适配；满足交互节拍的低延迟运算。</w:t>
      </w:r>
    </w:p>
    <w:p w14:paraId="657DDD42">
      <w:pPr>
        <w:pStyle w:val="4"/>
        <w:spacing w:before="200" w:after="160" w:line="312" w:lineRule="auto"/>
      </w:pPr>
      <w:bookmarkStart w:id="3" w:name="_Toc5606"/>
      <w:r>
        <w:rPr>
          <w:rFonts w:ascii="Times New Roman" w:hAnsi="Times New Roman" w:eastAsia="黑体"/>
          <w:b/>
          <w:color w:val="000000"/>
          <w:sz w:val="30"/>
        </w:rPr>
        <w:t>1.2 研究路线概述</w:t>
      </w:r>
      <w:bookmarkEnd w:id="3"/>
    </w:p>
    <w:p w14:paraId="12D0F184">
      <w:pPr>
        <w:spacing w:before="0" w:after="120" w:line="312" w:lineRule="auto"/>
        <w:ind w:firstLine="480"/>
        <w:jc w:val="both"/>
      </w:pPr>
      <w:r>
        <w:rPr>
          <w:rFonts w:ascii="Times New Roman" w:hAnsi="Times New Roman" w:eastAsia="宋体"/>
          <w:b w:val="0"/>
          <w:color w:val="000000"/>
          <w:sz w:val="24"/>
        </w:rPr>
        <w:t>本研究按六个阶段推进，每个阶段的结论决定下一阶段的投入方向：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176"/>
        <w:gridCol w:w="2176"/>
        <w:gridCol w:w="2176"/>
        <w:gridCol w:w="2176"/>
      </w:tblGrid>
      <w:tr w14:paraId="4D9D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176" w:type="dxa"/>
            <w:shd w:val="clear" w:color="auto" w:fill="D9E2F3"/>
          </w:tcPr>
          <w:p w14:paraId="59D0E5F7">
            <w:pPr>
              <w:spacing w:after="0" w:line="276" w:lineRule="auto"/>
              <w:jc w:val="center"/>
            </w:pPr>
            <w:r>
              <w:rPr>
                <w:rFonts w:ascii="Times New Roman" w:hAnsi="Times New Roman" w:eastAsia="宋体"/>
                <w:b w:val="0"/>
                <w:color w:val="000000"/>
                <w:sz w:val="21"/>
              </w:rPr>
              <w:t>阶段</w:t>
            </w:r>
          </w:p>
        </w:tc>
        <w:tc>
          <w:tcPr>
            <w:tcW w:w="2176" w:type="dxa"/>
            <w:shd w:val="clear" w:color="auto" w:fill="D9E2F3"/>
          </w:tcPr>
          <w:p w14:paraId="6A8927DE">
            <w:pPr>
              <w:spacing w:after="0" w:line="276" w:lineRule="auto"/>
              <w:jc w:val="center"/>
            </w:pPr>
            <w:r>
              <w:rPr>
                <w:rFonts w:ascii="Times New Roman" w:hAnsi="Times New Roman" w:eastAsia="宋体"/>
                <w:b w:val="0"/>
                <w:color w:val="000000"/>
                <w:sz w:val="21"/>
              </w:rPr>
              <w:t>研究问题</w:t>
            </w:r>
          </w:p>
        </w:tc>
        <w:tc>
          <w:tcPr>
            <w:tcW w:w="2176" w:type="dxa"/>
            <w:shd w:val="clear" w:color="auto" w:fill="D9E2F3"/>
          </w:tcPr>
          <w:p w14:paraId="5E726116">
            <w:pPr>
              <w:spacing w:after="0" w:line="276" w:lineRule="auto"/>
              <w:jc w:val="center"/>
            </w:pPr>
            <w:r>
              <w:rPr>
                <w:rFonts w:ascii="Times New Roman" w:hAnsi="Times New Roman" w:eastAsia="宋体"/>
                <w:b w:val="0"/>
                <w:color w:val="000000"/>
                <w:sz w:val="21"/>
              </w:rPr>
              <w:t>主要实验</w:t>
            </w:r>
          </w:p>
        </w:tc>
        <w:tc>
          <w:tcPr>
            <w:tcW w:w="2176" w:type="dxa"/>
            <w:shd w:val="clear" w:color="auto" w:fill="D9E2F3"/>
          </w:tcPr>
          <w:p w14:paraId="60849EAF">
            <w:pPr>
              <w:spacing w:after="0" w:line="276" w:lineRule="auto"/>
              <w:jc w:val="center"/>
            </w:pPr>
            <w:r>
              <w:rPr>
                <w:rFonts w:ascii="Times New Roman" w:hAnsi="Times New Roman" w:eastAsia="宋体"/>
                <w:b w:val="0"/>
                <w:color w:val="000000"/>
                <w:sz w:val="21"/>
              </w:rPr>
              <w:t>结论</w:t>
            </w:r>
          </w:p>
        </w:tc>
      </w:tr>
      <w:tr w14:paraId="7CBA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79321285">
            <w:pPr>
              <w:spacing w:after="0" w:line="276" w:lineRule="auto"/>
              <w:jc w:val="left"/>
            </w:pPr>
            <w:r>
              <w:rPr>
                <w:rFonts w:ascii="Times New Roman" w:hAnsi="Times New Roman" w:eastAsia="宋体"/>
                <w:b w:val="0"/>
                <w:color w:val="000000"/>
                <w:sz w:val="21"/>
              </w:rPr>
              <w:t>一</w:t>
            </w:r>
          </w:p>
        </w:tc>
        <w:tc>
          <w:tcPr>
            <w:tcW w:w="2176" w:type="dxa"/>
          </w:tcPr>
          <w:p w14:paraId="50CDD7E1">
            <w:pPr>
              <w:spacing w:after="0" w:line="276" w:lineRule="auto"/>
              <w:jc w:val="left"/>
            </w:pPr>
            <w:r>
              <w:rPr>
                <w:rFonts w:ascii="Times New Roman" w:hAnsi="Times New Roman" w:eastAsia="宋体"/>
                <w:b w:val="0"/>
                <w:color w:val="000000"/>
                <w:sz w:val="21"/>
              </w:rPr>
              <w:t>用什么切窗口径与主干解码</w:t>
            </w:r>
          </w:p>
        </w:tc>
        <w:tc>
          <w:tcPr>
            <w:tcW w:w="2176" w:type="dxa"/>
          </w:tcPr>
          <w:p w14:paraId="60CBDACC">
            <w:pPr>
              <w:spacing w:after="0" w:line="276" w:lineRule="auto"/>
              <w:jc w:val="left"/>
            </w:pPr>
            <w:r>
              <w:rPr>
                <w:rFonts w:ascii="Times New Roman" w:hAnsi="Times New Roman" w:eastAsia="宋体"/>
                <w:b w:val="0"/>
                <w:color w:val="000000"/>
                <w:sz w:val="21"/>
              </w:rPr>
              <w:t>窗长消融；2 s 口径下十一模型对比</w:t>
            </w:r>
          </w:p>
        </w:tc>
        <w:tc>
          <w:tcPr>
            <w:tcW w:w="2176" w:type="dxa"/>
          </w:tcPr>
          <w:p w14:paraId="409F517A">
            <w:pPr>
              <w:spacing w:after="0" w:line="276" w:lineRule="auto"/>
              <w:jc w:val="left"/>
            </w:pPr>
            <w:r>
              <w:rPr>
                <w:rFonts w:ascii="Times New Roman" w:hAnsi="Times New Roman" w:eastAsia="宋体"/>
                <w:b w:val="0"/>
                <w:color w:val="000000"/>
                <w:sz w:val="21"/>
              </w:rPr>
              <w:t>冻结 3 s / 100 ms；浅层卷积主干（选型在 2 s）</w:t>
            </w:r>
          </w:p>
        </w:tc>
      </w:tr>
      <w:tr w14:paraId="0FD8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1C8B00B">
            <w:pPr>
              <w:spacing w:after="0" w:line="276" w:lineRule="auto"/>
              <w:jc w:val="left"/>
            </w:pPr>
            <w:r>
              <w:rPr>
                <w:rFonts w:ascii="Times New Roman" w:hAnsi="Times New Roman" w:eastAsia="宋体"/>
                <w:b w:val="0"/>
                <w:color w:val="000000"/>
                <w:sz w:val="21"/>
              </w:rPr>
              <w:t>二</w:t>
            </w:r>
          </w:p>
        </w:tc>
        <w:tc>
          <w:tcPr>
            <w:tcW w:w="2176" w:type="dxa"/>
          </w:tcPr>
          <w:p w14:paraId="04F0D49F">
            <w:pPr>
              <w:spacing w:after="0" w:line="276" w:lineRule="auto"/>
              <w:jc w:val="left"/>
            </w:pPr>
            <w:r>
              <w:rPr>
                <w:rFonts w:ascii="Times New Roman" w:hAnsi="Times New Roman" w:eastAsia="宋体"/>
                <w:b w:val="0"/>
                <w:color w:val="000000"/>
                <w:sz w:val="21"/>
              </w:rPr>
              <w:t>增益还能从哪里来</w:t>
            </w:r>
          </w:p>
        </w:tc>
        <w:tc>
          <w:tcPr>
            <w:tcW w:w="2176" w:type="dxa"/>
          </w:tcPr>
          <w:p w14:paraId="51058BDE">
            <w:pPr>
              <w:spacing w:after="0" w:line="276" w:lineRule="auto"/>
              <w:jc w:val="left"/>
            </w:pPr>
            <w:r>
              <w:rPr>
                <w:rFonts w:ascii="Times New Roman" w:hAnsi="Times New Roman" w:eastAsia="宋体"/>
                <w:b w:val="0"/>
                <w:color w:val="000000"/>
                <w:sz w:val="21"/>
              </w:rPr>
              <w:t>机制探查系列（未来信息上界、测试时适配、结构增强）</w:t>
            </w:r>
          </w:p>
        </w:tc>
        <w:tc>
          <w:tcPr>
            <w:tcW w:w="2176" w:type="dxa"/>
          </w:tcPr>
          <w:p w14:paraId="45C374B4">
            <w:pPr>
              <w:spacing w:after="0" w:line="276" w:lineRule="auto"/>
              <w:jc w:val="left"/>
            </w:pPr>
            <w:r>
              <w:rPr>
                <w:rFonts w:ascii="Times New Roman" w:hAnsi="Times New Roman" w:eastAsia="宋体"/>
                <w:b w:val="0"/>
                <w:color w:val="000000"/>
                <w:sz w:val="21"/>
              </w:rPr>
              <w:t>三类方向均阴性；增益在窗口、校准集成与权重适配</w:t>
            </w:r>
          </w:p>
        </w:tc>
      </w:tr>
      <w:tr w14:paraId="0A9B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D09047A">
            <w:pPr>
              <w:spacing w:after="0" w:line="276" w:lineRule="auto"/>
              <w:jc w:val="left"/>
            </w:pPr>
            <w:r>
              <w:rPr>
                <w:rFonts w:ascii="Times New Roman" w:hAnsi="Times New Roman" w:eastAsia="宋体"/>
                <w:b w:val="0"/>
                <w:color w:val="000000"/>
                <w:sz w:val="21"/>
              </w:rPr>
              <w:t>三</w:t>
            </w:r>
          </w:p>
        </w:tc>
        <w:tc>
          <w:tcPr>
            <w:tcW w:w="2176" w:type="dxa"/>
          </w:tcPr>
          <w:p w14:paraId="4629A35C">
            <w:pPr>
              <w:spacing w:after="0" w:line="276" w:lineRule="auto"/>
              <w:jc w:val="left"/>
            </w:pPr>
            <w:r>
              <w:rPr>
                <w:rFonts w:ascii="Times New Roman" w:hAnsi="Times New Roman" w:eastAsia="宋体"/>
                <w:b w:val="0"/>
                <w:color w:val="000000"/>
                <w:sz w:val="21"/>
              </w:rPr>
              <w:t>如何构造稳健底座与在线读出</w:t>
            </w:r>
          </w:p>
        </w:tc>
        <w:tc>
          <w:tcPr>
            <w:tcW w:w="2176" w:type="dxa"/>
          </w:tcPr>
          <w:p w14:paraId="02D1061F">
            <w:pPr>
              <w:spacing w:after="0" w:line="276" w:lineRule="auto"/>
              <w:jc w:val="left"/>
            </w:pPr>
            <w:r>
              <w:rPr>
                <w:rFonts w:ascii="Times New Roman" w:hAnsi="Times New Roman" w:eastAsia="宋体"/>
                <w:b w:val="0"/>
                <w:color w:val="000000"/>
                <w:sz w:val="21"/>
              </w:rPr>
              <w:t>概率校准集成实验与读出因果化对比</w:t>
            </w:r>
          </w:p>
        </w:tc>
        <w:tc>
          <w:tcPr>
            <w:tcW w:w="2176" w:type="dxa"/>
          </w:tcPr>
          <w:p w14:paraId="5762ABA3">
            <w:pPr>
              <w:spacing w:after="0" w:line="276" w:lineRule="auto"/>
              <w:jc w:val="left"/>
            </w:pPr>
            <w:r>
              <w:rPr>
                <w:rFonts w:ascii="Times New Roman" w:hAnsi="Times New Roman" w:eastAsia="宋体"/>
                <w:b w:val="0"/>
                <w:color w:val="000000"/>
                <w:sz w:val="21"/>
              </w:rPr>
              <w:t>CausalFuse-8 定型；因果化不损失精度</w:t>
            </w:r>
          </w:p>
        </w:tc>
      </w:tr>
      <w:tr w14:paraId="25B0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0325BB5B">
            <w:pPr>
              <w:spacing w:after="0" w:line="276" w:lineRule="auto"/>
              <w:jc w:val="left"/>
            </w:pPr>
            <w:r>
              <w:rPr>
                <w:rFonts w:ascii="Times New Roman" w:hAnsi="Times New Roman" w:eastAsia="宋体"/>
                <w:b w:val="0"/>
                <w:color w:val="000000"/>
                <w:sz w:val="21"/>
              </w:rPr>
              <w:t>四</w:t>
            </w:r>
          </w:p>
        </w:tc>
        <w:tc>
          <w:tcPr>
            <w:tcW w:w="2176" w:type="dxa"/>
          </w:tcPr>
          <w:p w14:paraId="0FC047FF">
            <w:pPr>
              <w:spacing w:after="0" w:line="276" w:lineRule="auto"/>
              <w:jc w:val="left"/>
            </w:pPr>
            <w:r>
              <w:rPr>
                <w:rFonts w:ascii="Times New Roman" w:hAnsi="Times New Roman" w:eastAsia="宋体"/>
                <w:b w:val="0"/>
                <w:color w:val="000000"/>
                <w:sz w:val="21"/>
              </w:rPr>
              <w:t>指定集上如何可信评测与提交</w:t>
            </w:r>
          </w:p>
        </w:tc>
        <w:tc>
          <w:tcPr>
            <w:tcW w:w="2176" w:type="dxa"/>
          </w:tcPr>
          <w:p w14:paraId="7175BF3E">
            <w:pPr>
              <w:spacing w:after="0" w:line="276" w:lineRule="auto"/>
              <w:jc w:val="left"/>
            </w:pPr>
            <w:r>
              <w:rPr>
                <w:rFonts w:ascii="Times New Roman" w:hAnsi="Times New Roman" w:eastAsia="宋体"/>
                <w:b w:val="0"/>
                <w:color w:val="000000"/>
                <w:sz w:val="21"/>
              </w:rPr>
              <w:t>指定集留一被试验证与提交决策（指定集评测线）</w:t>
            </w:r>
          </w:p>
        </w:tc>
        <w:tc>
          <w:tcPr>
            <w:tcW w:w="2176" w:type="dxa"/>
          </w:tcPr>
          <w:p w14:paraId="718D230C">
            <w:pPr>
              <w:spacing w:after="0" w:line="276" w:lineRule="auto"/>
              <w:jc w:val="left"/>
            </w:pPr>
            <w:r>
              <w:rPr>
                <w:rFonts w:ascii="Times New Roman" w:hAnsi="Times New Roman" w:eastAsia="宋体"/>
                <w:b w:val="0"/>
                <w:color w:val="000000"/>
                <w:sz w:val="21"/>
              </w:rPr>
              <w:t>QuadFold-59 留一被试读数 51.11%；乐观偏置已量化</w:t>
            </w:r>
          </w:p>
        </w:tc>
      </w:tr>
      <w:tr w14:paraId="59CA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04AD7104">
            <w:pPr>
              <w:spacing w:after="0" w:line="276" w:lineRule="auto"/>
              <w:jc w:val="left"/>
            </w:pPr>
            <w:r>
              <w:rPr>
                <w:rFonts w:ascii="Times New Roman" w:hAnsi="Times New Roman" w:eastAsia="宋体"/>
                <w:b w:val="0"/>
                <w:color w:val="000000"/>
                <w:sz w:val="21"/>
              </w:rPr>
              <w:t>五</w:t>
            </w:r>
          </w:p>
        </w:tc>
        <w:tc>
          <w:tcPr>
            <w:tcW w:w="2176" w:type="dxa"/>
          </w:tcPr>
          <w:p w14:paraId="11239738">
            <w:pPr>
              <w:spacing w:after="0" w:line="276" w:lineRule="auto"/>
              <w:jc w:val="left"/>
            </w:pPr>
            <w:r>
              <w:rPr>
                <w:rFonts w:ascii="Times New Roman" w:hAnsi="Times New Roman" w:eastAsia="宋体"/>
                <w:b w:val="0"/>
                <w:color w:val="000000"/>
                <w:sz w:val="21"/>
              </w:rPr>
              <w:t>个体适配是否必要、如何做</w:t>
            </w:r>
          </w:p>
        </w:tc>
        <w:tc>
          <w:tcPr>
            <w:tcW w:w="2176" w:type="dxa"/>
          </w:tcPr>
          <w:p w14:paraId="25AE5EBB">
            <w:pPr>
              <w:spacing w:after="0" w:line="276" w:lineRule="auto"/>
              <w:jc w:val="left"/>
            </w:pPr>
            <w:r>
              <w:rPr>
                <w:rFonts w:ascii="Times New Roman" w:hAnsi="Times New Roman" w:eastAsia="宋体"/>
                <w:b w:val="0"/>
                <w:color w:val="000000"/>
                <w:sz w:val="21"/>
              </w:rPr>
              <w:t>跨库伪在线迁移与采后逐场次微调系列</w:t>
            </w:r>
          </w:p>
        </w:tc>
        <w:tc>
          <w:tcPr>
            <w:tcW w:w="2176" w:type="dxa"/>
          </w:tcPr>
          <w:p w14:paraId="14A92E19">
            <w:pPr>
              <w:spacing w:after="0" w:line="276" w:lineRule="auto"/>
              <w:jc w:val="left"/>
            </w:pPr>
            <w:r>
              <w:rPr>
                <w:rFonts w:ascii="Times New Roman" w:hAnsi="Times New Roman" w:eastAsia="宋体"/>
                <w:b w:val="0"/>
                <w:color w:val="000000"/>
                <w:sz w:val="21"/>
              </w:rPr>
              <w:t>零样本不足；逐场次权重级微调为最优方案</w:t>
            </w:r>
          </w:p>
        </w:tc>
      </w:tr>
      <w:tr w14:paraId="08EF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9A7C823">
            <w:pPr>
              <w:spacing w:after="0" w:line="276" w:lineRule="auto"/>
              <w:jc w:val="left"/>
            </w:pPr>
            <w:r>
              <w:rPr>
                <w:rFonts w:ascii="Times New Roman" w:hAnsi="Times New Roman" w:eastAsia="宋体"/>
                <w:b w:val="0"/>
                <w:color w:val="000000"/>
                <w:sz w:val="21"/>
              </w:rPr>
              <w:t>六</w:t>
            </w:r>
          </w:p>
        </w:tc>
        <w:tc>
          <w:tcPr>
            <w:tcW w:w="2176" w:type="dxa"/>
          </w:tcPr>
          <w:p w14:paraId="0600BCFA">
            <w:pPr>
              <w:spacing w:after="0" w:line="276" w:lineRule="auto"/>
              <w:jc w:val="left"/>
            </w:pPr>
            <w:r>
              <w:rPr>
                <w:rFonts w:ascii="Times New Roman" w:hAnsi="Times New Roman" w:eastAsia="宋体"/>
                <w:b w:val="0"/>
                <w:color w:val="000000"/>
                <w:sz w:val="21"/>
              </w:rPr>
              <w:t>真实被试上闭环是否成立</w:t>
            </w:r>
          </w:p>
        </w:tc>
        <w:tc>
          <w:tcPr>
            <w:tcW w:w="2176" w:type="dxa"/>
          </w:tcPr>
          <w:p w14:paraId="22C40FF2">
            <w:pPr>
              <w:spacing w:after="0" w:line="276" w:lineRule="auto"/>
              <w:jc w:val="left"/>
            </w:pPr>
            <w:r>
              <w:rPr>
                <w:rFonts w:ascii="Times New Roman" w:hAnsi="Times New Roman" w:eastAsia="宋体"/>
                <w:b w:val="0"/>
                <w:color w:val="000000"/>
                <w:sz w:val="21"/>
              </w:rPr>
              <w:t>真人被试全队列验证</w:t>
            </w:r>
          </w:p>
        </w:tc>
        <w:tc>
          <w:tcPr>
            <w:tcW w:w="2176" w:type="dxa"/>
          </w:tcPr>
          <w:p w14:paraId="6432012F">
            <w:pPr>
              <w:spacing w:after="0" w:line="276" w:lineRule="auto"/>
              <w:jc w:val="left"/>
            </w:pPr>
            <w:r>
              <w:rPr>
                <w:rFonts w:ascii="Times New Roman" w:hAnsi="Times New Roman" w:eastAsia="宋体"/>
                <w:b w:val="0"/>
                <w:color w:val="000000"/>
                <w:sz w:val="21"/>
              </w:rPr>
              <w:t>20 人：末档微调窗级均值 47.60%（零样本 37.50%），最优 92.40%，12/20 过门控</w:t>
            </w:r>
          </w:p>
        </w:tc>
      </w:tr>
    </w:tbl>
    <w:p w14:paraId="70F33B9D">
      <w:pPr>
        <w:spacing w:after="60"/>
      </w:pPr>
    </w:p>
    <w:p w14:paraId="75C98266">
      <w:pPr>
        <w:spacing w:before="0" w:after="120" w:line="312" w:lineRule="auto"/>
        <w:ind w:firstLine="480"/>
        <w:jc w:val="both"/>
      </w:pPr>
      <w:r>
        <w:rPr>
          <w:rFonts w:ascii="Times New Roman" w:hAnsi="Times New Roman" w:eastAsia="宋体"/>
          <w:b w:val="0"/>
          <w:color w:val="000000"/>
          <w:sz w:val="24"/>
        </w:rPr>
        <w:t>全部实验分两条线：系统主线（阶段一→二→三→五→六）完成选型、机制探查、集成底座定型、个体适配与真人闭环；指定集评测线（阶段四）在主办方指定数据集上从零训练 QuadFold-59 并以留一被试验证提交，与主线并行、不依赖 8 通道底座。两条线互不混用权重与切窗口径；主题与结论总览见附录 A。</w:t>
      </w:r>
    </w:p>
    <w:p w14:paraId="786EDF81">
      <w:pPr>
        <w:pStyle w:val="4"/>
        <w:spacing w:before="200" w:after="160" w:line="312" w:lineRule="auto"/>
      </w:pPr>
      <w:bookmarkStart w:id="4" w:name="_Toc32568"/>
      <w:r>
        <w:rPr>
          <w:rFonts w:ascii="Times New Roman" w:hAnsi="Times New Roman" w:eastAsia="黑体"/>
          <w:b/>
          <w:color w:val="000000"/>
          <w:sz w:val="30"/>
        </w:rPr>
        <w:t>1.3 与赛题要求的对应</w:t>
      </w:r>
      <w:bookmarkEnd w:id="4"/>
    </w:p>
    <w:p w14:paraId="53723C27">
      <w:pPr>
        <w:spacing w:before="0" w:after="120" w:line="312" w:lineRule="auto"/>
        <w:ind w:firstLine="480"/>
        <w:jc w:val="both"/>
      </w:pPr>
      <w:r>
        <w:rPr>
          <w:rFonts w:ascii="Times New Roman" w:hAnsi="Times New Roman" w:eastAsia="宋体"/>
          <w:b w:val="0"/>
          <w:color w:val="000000"/>
          <w:sz w:val="24"/>
        </w:rPr>
        <w:t>赛题的攻关任务——三类认知状态分类与实时识别、自采数据佐证、可演示系统——分别对应本报告第 3 章、3.6 节与第 2 章及随附演示视频。答题要求的四部分交付物中：本报告对应"技术报告"；离线性能验证结果（主办方指定标准数据集上的分类准确率、召回率、特异性与运算延迟等量化指标）见随附 Excel 报告；在线交互演示视频（MP4，≤10 分钟，含实时采集、三类实时分类、视觉反馈与状态切换响应四要素）随报告一并提交；算法源代码以压缩包形式附上，附编程语言、运行环境与使用说明，便于评审复现核查。逐项对照见附录 C。</w:t>
      </w:r>
    </w:p>
    <w:p w14:paraId="4A31312F">
      <w:pPr>
        <w:spacing w:before="0" w:after="120" w:line="312" w:lineRule="auto"/>
        <w:ind w:firstLine="480"/>
        <w:jc w:val="both"/>
      </w:pPr>
      <w:r>
        <w:rPr>
          <w:rFonts w:ascii="Times New Roman" w:hAnsi="Times New Roman" w:eastAsia="宋体"/>
          <w:b w:val="0"/>
          <w:color w:val="000000"/>
          <w:sz w:val="24"/>
        </w:rPr>
        <w:t>创新点： 本工作的创新主要在系统怎么串起来、怎么评得住，而不在另起一个新网络。第一，全链路整合：把预处理、窗长选型、四成员温度校准融合、因果滑窗读出、采后逐场次增量微调、场次质量门控，以及可演示实时交互（网页游戏 + 操作台）收成一套可部署、可复现的系统，各环节按整体证据取舍。第二，部署方案：提出并验证「采后逐场次微调 + 场次质量门控」——用逐场增量跟踪状态漂移，用保留评测门控与权重回滚控制晋升风险。第三，预注册评测纪律：超参与阈值只在验证集选定、测试集只评一次、显著性用配对检验确认，并在指定集小样本折下量化折内融合的乐观偏置。</w:t>
      </w:r>
    </w:p>
    <w:p w14:paraId="4388D72F">
      <w:pPr>
        <w:pStyle w:val="4"/>
        <w:spacing w:before="200" w:after="160" w:line="312" w:lineRule="auto"/>
      </w:pPr>
      <w:bookmarkStart w:id="5" w:name="_Toc15675"/>
      <w:r>
        <w:rPr>
          <w:rFonts w:ascii="Times New Roman" w:hAnsi="Times New Roman" w:eastAsia="黑体"/>
          <w:b/>
          <w:color w:val="000000"/>
          <w:sz w:val="30"/>
        </w:rPr>
        <w:t>1.4 核心结果一览</w:t>
      </w:r>
      <w:bookmarkEnd w:id="5"/>
    </w:p>
    <w:p w14:paraId="63568E70">
      <w:pPr>
        <w:spacing w:before="0" w:after="120" w:line="312" w:lineRule="auto"/>
        <w:ind w:firstLine="480"/>
        <w:jc w:val="both"/>
      </w:pPr>
      <w:r>
        <w:rPr>
          <w:rFonts w:ascii="Times New Roman" w:hAnsi="Times New Roman" w:eastAsia="宋体"/>
          <w:b w:val="0"/>
          <w:color w:val="000000"/>
          <w:sz w:val="24"/>
        </w:rPr>
        <w:t>下表汇总全文最重要的六组数字及对应结论。各数字的实验口径、统计检验与更细结果见括号内章节。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45DA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04887921">
            <w:pPr>
              <w:spacing w:after="0" w:line="276" w:lineRule="auto"/>
              <w:jc w:val="center"/>
            </w:pPr>
            <w:r>
              <w:rPr>
                <w:rFonts w:ascii="Times New Roman" w:hAnsi="Times New Roman" w:eastAsia="宋体"/>
                <w:b w:val="0"/>
                <w:color w:val="000000"/>
                <w:sz w:val="21"/>
              </w:rPr>
              <w:t>评测场景</w:t>
            </w:r>
          </w:p>
        </w:tc>
        <w:tc>
          <w:tcPr>
            <w:tcW w:w="2902" w:type="dxa"/>
            <w:shd w:val="clear" w:color="auto" w:fill="D9E2F3"/>
          </w:tcPr>
          <w:p w14:paraId="5AB5D0A0">
            <w:pPr>
              <w:spacing w:after="0" w:line="276" w:lineRule="auto"/>
              <w:jc w:val="center"/>
            </w:pPr>
            <w:r>
              <w:rPr>
                <w:rFonts w:ascii="Times New Roman" w:hAnsi="Times New Roman" w:eastAsia="宋体"/>
                <w:b w:val="0"/>
                <w:color w:val="000000"/>
                <w:sz w:val="21"/>
              </w:rPr>
              <w:t>关键数字</w:t>
            </w:r>
          </w:p>
        </w:tc>
        <w:tc>
          <w:tcPr>
            <w:tcW w:w="2902" w:type="dxa"/>
            <w:shd w:val="clear" w:color="auto" w:fill="D9E2F3"/>
          </w:tcPr>
          <w:p w14:paraId="61862D17">
            <w:pPr>
              <w:spacing w:after="0" w:line="276" w:lineRule="auto"/>
              <w:jc w:val="center"/>
            </w:pPr>
            <w:r>
              <w:rPr>
                <w:rFonts w:ascii="Times New Roman" w:hAnsi="Times New Roman" w:eastAsia="宋体"/>
                <w:b w:val="0"/>
                <w:color w:val="000000"/>
                <w:sz w:val="21"/>
              </w:rPr>
              <w:t>一句话结论</w:t>
            </w:r>
          </w:p>
        </w:tc>
      </w:tr>
      <w:tr w14:paraId="10C5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E2F47CE">
            <w:pPr>
              <w:spacing w:after="0" w:line="276" w:lineRule="auto"/>
              <w:jc w:val="left"/>
            </w:pPr>
            <w:r>
              <w:rPr>
                <w:rFonts w:ascii="Times New Roman" w:hAnsi="Times New Roman" w:eastAsia="宋体"/>
                <w:b w:val="0"/>
                <w:color w:val="000000"/>
                <w:sz w:val="21"/>
              </w:rPr>
              <w:t>OpenBMI 公开集，被试独立五折，三分类窗级（3.3 节）</w:t>
            </w:r>
          </w:p>
        </w:tc>
        <w:tc>
          <w:tcPr>
            <w:tcW w:w="2902" w:type="dxa"/>
          </w:tcPr>
          <w:p w14:paraId="4CD0AF68">
            <w:pPr>
              <w:spacing w:after="0" w:line="276" w:lineRule="auto"/>
              <w:jc w:val="left"/>
            </w:pPr>
            <w:r>
              <w:rPr>
                <w:rFonts w:ascii="Times New Roman" w:hAnsi="Times New Roman" w:eastAsia="宋体"/>
                <w:b w:val="0"/>
                <w:color w:val="000000"/>
                <w:sz w:val="21"/>
              </w:rPr>
              <w:t>61.88%；试次级多数票 61.25%，macro 特异性 80.94%</w:t>
            </w:r>
          </w:p>
        </w:tc>
        <w:tc>
          <w:tcPr>
            <w:tcW w:w="2902" w:type="dxa"/>
          </w:tcPr>
          <w:p w14:paraId="4F0038A8">
            <w:pPr>
              <w:spacing w:after="0" w:line="276" w:lineRule="auto"/>
              <w:jc w:val="left"/>
            </w:pPr>
            <w:r>
              <w:rPr>
                <w:rFonts w:ascii="Times New Roman" w:hAnsi="Times New Roman" w:eastAsia="宋体"/>
                <w:b w:val="0"/>
                <w:color w:val="000000"/>
                <w:sz w:val="21"/>
              </w:rPr>
              <w:t>四成员校准融合底座稳定高于浅层单模型（58.08%）与机会水平</w:t>
            </w:r>
          </w:p>
        </w:tc>
      </w:tr>
      <w:tr w14:paraId="3826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C7131A0">
            <w:pPr>
              <w:spacing w:after="0" w:line="276" w:lineRule="auto"/>
              <w:jc w:val="left"/>
            </w:pPr>
            <w:r>
              <w:rPr>
                <w:rFonts w:ascii="Times New Roman" w:hAnsi="Times New Roman" w:eastAsia="宋体"/>
                <w:b w:val="0"/>
                <w:color w:val="000000"/>
                <w:sz w:val="21"/>
              </w:rPr>
              <w:t>主办方指定数据集，59 通道，留一被试六折（3.4 节）</w:t>
            </w:r>
          </w:p>
        </w:tc>
        <w:tc>
          <w:tcPr>
            <w:tcW w:w="2902" w:type="dxa"/>
          </w:tcPr>
          <w:p w14:paraId="091A32C8">
            <w:pPr>
              <w:spacing w:after="0" w:line="276" w:lineRule="auto"/>
              <w:jc w:val="left"/>
            </w:pPr>
            <w:r>
              <w:rPr>
                <w:rFonts w:ascii="Times New Roman" w:hAnsi="Times New Roman" w:eastAsia="宋体"/>
                <w:b w:val="0"/>
                <w:color w:val="000000"/>
                <w:sz w:val="21"/>
              </w:rPr>
              <w:t>51.11%±6.57%（折内准确率 55.80%）</w:t>
            </w:r>
          </w:p>
        </w:tc>
        <w:tc>
          <w:tcPr>
            <w:tcW w:w="2902" w:type="dxa"/>
          </w:tcPr>
          <w:p w14:paraId="44AD1CB6">
            <w:pPr>
              <w:spacing w:after="0" w:line="276" w:lineRule="auto"/>
              <w:jc w:val="left"/>
            </w:pPr>
            <w:r>
              <w:rPr>
                <w:rFonts w:ascii="Times New Roman" w:hAnsi="Times New Roman" w:eastAsia="宋体"/>
                <w:b w:val="0"/>
                <w:color w:val="000000"/>
                <w:sz w:val="21"/>
              </w:rPr>
              <w:t>留一被试准确率为小样本折下唯一可信结果，折内乐观偏置 +4.7 个百分点已量化</w:t>
            </w:r>
          </w:p>
        </w:tc>
      </w:tr>
      <w:tr w14:paraId="2672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61725EA">
            <w:pPr>
              <w:spacing w:after="0" w:line="276" w:lineRule="auto"/>
              <w:jc w:val="left"/>
            </w:pPr>
            <w:r>
              <w:rPr>
                <w:rFonts w:ascii="Times New Roman" w:hAnsi="Times New Roman" w:eastAsia="宋体"/>
                <w:b w:val="0"/>
                <w:color w:val="000000"/>
                <w:sz w:val="21"/>
              </w:rPr>
              <w:t>Stieger 跨库伪在线，24 人（3.5 节）</w:t>
            </w:r>
          </w:p>
        </w:tc>
        <w:tc>
          <w:tcPr>
            <w:tcW w:w="2902" w:type="dxa"/>
          </w:tcPr>
          <w:p w14:paraId="0A11906D">
            <w:pPr>
              <w:spacing w:after="0" w:line="276" w:lineRule="auto"/>
              <w:jc w:val="left"/>
            </w:pPr>
            <w:r>
              <w:rPr>
                <w:rFonts w:ascii="Times New Roman" w:hAnsi="Times New Roman" w:eastAsia="宋体"/>
                <w:b w:val="0"/>
                <w:color w:val="000000"/>
                <w:sz w:val="21"/>
              </w:rPr>
              <w:t>零样本 41.98% → 采后微调 65.90%</w:t>
            </w:r>
          </w:p>
        </w:tc>
        <w:tc>
          <w:tcPr>
            <w:tcW w:w="2902" w:type="dxa"/>
          </w:tcPr>
          <w:p w14:paraId="1CCC8D75">
            <w:pPr>
              <w:spacing w:after="0" w:line="276" w:lineRule="auto"/>
              <w:jc w:val="left"/>
            </w:pPr>
            <w:r>
              <w:rPr>
                <w:rFonts w:ascii="Times New Roman" w:hAnsi="Times New Roman" w:eastAsia="宋体"/>
                <w:b w:val="0"/>
                <w:color w:val="000000"/>
                <w:sz w:val="21"/>
              </w:rPr>
              <w:t>跨库部署零样本不可用，采后微调是必要环节</w:t>
            </w:r>
          </w:p>
        </w:tc>
      </w:tr>
      <w:tr w14:paraId="04E1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DF9021C">
            <w:pPr>
              <w:spacing w:after="0" w:line="276" w:lineRule="auto"/>
              <w:jc w:val="left"/>
            </w:pPr>
            <w:r>
              <w:rPr>
                <w:rFonts w:ascii="Times New Roman" w:hAnsi="Times New Roman" w:eastAsia="宋体"/>
                <w:b w:val="0"/>
                <w:color w:val="000000"/>
                <w:sz w:val="21"/>
              </w:rPr>
              <w:t>BCI2a 逐场次微调仿真，9 人 × 6 轮（3.5 节）</w:t>
            </w:r>
          </w:p>
        </w:tc>
        <w:tc>
          <w:tcPr>
            <w:tcW w:w="2902" w:type="dxa"/>
          </w:tcPr>
          <w:p w14:paraId="2AE3F753">
            <w:pPr>
              <w:spacing w:after="0" w:line="276" w:lineRule="auto"/>
              <w:jc w:val="left"/>
            </w:pPr>
            <w:r>
              <w:rPr>
                <w:rFonts w:ascii="Times New Roman" w:hAnsi="Times New Roman" w:eastAsia="宋体"/>
                <w:b w:val="0"/>
                <w:color w:val="000000"/>
                <w:sz w:val="21"/>
              </w:rPr>
              <w:t>末档 66.30%，较仅微调浅层单成员 +21.1 个百分点</w:t>
            </w:r>
          </w:p>
        </w:tc>
        <w:tc>
          <w:tcPr>
            <w:tcW w:w="2902" w:type="dxa"/>
          </w:tcPr>
          <w:p w14:paraId="3D53EA39">
            <w:pPr>
              <w:spacing w:after="0" w:line="276" w:lineRule="auto"/>
              <w:jc w:val="left"/>
            </w:pPr>
            <w:r>
              <w:rPr>
                <w:rFonts w:ascii="Times New Roman" w:hAnsi="Times New Roman" w:eastAsia="宋体"/>
                <w:b w:val="0"/>
                <w:color w:val="000000"/>
                <w:sz w:val="21"/>
              </w:rPr>
              <w:t>个体适配需覆盖全部集成成员</w:t>
            </w:r>
          </w:p>
        </w:tc>
      </w:tr>
      <w:tr w14:paraId="07E8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FCA369B">
            <w:pPr>
              <w:spacing w:after="0" w:line="276" w:lineRule="auto"/>
              <w:jc w:val="left"/>
            </w:pPr>
            <w:r>
              <w:rPr>
                <w:rFonts w:ascii="Times New Roman" w:hAnsi="Times New Roman" w:eastAsia="宋体"/>
                <w:b w:val="0"/>
                <w:color w:val="000000"/>
                <w:sz w:val="21"/>
              </w:rPr>
              <w:t>真人闭环验证，20 人（3.6 节）</w:t>
            </w:r>
          </w:p>
        </w:tc>
        <w:tc>
          <w:tcPr>
            <w:tcW w:w="2902" w:type="dxa"/>
          </w:tcPr>
          <w:p w14:paraId="4DCA2666">
            <w:pPr>
              <w:spacing w:after="0" w:line="276" w:lineRule="auto"/>
              <w:jc w:val="left"/>
            </w:pPr>
            <w:r>
              <w:rPr>
                <w:rFonts w:ascii="Times New Roman" w:hAnsi="Times New Roman" w:eastAsia="宋体"/>
                <w:b w:val="0"/>
                <w:color w:val="000000"/>
                <w:sz w:val="21"/>
              </w:rPr>
              <w:t>末档均值 47.60%，最优 92.40%，12/20 过门控</w:t>
            </w:r>
          </w:p>
        </w:tc>
        <w:tc>
          <w:tcPr>
            <w:tcW w:w="2902" w:type="dxa"/>
          </w:tcPr>
          <w:p w14:paraId="21562AEA">
            <w:pPr>
              <w:spacing w:after="0" w:line="276" w:lineRule="auto"/>
              <w:jc w:val="left"/>
            </w:pPr>
            <w:r>
              <w:rPr>
                <w:rFonts w:ascii="Times New Roman" w:hAnsi="Times New Roman" w:eastAsia="宋体"/>
                <w:b w:val="0"/>
                <w:color w:val="000000"/>
                <w:sz w:val="21"/>
              </w:rPr>
              <w:t>闭环可用，但个体差异大，说明需要个性化适配</w:t>
            </w:r>
          </w:p>
        </w:tc>
      </w:tr>
      <w:tr w14:paraId="425A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1FF7F8E">
            <w:pPr>
              <w:spacing w:after="0" w:line="276" w:lineRule="auto"/>
              <w:jc w:val="left"/>
            </w:pPr>
            <w:r>
              <w:rPr>
                <w:rFonts w:ascii="Times New Roman" w:hAnsi="Times New Roman" w:eastAsia="宋体"/>
                <w:b w:val="0"/>
                <w:color w:val="000000"/>
                <w:sz w:val="21"/>
              </w:rPr>
              <w:t>在线延迟（2.6 节）</w:t>
            </w:r>
          </w:p>
        </w:tc>
        <w:tc>
          <w:tcPr>
            <w:tcW w:w="2902" w:type="dxa"/>
          </w:tcPr>
          <w:p w14:paraId="3D2D5975">
            <w:pPr>
              <w:spacing w:after="0" w:line="276" w:lineRule="auto"/>
              <w:jc w:val="left"/>
            </w:pPr>
            <w:r>
              <w:rPr>
                <w:rFonts w:ascii="Times New Roman" w:hAnsi="Times New Roman" w:eastAsia="宋体"/>
                <w:b w:val="0"/>
                <w:color w:val="000000"/>
                <w:sz w:val="21"/>
              </w:rPr>
              <w:t>单窗前向 1.11 ms，判定延迟约 3.5 s</w:t>
            </w:r>
          </w:p>
        </w:tc>
        <w:tc>
          <w:tcPr>
            <w:tcW w:w="2902" w:type="dxa"/>
          </w:tcPr>
          <w:p w14:paraId="5675A531">
            <w:pPr>
              <w:spacing w:after="0" w:line="276" w:lineRule="auto"/>
              <w:jc w:val="left"/>
            </w:pPr>
            <w:r>
              <w:rPr>
                <w:rFonts w:ascii="Times New Roman" w:hAnsi="Times New Roman" w:eastAsia="宋体"/>
                <w:b w:val="0"/>
                <w:color w:val="000000"/>
                <w:sz w:val="21"/>
              </w:rPr>
              <w:t>延迟由切窗口径冻结的窗口时程决定，确定、可预期</w:t>
            </w:r>
          </w:p>
        </w:tc>
      </w:tr>
    </w:tbl>
    <w:p w14:paraId="2DFEDA53">
      <w:pPr>
        <w:spacing w:after="60"/>
      </w:pPr>
    </w:p>
    <w:p w14:paraId="4A307957">
      <w:pPr>
        <w:spacing w:before="0" w:after="120" w:line="312" w:lineRule="auto"/>
        <w:ind w:firstLine="480"/>
        <w:jc w:val="both"/>
      </w:pPr>
      <w:r>
        <w:rPr>
          <w:rFonts w:ascii="Times New Roman" w:hAnsi="Times New Roman" w:eastAsia="宋体"/>
          <w:b w:val="0"/>
          <w:color w:val="000000"/>
          <w:sz w:val="24"/>
        </w:rPr>
        <w:t>综上：公开集与指定集给出离线主要结果；跨库与仿真支持「采后逐场次微调」这一适配方案；真人队列验证了闭环可用性；可演示在线系统（游戏+操作台）的判定延迟满足交互节拍。</w:t>
      </w:r>
    </w:p>
    <w:p w14:paraId="469F00B2">
      <w:pPr>
        <w:pStyle w:val="3"/>
        <w:spacing w:before="280" w:after="160" w:line="312" w:lineRule="auto"/>
        <w:jc w:val="center"/>
      </w:pPr>
      <w:bookmarkStart w:id="6" w:name="_Toc1275"/>
      <w:r>
        <w:rPr>
          <w:rFonts w:ascii="Times New Roman" w:hAnsi="Times New Roman" w:eastAsia="黑体"/>
          <w:b/>
          <w:color w:val="000000"/>
          <w:sz w:val="32"/>
        </w:rPr>
        <w:t>2 系统与方法</w:t>
      </w:r>
      <w:bookmarkEnd w:id="6"/>
    </w:p>
    <w:p w14:paraId="33966AF8">
      <w:pPr>
        <w:pStyle w:val="4"/>
        <w:spacing w:before="200" w:after="160" w:line="312" w:lineRule="auto"/>
      </w:pPr>
      <w:bookmarkStart w:id="7" w:name="_Toc6484"/>
      <w:r>
        <w:rPr>
          <w:rFonts w:ascii="Times New Roman" w:hAnsi="Times New Roman" w:eastAsia="黑体"/>
          <w:b/>
          <w:color w:val="000000"/>
          <w:sz w:val="30"/>
        </w:rPr>
        <w:t>2.1 总体架构</w:t>
      </w:r>
      <w:bookmarkEnd w:id="7"/>
    </w:p>
    <w:p w14:paraId="2C481E28">
      <w:pPr>
        <w:spacing w:before="0" w:after="120" w:line="312" w:lineRule="auto"/>
        <w:ind w:firstLine="480"/>
        <w:jc w:val="both"/>
      </w:pPr>
      <w:r>
        <w:rPr>
          <w:rFonts w:ascii="Times New Roman" w:hAnsi="Times New Roman" w:eastAsia="宋体"/>
          <w:b w:val="0"/>
          <w:color w:val="000000"/>
          <w:sz w:val="24"/>
        </w:rPr>
        <w:t>系统按三步推进：预训练底座 → 自采增量 → 采后逐场微调。第一步在 OpenBMI 54 人公开数据上，按统一切窗口径与预处理预训练通用底座[4]；第二步以自采数据对底座做增量微调；第三步为场次级采后适配——新用户每完成一个采集会话后执行离线增量微调（已完成会话为训练集、下一会话为保留评测集），生成用户专属模型，置于实时判定路径之外（非会话内实时校准）。数据流为：公开数据统一切窗进入预训练底座；新用户在网页游戏范式下采集会话（8 通道 250 Hz）；采后微调与模型晋升；在线三类实时分类与游戏反馈；会话数据回灌。上述三步描述的是系统主线；主线之外另设一条并行指定集评测线：针对主办方指定数据集（59 通道、每试次一窗）从零训练同构四成员集成 QuadFold-59（见 2.4 节），仅用于指定集评测与提交（3.4 节），不进入在线系统。</w:t>
      </w:r>
    </w:p>
    <w:p w14:paraId="3630A588">
      <w:pPr>
        <w:spacing w:before="0" w:after="120" w:line="312" w:lineRule="auto"/>
        <w:ind w:firstLine="480"/>
        <w:jc w:val="both"/>
      </w:pPr>
      <w:r>
        <w:rPr>
          <w:rFonts w:ascii="Times New Roman" w:hAnsi="Times New Roman" w:eastAsia="宋体"/>
          <w:b w:val="0"/>
          <w:color w:val="000000"/>
          <w:sz w:val="24"/>
        </w:rPr>
        <w:t>系统实验闭环总览如图 1 所示：受试者佩戴八导电极完成 OpenBMI-Align 范式，脑电经 OpenBCI Cyton 与 LSL 进入主机，经 3 s/100 ms 滑窗预处理后由 CausalFuse-8 四成员融合解码，结果推送游戏前端与操作台；会话落盘后由操作台启动 Leave-Next 微调，完成后个体模型可晋升并在下一场加载。硬件特写、佩戴实拍与界面局部见图 2–图 4；软件分层架构见图 5。</w:t>
      </w:r>
    </w:p>
    <w:p w14:paraId="59FFA2F2">
      <w:pPr>
        <w:spacing w:before="120" w:after="80"/>
        <w:jc w:val="center"/>
      </w:pPr>
      <w:r>
        <w:drawing>
          <wp:inline distT="0" distB="0" distL="114300" distR="114300">
            <wp:extent cx="5219700" cy="2936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2936250"/>
                    </a:xfrm>
                    <a:prstGeom prst="rect">
                      <a:avLst/>
                    </a:prstGeom>
                  </pic:spPr>
                </pic:pic>
              </a:graphicData>
            </a:graphic>
          </wp:inline>
        </w:drawing>
      </w:r>
    </w:p>
    <w:p w14:paraId="24F3262E">
      <w:pPr>
        <w:spacing w:before="40" w:after="160" w:line="312" w:lineRule="auto"/>
        <w:jc w:val="center"/>
      </w:pPr>
      <w:r>
        <w:rPr>
          <w:rFonts w:ascii="Times New Roman" w:hAnsi="Times New Roman" w:eastAsia="宋体"/>
          <w:b w:val="0"/>
          <w:color w:val="000000"/>
          <w:sz w:val="21"/>
        </w:rPr>
        <w:t>图 1　运动想象 BCI 完整系统实验总览。左起五栏为实时主链路（A 实验现场 → B 信号采集 → C 预处理与供窗 → D CausalFuse-8 解码 → E 人机交互界面），底栏 F 为实时路径外的采后适配（落盘 → Leave-Next 微调 → 门控晋升）。图面为按实物硬件与界面绘制的示意图（不嵌实拍缩略图）；操作台为示意，实拍波形/概率界面见演示视频；硬件特写、佩戴与游戏界面局部见图 2–图 4。</w:t>
      </w:r>
    </w:p>
    <w:p w14:paraId="7EE791EC">
      <w:pPr>
        <w:spacing w:before="0" w:after="120" w:line="312" w:lineRule="auto"/>
        <w:ind w:firstLine="480"/>
        <w:jc w:val="both"/>
      </w:pPr>
      <w:r>
        <w:rPr>
          <w:rFonts w:ascii="Times New Roman" w:hAnsi="Times New Roman" w:eastAsia="宋体"/>
          <w:b w:val="0"/>
          <w:color w:val="000000"/>
          <w:sz w:val="24"/>
        </w:rPr>
        <w:t>系统采集硬件实物如图 2 所示：电极帽与 OpenBCI Cyton 放大器构成采集前端，脑电信号经 BrainFlow 驱动与 LSL 因果推流进入采集主机，主机完成采集质检、滑窗推理与采后微调，判定结果经 WebSocket 网关推送游戏前端与操作台，形成"采集—解码—反馈—采后适配"闭环。</w:t>
      </w:r>
    </w:p>
    <w:p w14:paraId="57B3BAA5">
      <w:pPr>
        <w:spacing w:before="120" w:after="80"/>
        <w:jc w:val="center"/>
      </w:pPr>
      <w:r>
        <w:drawing>
          <wp:inline distT="0" distB="0" distL="114300" distR="114300">
            <wp:extent cx="5219700" cy="6954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6954571"/>
                    </a:xfrm>
                    <a:prstGeom prst="rect">
                      <a:avLst/>
                    </a:prstGeom>
                  </pic:spPr>
                </pic:pic>
              </a:graphicData>
            </a:graphic>
          </wp:inline>
        </w:drawing>
      </w:r>
    </w:p>
    <w:p w14:paraId="753A952C">
      <w:pPr>
        <w:spacing w:before="40" w:after="160" w:line="312" w:lineRule="auto"/>
        <w:jc w:val="center"/>
      </w:pPr>
      <w:r>
        <w:rPr>
          <w:rFonts w:ascii="Times New Roman" w:hAnsi="Times New Roman" w:eastAsia="宋体"/>
          <w:b w:val="0"/>
          <w:color w:val="000000"/>
          <w:sz w:val="21"/>
        </w:rPr>
        <w:t>图 2　系统采集硬件实物。上：八通道干电极脑电帽（10–20 系统运动皮层位点）；下左：手持 OpenBCI Cyton 板；下右：Cyton 与电池组及跳线组装。信号链路为电极帽 → Cyton（250 Hz 采样；板载带通/陷波关闭，输出原始采样）→ 采集主机（BrainFlow / LSL）→ WebSocket 网关 → 游戏前端/操作台；频带滤波在主机软件预处理完成（见 2.3 节），分层软件架构见图 5。</w:t>
      </w:r>
    </w:p>
    <w:p w14:paraId="175603BE">
      <w:pPr>
        <w:spacing w:before="0" w:after="120" w:line="312" w:lineRule="auto"/>
        <w:ind w:firstLine="480"/>
        <w:jc w:val="both"/>
      </w:pPr>
      <w:r>
        <w:rPr>
          <w:rFonts w:ascii="Times New Roman" w:hAnsi="Times New Roman" w:eastAsia="宋体"/>
          <w:b w:val="0"/>
          <w:color w:val="000000"/>
          <w:sz w:val="24"/>
        </w:rPr>
        <w:t>三条设计原则贯穿全系统：通道集合与轴序全链路冻结（附录 B）；范式时序与微调策略冻结于配置文件，文档与代码冲突时以配置为准；每会话原始脑电、事件、清单与模型快照全部落盘，任何评测可从原始数据重放。</w:t>
      </w:r>
    </w:p>
    <w:p w14:paraId="569FB43C">
      <w:pPr>
        <w:spacing w:before="0" w:after="120" w:line="312" w:lineRule="auto"/>
        <w:ind w:firstLine="480"/>
        <w:jc w:val="both"/>
      </w:pPr>
      <w:r>
        <w:rPr>
          <w:rFonts w:ascii="Times New Roman" w:hAnsi="Times New Roman" w:eastAsia="宋体"/>
          <w:b w:val="0"/>
          <w:color w:val="000000"/>
          <w:sz w:val="24"/>
        </w:rPr>
        <w:t>与上述主线对应，本章按"模型结构（2.4：在线底座 CausalFuse-8 与并行离线模型 QuadFold-59）→ 在线模型（2.5：采后逐场次增量微调与适配态）→ 在线交互系统（2.6：异步交互机制与实时架构）"的顺序展开；数据采集（2.2）与预处理（2.3）为其共用输入端（含指定集评测线的口径分叉说明）。</w:t>
      </w:r>
    </w:p>
    <w:p w14:paraId="15960B82">
      <w:pPr>
        <w:pStyle w:val="4"/>
        <w:spacing w:before="200" w:after="160" w:line="312" w:lineRule="auto"/>
      </w:pPr>
      <w:bookmarkStart w:id="8" w:name="_Toc1708"/>
      <w:r>
        <w:rPr>
          <w:rFonts w:ascii="Times New Roman" w:hAnsi="Times New Roman" w:eastAsia="黑体"/>
          <w:b/>
          <w:color w:val="000000"/>
          <w:sz w:val="30"/>
        </w:rPr>
        <w:t>2.2 数据采集规范</w:t>
      </w:r>
      <w:bookmarkEnd w:id="8"/>
    </w:p>
    <w:p w14:paraId="13163866">
      <w:pPr>
        <w:spacing w:before="0" w:after="120" w:line="312" w:lineRule="auto"/>
        <w:ind w:firstLine="480"/>
        <w:jc w:val="both"/>
      </w:pPr>
      <w:r>
        <w:rPr>
          <w:rFonts w:ascii="Times New Roman" w:hAnsi="Times New Roman" w:eastAsia="宋体"/>
          <w:b w:val="0"/>
          <w:color w:val="000000"/>
          <w:sz w:val="24"/>
        </w:rPr>
        <w:t>自采被试均为健康成年人，实验前签署知情同意书，脑电数据脱敏编号后仅用于本赛题研究。采集设备为 OpenBCI Cyton 8 通道放大器[13]，信号经 BrainFlow 驱动[11]与 Lab Streaming Layer 因果推流[12]进入采集主机。电极覆盖运动皮层（FC3, C3, CP3, CZ, CPZ, FC4, C4, CP4），采样率 250 Hz；Cyton 板载带通与 50 Hz 陷波已关闭，主机侧按 2.3 节统一做 CAR 与 8–30 Hz 带通等预处理。受试者佩戴与采集现场如图 3 所示。</w:t>
      </w:r>
    </w:p>
    <w:p w14:paraId="547779A6">
      <w:pPr>
        <w:spacing w:before="120" w:after="80"/>
        <w:jc w:val="center"/>
      </w:pPr>
      <w:r>
        <w:drawing>
          <wp:inline distT="0" distB="0" distL="114300" distR="114300">
            <wp:extent cx="5219700" cy="695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20000" cy="6960000"/>
                    </a:xfrm>
                    <a:prstGeom prst="rect">
                      <a:avLst/>
                    </a:prstGeom>
                  </pic:spPr>
                </pic:pic>
              </a:graphicData>
            </a:graphic>
          </wp:inline>
        </w:drawing>
      </w:r>
    </w:p>
    <w:p w14:paraId="6DB9F0C7">
      <w:pPr>
        <w:spacing w:before="40" w:after="160" w:line="312" w:lineRule="auto"/>
        <w:jc w:val="center"/>
      </w:pPr>
      <w:r>
        <w:rPr>
          <w:rFonts w:ascii="Times New Roman" w:hAnsi="Times New Roman" w:eastAsia="宋体"/>
          <w:b w:val="0"/>
          <w:color w:val="000000"/>
          <w:sz w:val="21"/>
        </w:rPr>
        <w:t>图 3　受试者佩戴电极帽的采集现场（实拍）。两名被试佩戴八导干电极帽，背侧可见多色跳线汇入 Cyton 侧接线；面对笔记本屏幕完成 OpenBMI-Align 游戏化范式（画面为目标物够取场景）。采样 250 Hz，电极按 10–20 系统覆盖运动皮层。</w:t>
      </w:r>
    </w:p>
    <w:p w14:paraId="195D5BF0">
      <w:pPr>
        <w:spacing w:before="0" w:after="120" w:line="312" w:lineRule="auto"/>
        <w:ind w:firstLine="480"/>
        <w:jc w:val="both"/>
      </w:pPr>
      <w:r>
        <w:rPr>
          <w:rFonts w:ascii="Times New Roman" w:hAnsi="Times New Roman" w:eastAsia="宋体"/>
          <w:b w:val="0"/>
          <w:color w:val="000000"/>
          <w:sz w:val="24"/>
        </w:rPr>
        <w:t>实验范式（OpenBMI-Align v1，冻结口径）单试次时序为：专用 Rest 4 s（Cue 前空闲监督样本，非独立静息试次）、准备 2 s、Cue 1 s、运动想象 4 s、试次间隔 3 s，块间休息 30 s。正式 v3 探针默认 2 块 × 18 次左右手想象（共 36 次）。在线判定采用 3 s / 750 点滑窗、步长 100 ms（即每 100 ms 对最新窗输出一次判定），与离线训练同口径，窗尾相对 Cue 覆盖 3.0–4.0 s；段级基线取 Cue 前 0.5 s。</w:t>
      </w:r>
    </w:p>
    <w:p w14:paraId="1FDBA8E7">
      <w:pPr>
        <w:spacing w:before="0" w:after="120" w:line="312" w:lineRule="auto"/>
        <w:ind w:firstLine="480"/>
        <w:jc w:val="both"/>
      </w:pPr>
      <w:r>
        <w:rPr>
          <w:rFonts w:ascii="Times New Roman" w:hAnsi="Times New Roman" w:eastAsia="宋体"/>
          <w:b w:val="0"/>
          <w:color w:val="000000"/>
          <w:sz w:val="24"/>
        </w:rPr>
        <w:t>质量控制分三层：信号链健康监测（缓冲龄、信号质量、通道完整性）；脑电断流看门狗（缓冲停滞 2 s 告警、5 s 中止会话）；会话结束自动标记与脑电对齐校验，不合格会话不入库。</w:t>
      </w:r>
    </w:p>
    <w:p w14:paraId="08E6438C">
      <w:pPr>
        <w:spacing w:before="0" w:after="120" w:line="312" w:lineRule="auto"/>
        <w:ind w:firstLine="480"/>
        <w:jc w:val="both"/>
      </w:pPr>
      <w:r>
        <w:rPr>
          <w:rFonts w:ascii="Times New Roman" w:hAnsi="Times New Roman" w:eastAsia="宋体"/>
          <w:b w:val="0"/>
          <w:color w:val="000000"/>
          <w:sz w:val="24"/>
        </w:rPr>
        <w:t>使用的数据集：OpenBMI（54 人 × 2 会话，预训练与主验证）[4]；BCI Competition IV 2a（A01–A09，留一被试仿真与跨场次微调对比）[3]；Stieger2021（公开集 62 人；本报告跨库验证取会话齐全、可复现切窗的 24 人子集，跨库伪在线验证）[5]；主办方指定标准数据集（6 被试，留一被试六折，指定集评测）；自采数据（截至 2026-09-06 共 20 名被试，见 3.6 节）。</w:t>
      </w:r>
    </w:p>
    <w:p w14:paraId="6F288006">
      <w:pPr>
        <w:pStyle w:val="4"/>
        <w:spacing w:before="200" w:after="160" w:line="312" w:lineRule="auto"/>
      </w:pPr>
      <w:bookmarkStart w:id="9" w:name="_Toc14314"/>
      <w:r>
        <w:rPr>
          <w:rFonts w:ascii="Times New Roman" w:hAnsi="Times New Roman" w:eastAsia="黑体"/>
          <w:b/>
          <w:color w:val="000000"/>
          <w:sz w:val="30"/>
        </w:rPr>
        <w:t>2.3 预处理与特征</w:t>
      </w:r>
      <w:bookmarkEnd w:id="9"/>
    </w:p>
    <w:p w14:paraId="6E146319">
      <w:pPr>
        <w:spacing w:before="0" w:after="120" w:line="312" w:lineRule="auto"/>
        <w:ind w:firstLine="480"/>
        <w:jc w:val="both"/>
      </w:pPr>
      <w:r>
        <w:rPr>
          <w:rFonts w:ascii="Times New Roman" w:hAnsi="Times New Roman" w:eastAsia="宋体"/>
          <w:b w:val="0"/>
          <w:color w:val="000000"/>
          <w:sz w:val="24"/>
        </w:rPr>
        <w:t>所有数据集与在线流共用同一预处理：固定 8 导、共平均参考（CAR）、8–30 Hz 带通、250 Hz 重采样、逐窗 z-score。带通范围覆盖 μ 节律（8–13 Hz）与 β 节律（13–30 Hz）的运动相关成分[2]。窗长经消融确定（见 3.1 节）。训练锚点若包含想象期之后的窗会带来约 1.1 个百分点的下降，因此切窗严格限定于有效想象期。训练标签同时维护空闲/任务二分类与空闲/左手/右手三分类两套，双头独立训练：二分类头用于状态监测，三分类头为正式读出。</w:t>
      </w:r>
    </w:p>
    <w:p w14:paraId="482C0CD6">
      <w:pPr>
        <w:spacing w:before="0" w:after="120" w:line="312" w:lineRule="auto"/>
        <w:ind w:firstLine="480"/>
        <w:jc w:val="both"/>
      </w:pPr>
      <w:r>
        <w:rPr>
          <w:rFonts w:ascii="Times New Roman" w:hAnsi="Times New Roman" w:eastAsia="宋体"/>
          <w:b w:val="0"/>
          <w:color w:val="000000"/>
          <w:sz w:val="24"/>
        </w:rPr>
        <w:t xml:space="preserve">对单窗原始脑电 </w:t>
      </w:r>
      <m:oMath>
        <m:r>
          <m:rPr/>
          <m:t>X∈</m:t>
        </m:r>
        <m:sSup>
          <m:sSupPr/>
          <m:e>
            <m:r>
              <m:rPr/>
              <m:t>ℝ</m:t>
            </m:r>
          </m:e>
          <m:sup>
            <m:r>
              <m:rPr/>
              <m:t>8×750</m:t>
            </m:r>
          </m:sup>
        </m:sSup>
      </m:oMath>
      <w:r>
        <w:rPr>
          <w:rFonts w:ascii="Times New Roman" w:hAnsi="Times New Roman" w:eastAsia="宋体"/>
          <w:b w:val="0"/>
          <w:color w:val="000000"/>
          <w:sz w:val="24"/>
        </w:rPr>
        <w:t>（8 通道 × 750 点的矩阵），预处理按"共平均参考 → 带通与重采样 → 逐窗标准化"三步执行：共平均参考将每个时刻各通道的值减去该时刻 8 通道的均值；带通保留 8–30 Hz（覆盖 μ 与 β 节律的运动相关成分）后重采样至 250 Hz；标准化对每个窗的每个通道做零均值、单位方差处理。在线端以 100 ms 步长对数据流做因果滑窗切片，每个窗仅包含截至当前时刻的历史数据，不回看未来。三步的公式化定义、滑窗切片记号与完整符号推导见附录 D，另见《算法公式与算法详细介绍》成稿。</w:t>
      </w:r>
    </w:p>
    <w:p w14:paraId="080FBDB3">
      <w:pPr>
        <w:spacing w:before="0" w:after="120" w:line="312" w:lineRule="auto"/>
        <w:ind w:firstLine="480"/>
        <w:jc w:val="both"/>
      </w:pPr>
      <w:r>
        <w:rPr>
          <w:rFonts w:ascii="Times New Roman" w:hAnsi="Times New Roman" w:eastAsia="宋体"/>
          <w:b w:val="0"/>
          <w:color w:val="000000"/>
          <w:sz w:val="24"/>
        </w:rPr>
        <w:t>口径分叉说明：以上为主线的 8 导 3 s / 100 ms 滑窗口径。指定集评测线的指定集为 59 导、每试次一窗（无滑窗步长），仅通道集合与切窗方式不同（见 3.4 节）；两套口径的数据不混用。</w:t>
      </w:r>
    </w:p>
    <w:p w14:paraId="2BF30618">
      <w:pPr>
        <w:pStyle w:val="4"/>
        <w:spacing w:before="200" w:after="160" w:line="312" w:lineRule="auto"/>
      </w:pPr>
      <w:bookmarkStart w:id="10" w:name="_Toc3854"/>
      <w:r>
        <w:rPr>
          <w:rFonts w:ascii="Times New Roman" w:hAnsi="Times New Roman" w:eastAsia="黑体"/>
          <w:b/>
          <w:color w:val="000000"/>
          <w:sz w:val="30"/>
        </w:rPr>
        <w:t>2.4 模型结构：四成员温度校准融合（在线底座 CausalFuse-8 · 离线模型 QuadFold-59）</w:t>
      </w:r>
      <w:bookmarkEnd w:id="10"/>
    </w:p>
    <w:p w14:paraId="32D0218A">
      <w:pPr>
        <w:pStyle w:val="5"/>
        <w:spacing w:before="200" w:after="160" w:line="312" w:lineRule="auto"/>
      </w:pPr>
      <w:bookmarkStart w:id="11" w:name="_Toc1273"/>
      <w:r>
        <w:rPr>
          <w:rFonts w:ascii="Times New Roman" w:hAnsi="Times New Roman" w:eastAsia="黑体"/>
          <w:b/>
          <w:color w:val="000000"/>
          <w:sz w:val="28"/>
        </w:rPr>
        <w:t>2.4.1 共用融合骨架</w:t>
      </w:r>
      <w:bookmarkEnd w:id="11"/>
    </w:p>
    <w:p w14:paraId="5887C026">
      <w:pPr>
        <w:spacing w:before="0" w:after="120" w:line="312" w:lineRule="auto"/>
        <w:ind w:firstLine="480"/>
        <w:jc w:val="both"/>
      </w:pPr>
      <w:r>
        <w:rPr>
          <w:rFonts w:ascii="Times New Roman" w:hAnsi="Times New Roman" w:eastAsia="宋体"/>
          <w:b w:val="0"/>
          <w:color w:val="000000"/>
          <w:sz w:val="24"/>
        </w:rPr>
        <w:t xml:space="preserve">两条线均采用「四成员异构骨干 → 温度校准 → 加权融合」。记成员 </w:t>
      </w:r>
      <m:oMath>
        <m:r>
          <m:rPr/>
          <m:t>m</m:t>
        </m:r>
      </m:oMath>
      <w:r>
        <w:rPr>
          <w:rFonts w:ascii="Times New Roman" w:hAnsi="Times New Roman" w:eastAsia="宋体"/>
          <w:b w:val="0"/>
          <w:color w:val="000000"/>
          <w:sz w:val="24"/>
        </w:rPr>
        <w:t xml:space="preserve"> 的 logits 为 </w:t>
      </w:r>
      <m:oMath>
        <m:sSub>
          <m:sSubPr/>
          <m:e>
            <m:r>
              <m:rPr/>
              <m:t>z</m:t>
            </m:r>
          </m:e>
          <m:sub>
            <m:r>
              <m:rPr/>
              <m:t>m</m:t>
            </m:r>
          </m:sub>
        </m:sSub>
        <m:r>
          <m:rPr/>
          <m:t>∈</m:t>
        </m:r>
        <m:sSup>
          <m:sSupPr/>
          <m:e>
            <m:r>
              <m:rPr/>
              <m:t>ℝ</m:t>
            </m:r>
          </m:e>
          <m:sup>
            <m:r>
              <m:rPr/>
              <m:t>3</m:t>
            </m:r>
          </m:sup>
        </m:sSup>
      </m:oMath>
      <w:r>
        <w:rPr>
          <w:rFonts w:ascii="Times New Roman" w:hAnsi="Times New Roman" w:eastAsia="宋体"/>
          <w:b w:val="0"/>
          <w:color w:val="000000"/>
          <w:sz w:val="24"/>
        </w:rPr>
        <w:t>（矢量）。融合分两步。</w:t>
      </w:r>
    </w:p>
    <w:p w14:paraId="7AA0C925">
      <w:pPr>
        <w:spacing w:before="0" w:after="120" w:line="312" w:lineRule="auto"/>
        <w:ind w:firstLine="480"/>
        <w:jc w:val="both"/>
      </w:pPr>
      <w:r>
        <w:rPr>
          <w:rFonts w:ascii="Times New Roman" w:hAnsi="Times New Roman" w:eastAsia="宋体"/>
          <w:b w:val="0"/>
          <w:color w:val="000000"/>
          <w:sz w:val="24"/>
        </w:rPr>
        <w:t xml:space="preserve">温度校准。 各成员的 logits 先经验证集上拟合的温度参数 </w:t>
      </w:r>
      <m:oMath>
        <m:sSub>
          <m:sSubPr/>
          <m:e>
            <m:r>
              <m:rPr/>
              <m:t>τ</m:t>
            </m:r>
          </m:e>
          <m:sub>
            <m:r>
              <m:rPr/>
              <m:t>m</m:t>
            </m:r>
          </m:sub>
        </m:sSub>
      </m:oMath>
      <w:r>
        <w:rPr>
          <w:rFonts w:ascii="Times New Roman" w:hAnsi="Times New Roman" w:eastAsia="宋体"/>
          <w:b w:val="0"/>
          <w:color w:val="000000"/>
          <w:sz w:val="24"/>
        </w:rPr>
        <w:t xml:space="preserve">（标量）缩放，再做 softmax 得到校准概率 </w:t>
      </w:r>
      <m:oMath>
        <m:sSub>
          <m:sSubPr/>
          <m:e>
            <m:limUpp>
              <m:limUppPr/>
              <m:e>
                <m:r>
                  <m:rPr/>
                  <m:t>p</m:t>
                </m:r>
              </m:e>
              <m:lim>
                <m:r>
                  <m:rPr/>
                  <m:t>~</m:t>
                </m:r>
              </m:lim>
            </m:limUpp>
          </m:e>
          <m:sub>
            <m:r>
              <m:rPr/>
              <m:t>m,k</m:t>
            </m:r>
          </m:sub>
        </m:sSub>
      </m:oMath>
      <w:r>
        <w:rPr>
          <w:rFonts w:ascii="Times New Roman" w:hAnsi="Times New Roman" w:eastAsia="宋体"/>
          <w:b w:val="0"/>
          <w:color w:val="000000"/>
          <w:sz w:val="24"/>
        </w:rPr>
        <w:t>；</w:t>
      </w:r>
      <m:oMath>
        <m:sSub>
          <m:sSubPr/>
          <m:e>
            <m:r>
              <m:rPr/>
              <m:t>τ</m:t>
            </m:r>
          </m:e>
          <m:sub>
            <m:r>
              <m:rPr/>
              <m:t>m</m:t>
            </m:r>
          </m:sub>
        </m:sSub>
      </m:oMath>
      <w:r>
        <w:rPr>
          <w:rFonts w:ascii="Times New Roman" w:hAnsi="Times New Roman" w:eastAsia="宋体"/>
          <w:b w:val="0"/>
          <w:color w:val="000000"/>
          <w:sz w:val="24"/>
        </w:rPr>
        <w:t xml:space="preserve"> 以验证集负对数似然最小化选定后冻结（在线底座上线后不随会话重拟合；离线模型按留一被试折外拟合，见下）（公式见附录 D.2）。</w:t>
      </w:r>
    </w:p>
    <w:p w14:paraId="4BF7C09C">
      <w:pPr>
        <w:spacing w:before="0" w:after="120" w:line="312" w:lineRule="auto"/>
        <w:ind w:firstLine="480"/>
        <w:jc w:val="both"/>
      </w:pPr>
      <w:r>
        <w:rPr>
          <w:rFonts w:ascii="Times New Roman" w:hAnsi="Times New Roman" w:eastAsia="宋体"/>
          <w:b w:val="0"/>
          <w:color w:val="000000"/>
          <w:sz w:val="24"/>
        </w:rPr>
        <w:t>固定权重融合（核心公式一）。</w:t>
      </w:r>
    </w:p>
    <w:p w14:paraId="3A2C5131">
      <w:pPr>
        <w:spacing w:before="120" w:after="120"/>
        <w:jc w:val="center"/>
      </w:pPr>
      <m:oMathPara>
        <m:oMathParaPr>
          <m:jc m:val="center"/>
        </m:oMathParaPr>
        <m:oMath>
          <m:sSub>
            <m:sSubPr/>
            <m:e>
              <m:r>
                <m:rPr/>
                <m:t>p</m:t>
              </m:r>
            </m:e>
            <m:sub>
              <m:r>
                <m:rPr/>
                <m:t>k</m:t>
              </m:r>
            </m:sub>
          </m:sSub>
          <m:r>
            <m:rPr/>
            <m:t>=</m:t>
          </m:r>
          <m:nary>
            <m:naryPr>
              <m:chr m:val="∑"/>
              <m:grow m:val="1"/>
              <m:limLoc m:val="subSup"/>
            </m:naryPr>
            <m:sub>
              <m:r>
                <m:rPr/>
                <m:t>m=1</m:t>
              </m:r>
            </m:sub>
            <m:sup>
              <m:r>
                <m:rPr/>
                <m:t>4</m:t>
              </m:r>
            </m:sup>
            <m:e>
              <m:sSub>
                <m:sSubPr/>
                <m:e>
                  <m:r>
                    <m:rPr/>
                    <m:t>w</m:t>
                  </m:r>
                </m:e>
                <m:sub>
                  <m:r>
                    <m:rPr/>
                    <m:t>m</m:t>
                  </m:r>
                </m:sub>
              </m:sSub>
            </m:e>
          </m:nary>
          <m:sSub>
            <m:sSubPr/>
            <m:e>
              <m:limUpp>
                <m:limUppPr/>
                <m:e>
                  <m:r>
                    <m:rPr/>
                    <m:t>p</m:t>
                  </m:r>
                </m:e>
                <m:lim>
                  <m:r>
                    <m:rPr/>
                    <m:t>~</m:t>
                  </m:r>
                </m:lim>
              </m:limUpp>
            </m:e>
            <m:sub>
              <m:r>
                <m:rPr/>
                <m:t>m,k</m:t>
              </m:r>
            </m:sub>
          </m:sSub>
          <m:r>
            <m:rPr/>
            <m:t>,w=[0.2,</m:t>
          </m:r>
          <m:r>
            <m:rPr>
              <m:sty m:val="p"/>
            </m:rPr>
            <m:t> </m:t>
          </m:r>
          <m:r>
            <m:rPr/>
            <m:t>0.2,</m:t>
          </m:r>
          <m:r>
            <m:rPr>
              <m:sty m:val="p"/>
            </m:rPr>
            <m:t> </m:t>
          </m:r>
          <m:r>
            <m:rPr/>
            <m:t>0.3,</m:t>
          </m:r>
          <m:r>
            <m:rPr>
              <m:sty m:val="p"/>
            </m:rPr>
            <m:t> </m:t>
          </m:r>
          <m:r>
            <m:rPr/>
            <m:t>0.3],</m:t>
          </m:r>
          <m:nary>
            <m:naryPr>
              <m:chr m:val="∑"/>
              <m:grow m:val="1"/>
              <m:limLoc m:val="subSup"/>
              <m:supHide m:val="1"/>
            </m:naryPr>
            <m:sub>
              <m:r>
                <m:rPr/>
                <m:t>m</m:t>
              </m:r>
            </m:sub>
            <m:sup/>
            <m:e>
              <m:sSub>
                <m:sSubPr/>
                <m:e>
                  <m:r>
                    <m:rPr/>
                    <m:t>w</m:t>
                  </m:r>
                </m:e>
                <m:sub>
                  <m:r>
                    <m:rPr/>
                    <m:t>m</m:t>
                  </m:r>
                </m:sub>
              </m:sSub>
            </m:e>
          </m:nary>
          <m:r>
            <m:rPr/>
            <m:t>=1</m:t>
          </m:r>
          <m:d>
            <m:dPr>
              <m:sepChr m:val=""/>
            </m:dPr>
            <m:e>
              <m:r>
                <m:rPr/>
                <m:t>2.1</m:t>
              </m:r>
            </m:e>
          </m:d>
        </m:oMath>
      </m:oMathPara>
    </w:p>
    <w:p w14:paraId="56840193">
      <w:pPr>
        <w:spacing w:before="0" w:after="120" w:line="312" w:lineRule="auto"/>
        <w:ind w:firstLine="480"/>
        <w:jc w:val="both"/>
      </w:pPr>
      <w:r>
        <w:rPr>
          <w:rFonts w:ascii="Times New Roman" w:hAnsi="Times New Roman" w:eastAsia="宋体"/>
          <w:b w:val="0"/>
          <w:color w:val="000000"/>
          <w:sz w:val="24"/>
        </w:rPr>
        <w:t xml:space="preserve">式中 </w:t>
      </w:r>
      <m:oMath>
        <m:r>
          <m:rPr/>
          <m:t>w</m:t>
        </m:r>
      </m:oMath>
      <w:r>
        <w:rPr>
          <w:rFonts w:ascii="Times New Roman" w:hAnsi="Times New Roman" w:eastAsia="宋体"/>
          <w:b w:val="0"/>
          <w:color w:val="000000"/>
          <w:sz w:val="24"/>
        </w:rPr>
        <w:t xml:space="preserve"> 为四成员融合权重矢量，</w:t>
      </w:r>
      <m:oMath>
        <m:nary>
          <m:naryPr>
            <m:chr m:val="∑"/>
            <m:grow m:val="1"/>
            <m:limLoc m:val="subSup"/>
            <m:supHide m:val="1"/>
          </m:naryPr>
          <m:sub>
            <m:r>
              <m:rPr/>
              <m:t>m</m:t>
            </m:r>
          </m:sub>
          <m:sup/>
          <m:e>
            <m:sSub>
              <m:sSubPr/>
              <m:e>
                <m:r>
                  <m:rPr/>
                  <m:t>w</m:t>
                </m:r>
              </m:e>
              <m:sub>
                <m:r>
                  <m:rPr/>
                  <m:t>m</m:t>
                </m:r>
              </m:sub>
            </m:sSub>
          </m:e>
        </m:nary>
        <m:r>
          <m:rPr/>
          <m:t>=1</m:t>
        </m:r>
      </m:oMath>
      <w:r>
        <w:rPr>
          <w:rFonts w:ascii="Times New Roman" w:hAnsi="Times New Roman" w:eastAsia="宋体"/>
          <w:b w:val="0"/>
          <w:color w:val="000000"/>
          <w:sz w:val="24"/>
        </w:rPr>
        <w:t>；</w:t>
      </w:r>
      <m:oMath>
        <m:sSub>
          <m:sSubPr/>
          <m:e>
            <m:r>
              <m:rPr/>
              <m:t>p</m:t>
            </m:r>
          </m:e>
          <m:sub>
            <m:r>
              <m:rPr/>
              <m:t>k</m:t>
            </m:r>
          </m:sub>
        </m:sSub>
      </m:oMath>
      <w:r>
        <w:rPr>
          <w:rFonts w:ascii="Times New Roman" w:hAnsi="Times New Roman" w:eastAsia="宋体"/>
          <w:b w:val="0"/>
          <w:color w:val="000000"/>
          <w:sz w:val="24"/>
        </w:rPr>
        <w:t xml:space="preserve"> 为融合后的第 </w:t>
      </w:r>
      <m:oMath>
        <m:r>
          <m:rPr/>
          <m:t>k</m:t>
        </m:r>
      </m:oMath>
      <w:r>
        <w:rPr>
          <w:rFonts w:ascii="Times New Roman" w:hAnsi="Times New Roman" w:eastAsia="宋体"/>
          <w:b w:val="0"/>
          <w:color w:val="000000"/>
          <w:sz w:val="24"/>
        </w:rPr>
        <w:t xml:space="preserve"> 类概率。式 (2.1) 给出的 </w:t>
      </w:r>
      <m:oMath>
        <m:r>
          <m:rPr/>
          <m:t>w=[0.2,0.2,0.3,0.3]</m:t>
        </m:r>
      </m:oMath>
      <w:r>
        <w:rPr>
          <w:rFonts w:ascii="Times New Roman" w:hAnsi="Times New Roman" w:eastAsia="宋体"/>
          <w:b w:val="0"/>
          <w:color w:val="000000"/>
          <w:sz w:val="24"/>
        </w:rPr>
        <w:t xml:space="preserve"> 为在线底座在 OpenBMI 验证集上网格选定后冻结的取值；离线模型的 </w:t>
      </w:r>
      <m:oMath>
        <m:r>
          <m:rPr/>
          <m:t>w</m:t>
        </m:r>
      </m:oMath>
      <w:r>
        <w:rPr>
          <w:rFonts w:ascii="Times New Roman" w:hAnsi="Times New Roman" w:eastAsia="宋体"/>
          <w:b w:val="0"/>
          <w:color w:val="000000"/>
          <w:sz w:val="24"/>
        </w:rPr>
        <w:t xml:space="preserve"> 与 </w:t>
      </w:r>
      <m:oMath>
        <m:sSub>
          <m:sSubPr/>
          <m:e>
            <m:r>
              <m:rPr/>
              <m:t>τ</m:t>
            </m:r>
          </m:e>
          <m:sub>
            <m:r>
              <m:rPr/>
              <m:t>m</m:t>
            </m:r>
          </m:sub>
        </m:sSub>
      </m:oMath>
      <w:r>
        <w:rPr>
          <w:rFonts w:ascii="Times New Roman" w:hAnsi="Times New Roman" w:eastAsia="宋体"/>
          <w:b w:val="0"/>
          <w:color w:val="000000"/>
          <w:sz w:val="24"/>
        </w:rPr>
        <w:t xml:space="preserve"> 不沿用该组，而按留一被试六折在折外重新拟合（见 2.4.3 与 3.4 节）。</w:t>
      </w:r>
    </w:p>
    <w:p w14:paraId="67018709">
      <w:pPr>
        <w:pStyle w:val="5"/>
        <w:spacing w:before="200" w:after="160" w:line="312" w:lineRule="auto"/>
      </w:pPr>
      <w:bookmarkStart w:id="12" w:name="_Toc15719"/>
      <w:r>
        <w:rPr>
          <w:rFonts w:ascii="Times New Roman" w:hAnsi="Times New Roman" w:eastAsia="黑体"/>
          <w:b/>
          <w:color w:val="000000"/>
          <w:sz w:val="28"/>
        </w:rPr>
        <w:t>2.4.2 在线底座 CausalFuse-8：构成与读出</w:t>
      </w:r>
      <w:bookmarkEnd w:id="12"/>
    </w:p>
    <w:p w14:paraId="3C2DC4A5">
      <w:pPr>
        <w:spacing w:before="0" w:after="120" w:line="312" w:lineRule="auto"/>
        <w:ind w:firstLine="480"/>
        <w:jc w:val="both"/>
      </w:pPr>
      <w:r>
        <w:rPr>
          <w:rFonts w:ascii="Times New Roman" w:hAnsi="Times New Roman" w:eastAsia="宋体"/>
          <w:b w:val="0"/>
          <w:color w:val="000000"/>
          <w:sz w:val="24"/>
        </w:rPr>
        <w:t xml:space="preserve">构成。 输入为自采 / OpenBMI 主线口径的单窗 </w:t>
      </w:r>
      <m:oMath>
        <m:r>
          <m:rPr/>
          <m:t>X∈</m:t>
        </m:r>
        <m:sSup>
          <m:sSupPr/>
          <m:e>
            <m:r>
              <m:rPr/>
              <m:t>ℝ</m:t>
            </m:r>
          </m:e>
          <m:sup>
            <m:r>
              <m:rPr/>
              <m:t>8×750</m:t>
            </m:r>
          </m:sup>
        </m:sSup>
      </m:oMath>
      <w:r>
        <w:rPr>
          <w:rFonts w:ascii="Times New Roman" w:hAnsi="Times New Roman" w:eastAsia="宋体"/>
          <w:b w:val="0"/>
          <w:color w:val="000000"/>
          <w:sz w:val="24"/>
        </w:rPr>
        <w:t xml:space="preserve">（8 导 × 3 s @ 250 Hz）。四成员为：ShallowFBCSPNet[7,14]、T-Shallow（与 Shallow 同构，训练时按窗相对 Cue 的时间起点 t0 加权损失，靠近提示的窗权重大）、EEGNet[6]、Conformer[8]。四成员并行前向后按式 (2.1) 融合；融合温度与权重在公开集验证后冻结，采后微调只更新成员网络参数 </w:t>
      </w:r>
      <m:oMath>
        <m:sSub>
          <m:sSubPr/>
          <m:e>
            <m:r>
              <m:rPr/>
              <m:t>θ</m:t>
            </m:r>
          </m:e>
          <m:sub>
            <m:r>
              <m:rPr/>
              <m:t>m</m:t>
            </m:r>
          </m:sub>
        </m:sSub>
      </m:oMath>
      <w:r>
        <w:rPr>
          <w:rFonts w:ascii="Times New Roman" w:hAnsi="Times New Roman" w:eastAsia="宋体"/>
          <w:b w:val="0"/>
          <w:color w:val="000000"/>
          <w:sz w:val="24"/>
        </w:rPr>
        <w:t>（见 2.5 节）。</w:t>
      </w:r>
    </w:p>
    <w:p w14:paraId="0E2AB355">
      <w:pPr>
        <w:spacing w:before="0" w:after="120" w:line="312" w:lineRule="auto"/>
        <w:ind w:firstLine="480"/>
        <w:jc w:val="both"/>
      </w:pPr>
      <w:r>
        <w:rPr>
          <w:rFonts w:ascii="Times New Roman" w:hAnsi="Times New Roman" w:eastAsia="宋体"/>
          <w:b w:val="0"/>
          <w:color w:val="000000"/>
          <w:sz w:val="24"/>
        </w:rPr>
        <w:t xml:space="preserve">读出。 在线为因果滑窗：对融合概率序列做回看 </w:t>
      </w:r>
      <m:oMath>
        <m:r>
          <m:rPr/>
          <m:t>L=2</m:t>
        </m:r>
      </m:oMath>
      <w:r>
        <w:rPr>
          <w:rFonts w:ascii="Times New Roman" w:hAnsi="Times New Roman" w:eastAsia="宋体"/>
          <w:b w:val="0"/>
          <w:color w:val="000000"/>
          <w:sz w:val="24"/>
        </w:rPr>
        <w:t xml:space="preserve"> 窗的均值平滑后取最大概率类，得到窗级判定；试次内 11 档判定点（窗尾相对 Cue 3.0–4.0 s）多数票得到试次结果（平滑与判定的记号定义见附录 D.3）。读出在两个粒度上的分工论证见 2.6 节。</w:t>
      </w:r>
    </w:p>
    <w:p w14:paraId="43ACA74B">
      <w:pPr>
        <w:pStyle w:val="5"/>
        <w:spacing w:before="200" w:after="160" w:line="312" w:lineRule="auto"/>
      </w:pPr>
      <w:bookmarkStart w:id="13" w:name="_Toc24828"/>
      <w:r>
        <w:rPr>
          <w:rFonts w:ascii="Times New Roman" w:hAnsi="Times New Roman" w:eastAsia="黑体"/>
          <w:b/>
          <w:color w:val="000000"/>
          <w:sz w:val="28"/>
        </w:rPr>
        <w:t>2.4.3 离线模型 QuadFold-59：构成与读出</w:t>
      </w:r>
      <w:bookmarkEnd w:id="13"/>
    </w:p>
    <w:p w14:paraId="129FD6AB">
      <w:pPr>
        <w:spacing w:before="0" w:after="120" w:line="312" w:lineRule="auto"/>
        <w:ind w:firstLine="480"/>
        <w:jc w:val="both"/>
      </w:pPr>
      <w:r>
        <w:rPr>
          <w:rFonts w:ascii="Times New Roman" w:hAnsi="Times New Roman" w:eastAsia="宋体"/>
          <w:b w:val="0"/>
          <w:color w:val="000000"/>
          <w:sz w:val="24"/>
        </w:rPr>
        <w:t xml:space="preserve">构成。 融合两步与在线同构（温度校准 + 加权求和），但输入为指定集 59 EEG，单样本 </w:t>
      </w:r>
      <m:oMath>
        <m:r>
          <m:rPr/>
          <m:t>X∈</m:t>
        </m:r>
        <m:sSup>
          <m:sSupPr/>
          <m:e>
            <m:r>
              <m:rPr/>
              <m:t>ℝ</m:t>
            </m:r>
          </m:e>
          <m:sup>
            <m:r>
              <m:rPr/>
              <m:t>59×750</m:t>
            </m:r>
          </m:sup>
        </m:sSup>
      </m:oMath>
      <w:r>
        <w:rPr>
          <w:rFonts w:ascii="Times New Roman" w:hAnsi="Times New Roman" w:eastAsia="宋体"/>
          <w:b w:val="0"/>
          <w:color w:val="000000"/>
          <w:sz w:val="24"/>
        </w:rPr>
        <w:t>（每试次一窗、无 100 ms 滑窗步长）。四成员为：Shallow、Shallow-b、EEGNet、Conformer。四成员均在主办方指定集训练集（S01–S06）上从零训练，不加载 CausalFuse-8 的任何权重。与在线底座的主要差别是：通道与切窗口径不同；第二浅层为 Shallow-b 而非 T-Shallow——二者骨干同构，T-Shallow 依赖滑窗 t0 加权，指定集每试次一窗无此时间结构，故改用不同随机种子的同构初始化提供多样性。</w:t>
      </w:r>
    </w:p>
    <w:p w14:paraId="2B6C11FF">
      <w:pPr>
        <w:spacing w:before="0" w:after="120" w:line="312" w:lineRule="auto"/>
        <w:ind w:firstLine="480"/>
        <w:jc w:val="both"/>
      </w:pPr>
      <w:r>
        <w:rPr>
          <w:rFonts w:ascii="Times New Roman" w:hAnsi="Times New Roman" w:eastAsia="宋体"/>
          <w:b w:val="0"/>
          <w:color w:val="000000"/>
          <w:sz w:val="24"/>
        </w:rPr>
        <w:t xml:space="preserve">融合与读出。 温度 </w:t>
      </w:r>
      <m:oMath>
        <m:sSub>
          <m:sSubPr/>
          <m:e>
            <m:r>
              <m:rPr/>
              <m:t>τ</m:t>
            </m:r>
          </m:e>
          <m:sub>
            <m:r>
              <m:rPr/>
              <m:t>m</m:t>
            </m:r>
          </m:sub>
        </m:sSub>
      </m:oMath>
      <w:r>
        <w:rPr>
          <w:rFonts w:ascii="Times New Roman" w:hAnsi="Times New Roman" w:eastAsia="宋体"/>
          <w:b w:val="0"/>
          <w:color w:val="000000"/>
          <w:sz w:val="24"/>
        </w:rPr>
        <w:t xml:space="preserve"> 与融合权 </w:t>
      </w:r>
      <m:oMath>
        <m:r>
          <m:rPr/>
          <m:t>w</m:t>
        </m:r>
      </m:oMath>
      <w:r>
        <w:rPr>
          <w:rFonts w:ascii="Times New Roman" w:hAnsi="Times New Roman" w:eastAsia="宋体"/>
          <w:b w:val="0"/>
          <w:color w:val="000000"/>
          <w:sz w:val="24"/>
        </w:rPr>
        <w:t xml:space="preserve"> 按留一被试六折、在保留折外的折外预测上拟合，再对保留折评估；盲测（S07–S08）上为六折概率平均后取 argmax，写成官方 </w:t>
      </w:r>
      <w:r>
        <w:rPr>
          <w:rFonts w:ascii="Consolas" w:hAnsi="Consolas" w:eastAsia="Consolas"/>
          <w:b w:val="0"/>
          <w:color w:val="000000"/>
          <w:sz w:val="21"/>
        </w:rPr>
        <w:t>sample_submission.csv</w:t>
      </w:r>
      <w:r>
        <w:rPr>
          <w:rFonts w:ascii="Times New Roman" w:hAnsi="Times New Roman" w:eastAsia="宋体"/>
          <w:b w:val="0"/>
          <w:color w:val="000000"/>
          <w:sz w:val="24"/>
        </w:rPr>
        <w:t xml:space="preserve"> 行序。无在线因果滑窗与试次内多数票——指定集协议下 1 试次 = 1 窗。评测公式见附录 D.4；提交决策与主要结果见 3.4 节。</w:t>
      </w:r>
    </w:p>
    <w:p w14:paraId="720308CC">
      <w:pPr>
        <w:pStyle w:val="5"/>
        <w:spacing w:before="200" w:after="160" w:line="312" w:lineRule="auto"/>
      </w:pPr>
      <w:bookmarkStart w:id="14" w:name="_Toc32080"/>
      <w:r>
        <w:rPr>
          <w:rFonts w:ascii="Times New Roman" w:hAnsi="Times New Roman" w:eastAsia="黑体"/>
          <w:b/>
          <w:color w:val="000000"/>
          <w:sz w:val="28"/>
        </w:rPr>
        <w:t>2.4.4 在线底座与离线模型对照</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1371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61D4D98D">
            <w:pPr>
              <w:spacing w:after="0" w:line="276" w:lineRule="auto"/>
              <w:jc w:val="center"/>
            </w:pPr>
            <w:r>
              <w:rPr>
                <w:rFonts w:ascii="Times New Roman" w:hAnsi="Times New Roman" w:eastAsia="宋体"/>
                <w:b w:val="0"/>
                <w:color w:val="000000"/>
                <w:sz w:val="21"/>
              </w:rPr>
              <w:t>维度</w:t>
            </w:r>
          </w:p>
        </w:tc>
        <w:tc>
          <w:tcPr>
            <w:tcW w:w="2902" w:type="dxa"/>
            <w:shd w:val="clear" w:color="auto" w:fill="D9E2F3"/>
          </w:tcPr>
          <w:p w14:paraId="0B1BBE72">
            <w:pPr>
              <w:spacing w:after="0" w:line="276" w:lineRule="auto"/>
              <w:jc w:val="center"/>
            </w:pPr>
            <w:r>
              <w:rPr>
                <w:rFonts w:ascii="Times New Roman" w:hAnsi="Times New Roman" w:eastAsia="宋体"/>
                <w:b w:val="0"/>
                <w:color w:val="000000"/>
                <w:sz w:val="21"/>
              </w:rPr>
              <w:t>在线底座 CausalFuse-8</w:t>
            </w:r>
          </w:p>
        </w:tc>
        <w:tc>
          <w:tcPr>
            <w:tcW w:w="2902" w:type="dxa"/>
            <w:shd w:val="clear" w:color="auto" w:fill="D9E2F3"/>
          </w:tcPr>
          <w:p w14:paraId="38128BAB">
            <w:pPr>
              <w:spacing w:after="0" w:line="276" w:lineRule="auto"/>
              <w:jc w:val="center"/>
            </w:pPr>
            <w:r>
              <w:rPr>
                <w:rFonts w:ascii="Times New Roman" w:hAnsi="Times New Roman" w:eastAsia="宋体"/>
                <w:b w:val="0"/>
                <w:color w:val="000000"/>
                <w:sz w:val="21"/>
              </w:rPr>
              <w:t>离线模型 QuadFold-59</w:t>
            </w:r>
          </w:p>
        </w:tc>
      </w:tr>
      <w:tr w14:paraId="2B44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AFB2C96">
            <w:pPr>
              <w:spacing w:after="0" w:line="276" w:lineRule="auto"/>
              <w:jc w:val="left"/>
            </w:pPr>
            <w:r>
              <w:rPr>
                <w:rFonts w:ascii="Times New Roman" w:hAnsi="Times New Roman" w:eastAsia="宋体"/>
                <w:b w:val="0"/>
                <w:color w:val="000000"/>
                <w:sz w:val="21"/>
              </w:rPr>
              <w:t>用途</w:t>
            </w:r>
          </w:p>
        </w:tc>
        <w:tc>
          <w:tcPr>
            <w:tcW w:w="2902" w:type="dxa"/>
          </w:tcPr>
          <w:p w14:paraId="051C75D9">
            <w:pPr>
              <w:spacing w:after="0" w:line="276" w:lineRule="auto"/>
              <w:jc w:val="left"/>
            </w:pPr>
            <w:r>
              <w:rPr>
                <w:rFonts w:ascii="Times New Roman" w:hAnsi="Times New Roman" w:eastAsia="宋体"/>
                <w:b w:val="0"/>
                <w:color w:val="000000"/>
                <w:sz w:val="21"/>
              </w:rPr>
              <w:t>实时交互与真人闭环（系统主线）</w:t>
            </w:r>
          </w:p>
        </w:tc>
        <w:tc>
          <w:tcPr>
            <w:tcW w:w="2902" w:type="dxa"/>
          </w:tcPr>
          <w:p w14:paraId="179C2820">
            <w:pPr>
              <w:spacing w:after="0" w:line="276" w:lineRule="auto"/>
              <w:jc w:val="left"/>
            </w:pPr>
            <w:r>
              <w:rPr>
                <w:rFonts w:ascii="Times New Roman" w:hAnsi="Times New Roman" w:eastAsia="宋体"/>
                <w:b w:val="0"/>
                <w:color w:val="000000"/>
                <w:sz w:val="21"/>
              </w:rPr>
              <w:t>指定集离线评测与盲测提交（指定集评测线）</w:t>
            </w:r>
          </w:p>
        </w:tc>
      </w:tr>
      <w:tr w14:paraId="09DC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8395773">
            <w:pPr>
              <w:spacing w:after="0" w:line="276" w:lineRule="auto"/>
              <w:jc w:val="left"/>
            </w:pPr>
            <w:r>
              <w:rPr>
                <w:rFonts w:ascii="Times New Roman" w:hAnsi="Times New Roman" w:eastAsia="宋体"/>
                <w:b w:val="0"/>
                <w:color w:val="000000"/>
                <w:sz w:val="21"/>
              </w:rPr>
              <w:t>成员构成</w:t>
            </w:r>
          </w:p>
        </w:tc>
        <w:tc>
          <w:tcPr>
            <w:tcW w:w="2902" w:type="dxa"/>
          </w:tcPr>
          <w:p w14:paraId="68B922D9">
            <w:pPr>
              <w:spacing w:after="0" w:line="276" w:lineRule="auto"/>
              <w:jc w:val="left"/>
            </w:pPr>
            <w:r>
              <w:rPr>
                <w:rFonts w:ascii="Times New Roman" w:hAnsi="Times New Roman" w:eastAsia="宋体"/>
                <w:b w:val="0"/>
                <w:color w:val="000000"/>
                <w:sz w:val="21"/>
              </w:rPr>
              <w:t>Shallow / T-Shallow / EEGNet / Conformer</w:t>
            </w:r>
          </w:p>
        </w:tc>
        <w:tc>
          <w:tcPr>
            <w:tcW w:w="2902" w:type="dxa"/>
          </w:tcPr>
          <w:p w14:paraId="25BB86B6">
            <w:pPr>
              <w:spacing w:after="0" w:line="276" w:lineRule="auto"/>
              <w:jc w:val="left"/>
            </w:pPr>
            <w:r>
              <w:rPr>
                <w:rFonts w:ascii="Times New Roman" w:hAnsi="Times New Roman" w:eastAsia="宋体"/>
                <w:b w:val="0"/>
                <w:color w:val="000000"/>
                <w:sz w:val="21"/>
              </w:rPr>
              <w:t>Shallow / Shallow-b / EEGNet / Conformer</w:t>
            </w:r>
          </w:p>
        </w:tc>
      </w:tr>
      <w:tr w14:paraId="74E9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E638280">
            <w:pPr>
              <w:spacing w:after="0" w:line="276" w:lineRule="auto"/>
              <w:jc w:val="left"/>
            </w:pPr>
            <w:r>
              <w:rPr>
                <w:rFonts w:ascii="Times New Roman" w:hAnsi="Times New Roman" w:eastAsia="宋体"/>
                <w:b w:val="0"/>
                <w:color w:val="000000"/>
                <w:sz w:val="21"/>
              </w:rPr>
              <w:t>第二浅层差异</w:t>
            </w:r>
          </w:p>
        </w:tc>
        <w:tc>
          <w:tcPr>
            <w:tcW w:w="2902" w:type="dxa"/>
          </w:tcPr>
          <w:p w14:paraId="28C80003">
            <w:pPr>
              <w:spacing w:after="0" w:line="276" w:lineRule="auto"/>
              <w:jc w:val="left"/>
            </w:pPr>
            <w:r>
              <w:rPr>
                <w:rFonts w:ascii="Times New Roman" w:hAnsi="Times New Roman" w:eastAsia="宋体"/>
                <w:b w:val="0"/>
                <w:color w:val="000000"/>
                <w:sz w:val="21"/>
              </w:rPr>
              <w:t>T-Shallow：同构 + t0 加权训练</w:t>
            </w:r>
          </w:p>
        </w:tc>
        <w:tc>
          <w:tcPr>
            <w:tcW w:w="2902" w:type="dxa"/>
          </w:tcPr>
          <w:p w14:paraId="7F735FF7">
            <w:pPr>
              <w:spacing w:after="0" w:line="276" w:lineRule="auto"/>
              <w:jc w:val="left"/>
            </w:pPr>
            <w:r>
              <w:rPr>
                <w:rFonts w:ascii="Times New Roman" w:hAnsi="Times New Roman" w:eastAsia="宋体"/>
                <w:b w:val="0"/>
                <w:color w:val="000000"/>
                <w:sz w:val="21"/>
              </w:rPr>
              <w:t>Shallow-b：同构 + 不同随机种子</w:t>
            </w:r>
          </w:p>
        </w:tc>
      </w:tr>
      <w:tr w14:paraId="0430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0C278A0">
            <w:pPr>
              <w:spacing w:after="0" w:line="276" w:lineRule="auto"/>
              <w:jc w:val="left"/>
            </w:pPr>
            <w:r>
              <w:rPr>
                <w:rFonts w:ascii="Times New Roman" w:hAnsi="Times New Roman" w:eastAsia="宋体"/>
                <w:b w:val="0"/>
                <w:color w:val="000000"/>
                <w:sz w:val="21"/>
              </w:rPr>
              <w:t>输入通道</w:t>
            </w:r>
          </w:p>
        </w:tc>
        <w:tc>
          <w:tcPr>
            <w:tcW w:w="2902" w:type="dxa"/>
          </w:tcPr>
          <w:p w14:paraId="43478B0F">
            <w:pPr>
              <w:spacing w:after="0" w:line="276" w:lineRule="auto"/>
              <w:jc w:val="left"/>
            </w:pPr>
            <w:r>
              <w:rPr>
                <w:rFonts w:ascii="Times New Roman" w:hAnsi="Times New Roman" w:eastAsia="宋体"/>
                <w:b w:val="0"/>
                <w:color w:val="000000"/>
                <w:sz w:val="21"/>
              </w:rPr>
              <w:t>8 导（FC3…CP4）</w:t>
            </w:r>
          </w:p>
        </w:tc>
        <w:tc>
          <w:tcPr>
            <w:tcW w:w="2902" w:type="dxa"/>
          </w:tcPr>
          <w:p w14:paraId="2A5A66CC">
            <w:pPr>
              <w:spacing w:after="0" w:line="276" w:lineRule="auto"/>
              <w:jc w:val="left"/>
            </w:pPr>
            <w:r>
              <w:rPr>
                <w:rFonts w:ascii="Times New Roman" w:hAnsi="Times New Roman" w:eastAsia="宋体"/>
                <w:b w:val="0"/>
                <w:color w:val="000000"/>
                <w:sz w:val="21"/>
              </w:rPr>
              <w:t>59 EEG</w:t>
            </w:r>
          </w:p>
        </w:tc>
      </w:tr>
      <w:tr w14:paraId="18B2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9A40674">
            <w:pPr>
              <w:spacing w:after="0" w:line="276" w:lineRule="auto"/>
              <w:jc w:val="left"/>
            </w:pPr>
            <w:r>
              <w:rPr>
                <w:rFonts w:ascii="Times New Roman" w:hAnsi="Times New Roman" w:eastAsia="宋体"/>
                <w:b w:val="0"/>
                <w:color w:val="000000"/>
                <w:sz w:val="21"/>
              </w:rPr>
              <w:t>切窗口径</w:t>
            </w:r>
          </w:p>
        </w:tc>
        <w:tc>
          <w:tcPr>
            <w:tcW w:w="2902" w:type="dxa"/>
          </w:tcPr>
          <w:p w14:paraId="3618DA9C">
            <w:pPr>
              <w:spacing w:after="0" w:line="276" w:lineRule="auto"/>
              <w:jc w:val="left"/>
            </w:pPr>
            <w:r>
              <w:rPr>
                <w:rFonts w:ascii="Times New Roman" w:hAnsi="Times New Roman" w:eastAsia="宋体"/>
                <w:b w:val="0"/>
                <w:color w:val="000000"/>
                <w:sz w:val="21"/>
              </w:rPr>
              <w:t>3 s 窗、hop 100 ms 因果滑窗</w:t>
            </w:r>
          </w:p>
        </w:tc>
        <w:tc>
          <w:tcPr>
            <w:tcW w:w="2902" w:type="dxa"/>
          </w:tcPr>
          <w:p w14:paraId="461A6C81">
            <w:pPr>
              <w:spacing w:after="0" w:line="276" w:lineRule="auto"/>
              <w:jc w:val="left"/>
            </w:pPr>
            <w:r>
              <w:rPr>
                <w:rFonts w:ascii="Times New Roman" w:hAnsi="Times New Roman" w:eastAsia="宋体"/>
                <w:b w:val="0"/>
                <w:color w:val="000000"/>
                <w:sz w:val="21"/>
              </w:rPr>
              <w:t>每试次一窗（750 点），无滑窗 hop</w:t>
            </w:r>
          </w:p>
        </w:tc>
      </w:tr>
      <w:tr w14:paraId="7692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7DDC208">
            <w:pPr>
              <w:spacing w:after="0" w:line="276" w:lineRule="auto"/>
              <w:jc w:val="left"/>
            </w:pPr>
            <w:r>
              <w:rPr>
                <w:rFonts w:ascii="Times New Roman" w:hAnsi="Times New Roman" w:eastAsia="宋体"/>
                <w:b w:val="0"/>
                <w:color w:val="000000"/>
                <w:sz w:val="21"/>
              </w:rPr>
              <w:t>训练数据与权重</w:t>
            </w:r>
          </w:p>
        </w:tc>
        <w:tc>
          <w:tcPr>
            <w:tcW w:w="2902" w:type="dxa"/>
          </w:tcPr>
          <w:p w14:paraId="3A617CA2">
            <w:pPr>
              <w:spacing w:after="0" w:line="276" w:lineRule="auto"/>
              <w:jc w:val="left"/>
            </w:pPr>
            <w:r>
              <w:rPr>
                <w:rFonts w:ascii="Times New Roman" w:hAnsi="Times New Roman" w:eastAsia="宋体"/>
                <w:b w:val="0"/>
                <w:color w:val="000000"/>
                <w:sz w:val="21"/>
              </w:rPr>
              <w:t>OpenBMI 预训练 → 自采 Leave-Next 微调</w:t>
            </w:r>
          </w:p>
        </w:tc>
        <w:tc>
          <w:tcPr>
            <w:tcW w:w="2902" w:type="dxa"/>
          </w:tcPr>
          <w:p w14:paraId="539A0220">
            <w:pPr>
              <w:spacing w:after="0" w:line="276" w:lineRule="auto"/>
              <w:jc w:val="left"/>
            </w:pPr>
            <w:r>
              <w:rPr>
                <w:rFonts w:ascii="Times New Roman" w:hAnsi="Times New Roman" w:eastAsia="宋体"/>
                <w:b w:val="0"/>
                <w:color w:val="000000"/>
                <w:sz w:val="21"/>
              </w:rPr>
              <w:t>指定集 S01–S06 从零训练；不加载 CausalFuse-8 权重</w:t>
            </w:r>
          </w:p>
        </w:tc>
      </w:tr>
      <w:tr w14:paraId="057A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9D3A2CF">
            <w:pPr>
              <w:spacing w:after="0" w:line="276" w:lineRule="auto"/>
              <w:jc w:val="left"/>
            </w:pPr>
            <w:r>
              <w:rPr>
                <w:rFonts w:ascii="Times New Roman" w:hAnsi="Times New Roman" w:eastAsia="宋体"/>
                <w:b w:val="0"/>
                <w:color w:val="000000"/>
                <w:sz w:val="21"/>
              </w:rPr>
              <w:t xml:space="preserve">融合参数 </w:t>
            </w:r>
            <m:oMath>
              <m:r>
                <m:rPr/>
                <m:t>τ,w</m:t>
              </m:r>
            </m:oMath>
          </w:p>
        </w:tc>
        <w:tc>
          <w:tcPr>
            <w:tcW w:w="2902" w:type="dxa"/>
          </w:tcPr>
          <w:p w14:paraId="4687AA83">
            <w:pPr>
              <w:spacing w:after="0" w:line="276" w:lineRule="auto"/>
              <w:jc w:val="left"/>
            </w:pPr>
            <w:r>
              <w:rPr>
                <w:rFonts w:ascii="Times New Roman" w:hAnsi="Times New Roman" w:eastAsia="宋体"/>
                <w:b w:val="0"/>
                <w:color w:val="000000"/>
                <w:sz w:val="21"/>
              </w:rPr>
              <w:t>公开集验证后全局冻结</w:t>
            </w:r>
          </w:p>
        </w:tc>
        <w:tc>
          <w:tcPr>
            <w:tcW w:w="2902" w:type="dxa"/>
          </w:tcPr>
          <w:p w14:paraId="0300453D">
            <w:pPr>
              <w:spacing w:after="0" w:line="276" w:lineRule="auto"/>
              <w:jc w:val="left"/>
            </w:pPr>
            <w:r>
              <w:rPr>
                <w:rFonts w:ascii="Times New Roman" w:hAnsi="Times New Roman" w:eastAsia="宋体"/>
                <w:b w:val="0"/>
                <w:color w:val="000000"/>
                <w:sz w:val="21"/>
              </w:rPr>
              <w:t>留一被试逐折折外拟合；盲测用六折概率平均</w:t>
            </w:r>
          </w:p>
        </w:tc>
      </w:tr>
      <w:tr w14:paraId="6837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8CEBA66">
            <w:pPr>
              <w:spacing w:after="0" w:line="276" w:lineRule="auto"/>
              <w:jc w:val="left"/>
            </w:pPr>
            <w:r>
              <w:rPr>
                <w:rFonts w:ascii="Times New Roman" w:hAnsi="Times New Roman" w:eastAsia="宋体"/>
                <w:b w:val="0"/>
                <w:color w:val="000000"/>
                <w:sz w:val="21"/>
              </w:rPr>
              <w:t>读出</w:t>
            </w:r>
          </w:p>
        </w:tc>
        <w:tc>
          <w:tcPr>
            <w:tcW w:w="2902" w:type="dxa"/>
          </w:tcPr>
          <w:p w14:paraId="04654F9E">
            <w:pPr>
              <w:spacing w:after="0" w:line="276" w:lineRule="auto"/>
              <w:jc w:val="left"/>
            </w:pPr>
            <w:r>
              <w:rPr>
                <w:rFonts w:ascii="Times New Roman" w:hAnsi="Times New Roman" w:eastAsia="宋体"/>
                <w:b w:val="0"/>
                <w:color w:val="000000"/>
                <w:sz w:val="21"/>
              </w:rPr>
              <w:t>因果平滑 + 试次内多数票</w:t>
            </w:r>
          </w:p>
        </w:tc>
        <w:tc>
          <w:tcPr>
            <w:tcW w:w="2902" w:type="dxa"/>
          </w:tcPr>
          <w:p w14:paraId="24ABC4B6">
            <w:pPr>
              <w:spacing w:after="0" w:line="276" w:lineRule="auto"/>
              <w:jc w:val="left"/>
            </w:pPr>
            <w:r>
              <w:rPr>
                <w:rFonts w:ascii="Times New Roman" w:hAnsi="Times New Roman" w:eastAsia="宋体"/>
                <w:b w:val="0"/>
                <w:color w:val="000000"/>
                <w:sz w:val="21"/>
              </w:rPr>
              <w:t>单窗 argmax（无在线节拍读出）</w:t>
            </w:r>
          </w:p>
        </w:tc>
      </w:tr>
      <w:tr w14:paraId="6D53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ED34A3D">
            <w:pPr>
              <w:spacing w:after="0" w:line="276" w:lineRule="auto"/>
              <w:jc w:val="left"/>
            </w:pPr>
            <w:r>
              <w:rPr>
                <w:rFonts w:ascii="Times New Roman" w:hAnsi="Times New Roman" w:eastAsia="宋体"/>
                <w:b w:val="0"/>
                <w:color w:val="000000"/>
                <w:sz w:val="21"/>
              </w:rPr>
              <w:t>是否进入演示系统</w:t>
            </w:r>
          </w:p>
        </w:tc>
        <w:tc>
          <w:tcPr>
            <w:tcW w:w="2902" w:type="dxa"/>
          </w:tcPr>
          <w:p w14:paraId="43BF3F1B">
            <w:pPr>
              <w:spacing w:after="0" w:line="276" w:lineRule="auto"/>
              <w:jc w:val="left"/>
            </w:pPr>
            <w:r>
              <w:rPr>
                <w:rFonts w:ascii="Times New Roman" w:hAnsi="Times New Roman" w:eastAsia="宋体"/>
                <w:b w:val="0"/>
                <w:color w:val="000000"/>
                <w:sz w:val="21"/>
              </w:rPr>
              <w:t>是（含适配态 CausalFuse-8FT）</w:t>
            </w:r>
          </w:p>
        </w:tc>
        <w:tc>
          <w:tcPr>
            <w:tcW w:w="2902" w:type="dxa"/>
          </w:tcPr>
          <w:p w14:paraId="3BF4127F">
            <w:pPr>
              <w:spacing w:after="0" w:line="276" w:lineRule="auto"/>
              <w:jc w:val="left"/>
            </w:pPr>
            <w:r>
              <w:rPr>
                <w:rFonts w:ascii="Times New Roman" w:hAnsi="Times New Roman" w:eastAsia="宋体"/>
                <w:b w:val="0"/>
                <w:color w:val="000000"/>
                <w:sz w:val="21"/>
              </w:rPr>
              <w:t>否（仅离线交卷）</w:t>
            </w:r>
          </w:p>
        </w:tc>
      </w:tr>
    </w:tbl>
    <w:p w14:paraId="558591C6">
      <w:pPr>
        <w:spacing w:after="60"/>
      </w:pPr>
    </w:p>
    <w:p w14:paraId="66284FF7">
      <w:pPr>
        <w:spacing w:before="0" w:after="120" w:line="312" w:lineRule="auto"/>
        <w:ind w:firstLine="480"/>
        <w:jc w:val="both"/>
      </w:pPr>
      <w:r>
        <w:rPr>
          <w:rFonts w:ascii="Times New Roman" w:hAnsi="Times New Roman" w:eastAsia="宋体"/>
          <w:b w:val="0"/>
          <w:color w:val="000000"/>
          <w:sz w:val="24"/>
        </w:rPr>
        <w:t>选型理由（为何在二分类领先时仍不用 Deep4Net）在 3.1 节完整论述。</w:t>
      </w:r>
    </w:p>
    <w:p w14:paraId="7F4734FF">
      <w:pPr>
        <w:spacing w:before="0" w:after="120" w:line="312" w:lineRule="auto"/>
        <w:ind w:firstLine="480"/>
        <w:jc w:val="both"/>
      </w:pPr>
      <w:r>
        <w:rPr>
          <w:rFonts w:ascii="Times New Roman" w:hAnsi="Times New Roman" w:eastAsia="宋体"/>
          <w:b w:val="0"/>
          <w:color w:val="000000"/>
          <w:sz w:val="24"/>
        </w:rPr>
        <w:t xml:space="preserve">本文保留公式的符号约定如下（矩阵用粗体、矢量标注、标量用斜体；在线取 </w:t>
      </w:r>
      <m:oMath>
        <m:r>
          <m:rPr/>
          <m:t>C=8</m:t>
        </m:r>
      </m:oMath>
      <w:r>
        <w:rPr>
          <w:rFonts w:ascii="Times New Roman" w:hAnsi="Times New Roman" w:eastAsia="宋体"/>
          <w:b w:val="0"/>
          <w:color w:val="000000"/>
          <w:sz w:val="24"/>
        </w:rPr>
        <w:t xml:space="preserve">，离线取 </w:t>
      </w:r>
      <m:oMath>
        <m:r>
          <m:rPr/>
          <m:t>C=59</m:t>
        </m:r>
      </m:oMath>
      <w:r>
        <w:rPr>
          <w:rFonts w:ascii="Times New Roman" w:hAnsi="Times New Roman" w:eastAsia="宋体"/>
          <w:b w:val="0"/>
          <w:color w:val="000000"/>
          <w:sz w:val="24"/>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7CDB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0CAEE83E">
            <w:pPr>
              <w:spacing w:after="0" w:line="276" w:lineRule="auto"/>
              <w:jc w:val="center"/>
            </w:pPr>
            <w:r>
              <w:rPr>
                <w:rFonts w:ascii="Times New Roman" w:hAnsi="Times New Roman" w:eastAsia="宋体"/>
                <w:b w:val="0"/>
                <w:color w:val="000000"/>
                <w:sz w:val="21"/>
              </w:rPr>
              <w:t>符号</w:t>
            </w:r>
          </w:p>
        </w:tc>
        <w:tc>
          <w:tcPr>
            <w:tcW w:w="2902" w:type="dxa"/>
            <w:shd w:val="clear" w:color="auto" w:fill="D9E2F3"/>
          </w:tcPr>
          <w:p w14:paraId="65489BC4">
            <w:pPr>
              <w:spacing w:after="0" w:line="276" w:lineRule="auto"/>
              <w:jc w:val="center"/>
            </w:pPr>
            <w:r>
              <w:rPr>
                <w:rFonts w:ascii="Times New Roman" w:hAnsi="Times New Roman" w:eastAsia="宋体"/>
                <w:b w:val="0"/>
                <w:color w:val="000000"/>
                <w:sz w:val="21"/>
              </w:rPr>
              <w:t>类型</w:t>
            </w:r>
          </w:p>
        </w:tc>
        <w:tc>
          <w:tcPr>
            <w:tcW w:w="2902" w:type="dxa"/>
            <w:shd w:val="clear" w:color="auto" w:fill="D9E2F3"/>
          </w:tcPr>
          <w:p w14:paraId="42A0BCB5">
            <w:pPr>
              <w:spacing w:after="0" w:line="276" w:lineRule="auto"/>
              <w:jc w:val="center"/>
            </w:pPr>
            <w:r>
              <w:rPr>
                <w:rFonts w:ascii="Times New Roman" w:hAnsi="Times New Roman" w:eastAsia="宋体"/>
                <w:b w:val="0"/>
                <w:color w:val="000000"/>
                <w:sz w:val="21"/>
              </w:rPr>
              <w:t>含义</w:t>
            </w:r>
          </w:p>
        </w:tc>
      </w:tr>
      <w:tr w14:paraId="4ACE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B89A152">
            <w:pPr>
              <w:spacing w:after="0" w:line="276" w:lineRule="auto"/>
              <w:jc w:val="left"/>
            </w:pPr>
            <m:oMathPara>
              <m:oMath>
                <m:r>
                  <m:rPr/>
                  <m:t>X</m:t>
                </m:r>
              </m:oMath>
            </m:oMathPara>
          </w:p>
        </w:tc>
        <w:tc>
          <w:tcPr>
            <w:tcW w:w="2902" w:type="dxa"/>
          </w:tcPr>
          <w:p w14:paraId="70BBF0F2">
            <w:pPr>
              <w:spacing w:after="0" w:line="276" w:lineRule="auto"/>
              <w:jc w:val="left"/>
            </w:pPr>
            <w:r>
              <w:rPr>
                <w:rFonts w:ascii="Times New Roman" w:hAnsi="Times New Roman" w:eastAsia="宋体"/>
                <w:b w:val="0"/>
                <w:color w:val="000000"/>
                <w:sz w:val="21"/>
              </w:rPr>
              <w:t>矩阵（粗体）</w:t>
            </w:r>
          </w:p>
        </w:tc>
        <w:tc>
          <w:tcPr>
            <w:tcW w:w="2902" w:type="dxa"/>
          </w:tcPr>
          <w:p w14:paraId="31BFE33B">
            <w:pPr>
              <w:spacing w:after="0" w:line="276" w:lineRule="auto"/>
              <w:jc w:val="left"/>
            </w:pPr>
            <w:r>
              <w:rPr>
                <w:rFonts w:ascii="Times New Roman" w:hAnsi="Times New Roman" w:eastAsia="宋体"/>
                <w:b w:val="0"/>
                <w:color w:val="000000"/>
                <w:sz w:val="21"/>
              </w:rPr>
              <w:t>单窗原始脑电，</w:t>
            </w:r>
            <m:oMath>
              <m:r>
                <m:rPr/>
                <m:t>C×750</m:t>
              </m:r>
            </m:oMath>
            <w:r>
              <w:rPr>
                <w:rFonts w:ascii="Times New Roman" w:hAnsi="Times New Roman" w:eastAsia="宋体"/>
                <w:b w:val="0"/>
                <w:color w:val="000000"/>
                <w:sz w:val="21"/>
              </w:rPr>
              <w:t xml:space="preserve">（在线 </w:t>
            </w:r>
            <m:oMath>
              <m:r>
                <m:rPr/>
                <m:t>C=8</m:t>
              </m:r>
            </m:oMath>
            <w:r>
              <w:rPr>
                <w:rFonts w:ascii="Times New Roman" w:hAnsi="Times New Roman" w:eastAsia="宋体"/>
                <w:b w:val="0"/>
                <w:color w:val="000000"/>
                <w:sz w:val="21"/>
              </w:rPr>
              <w:t xml:space="preserve">，离线 </w:t>
            </w:r>
            <m:oMath>
              <m:r>
                <m:rPr/>
                <m:t>C=59</m:t>
              </m:r>
            </m:oMath>
            <w:r>
              <w:rPr>
                <w:rFonts w:ascii="Times New Roman" w:hAnsi="Times New Roman" w:eastAsia="宋体"/>
                <w:b w:val="0"/>
                <w:color w:val="000000"/>
                <w:sz w:val="21"/>
              </w:rPr>
              <w:t>）</w:t>
            </w:r>
          </w:p>
        </w:tc>
      </w:tr>
      <w:tr w14:paraId="6A6F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39B3450">
            <w:pPr>
              <w:spacing w:after="0" w:line="276" w:lineRule="auto"/>
              <w:jc w:val="left"/>
            </w:pPr>
            <m:oMathPara>
              <m:oMath>
                <m:sSub>
                  <m:sSubPr/>
                  <m:e>
                    <m:r>
                      <m:rPr/>
                      <m:t>z</m:t>
                    </m:r>
                  </m:e>
                  <m:sub>
                    <m:r>
                      <m:rPr/>
                      <m:t>m</m:t>
                    </m:r>
                  </m:sub>
                </m:sSub>
              </m:oMath>
            </m:oMathPara>
          </w:p>
        </w:tc>
        <w:tc>
          <w:tcPr>
            <w:tcW w:w="2902" w:type="dxa"/>
          </w:tcPr>
          <w:p w14:paraId="0B191ADD">
            <w:pPr>
              <w:spacing w:after="0" w:line="276" w:lineRule="auto"/>
              <w:jc w:val="left"/>
            </w:pPr>
            <w:r>
              <w:rPr>
                <w:rFonts w:ascii="Times New Roman" w:hAnsi="Times New Roman" w:eastAsia="宋体"/>
                <w:b w:val="0"/>
                <w:color w:val="000000"/>
                <w:sz w:val="21"/>
              </w:rPr>
              <w:t>矢量</w:t>
            </w:r>
          </w:p>
        </w:tc>
        <w:tc>
          <w:tcPr>
            <w:tcW w:w="2902" w:type="dxa"/>
          </w:tcPr>
          <w:p w14:paraId="3A26E2B0">
            <w:pPr>
              <w:spacing w:after="0" w:line="276" w:lineRule="auto"/>
              <w:jc w:val="left"/>
            </w:pPr>
            <w:r>
              <w:rPr>
                <w:rFonts w:ascii="Times New Roman" w:hAnsi="Times New Roman" w:eastAsia="宋体"/>
                <w:b w:val="0"/>
                <w:color w:val="000000"/>
                <w:sz w:val="21"/>
              </w:rPr>
              <w:t xml:space="preserve">成员 </w:t>
            </w:r>
            <m:oMath>
              <m:r>
                <m:rPr/>
                <m:t>m</m:t>
              </m:r>
            </m:oMath>
            <w:r>
              <w:rPr>
                <w:rFonts w:ascii="Times New Roman" w:hAnsi="Times New Roman" w:eastAsia="宋体"/>
                <w:b w:val="0"/>
                <w:color w:val="000000"/>
                <w:sz w:val="21"/>
              </w:rPr>
              <w:t xml:space="preserve"> 输出的 logits（3 类）</w:t>
            </w:r>
          </w:p>
        </w:tc>
      </w:tr>
      <w:tr w14:paraId="59AD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C5EB74C">
            <w:pPr>
              <w:spacing w:after="0" w:line="276" w:lineRule="auto"/>
              <w:jc w:val="left"/>
            </w:pPr>
            <m:oMathPara>
              <m:oMath>
                <m:sSub>
                  <m:sSubPr/>
                  <m:e>
                    <m:r>
                      <m:rPr/>
                      <m:t>τ</m:t>
                    </m:r>
                  </m:e>
                  <m:sub>
                    <m:r>
                      <m:rPr/>
                      <m:t>m</m:t>
                    </m:r>
                  </m:sub>
                </m:sSub>
              </m:oMath>
            </m:oMathPara>
          </w:p>
        </w:tc>
        <w:tc>
          <w:tcPr>
            <w:tcW w:w="2902" w:type="dxa"/>
          </w:tcPr>
          <w:p w14:paraId="2CAAEA6E">
            <w:pPr>
              <w:spacing w:after="0" w:line="276" w:lineRule="auto"/>
              <w:jc w:val="left"/>
            </w:pPr>
            <w:r>
              <w:rPr>
                <w:rFonts w:ascii="Times New Roman" w:hAnsi="Times New Roman" w:eastAsia="宋体"/>
                <w:b w:val="0"/>
                <w:color w:val="000000"/>
                <w:sz w:val="21"/>
              </w:rPr>
              <w:t>标量</w:t>
            </w:r>
          </w:p>
        </w:tc>
        <w:tc>
          <w:tcPr>
            <w:tcW w:w="2902" w:type="dxa"/>
          </w:tcPr>
          <w:p w14:paraId="67B6911C">
            <w:pPr>
              <w:spacing w:after="0" w:line="276" w:lineRule="auto"/>
              <w:jc w:val="left"/>
            </w:pPr>
            <w:r>
              <w:rPr>
                <w:rFonts w:ascii="Times New Roman" w:hAnsi="Times New Roman" w:eastAsia="宋体"/>
                <w:b w:val="0"/>
                <w:color w:val="000000"/>
                <w:sz w:val="21"/>
              </w:rPr>
              <w:t xml:space="preserve">成员 </w:t>
            </w:r>
            <m:oMath>
              <m:r>
                <m:rPr/>
                <m:t>m</m:t>
              </m:r>
            </m:oMath>
            <w:r>
              <w:rPr>
                <w:rFonts w:ascii="Times New Roman" w:hAnsi="Times New Roman" w:eastAsia="宋体"/>
                <w:b w:val="0"/>
                <w:color w:val="000000"/>
                <w:sz w:val="21"/>
              </w:rPr>
              <w:t xml:space="preserve"> 的温度校准参数</w:t>
            </w:r>
          </w:p>
        </w:tc>
      </w:tr>
      <w:tr w14:paraId="58E0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FFC5F74">
            <w:pPr>
              <w:spacing w:after="0" w:line="276" w:lineRule="auto"/>
              <w:jc w:val="left"/>
            </w:pPr>
            <m:oMathPara>
              <m:oMath>
                <m:sSub>
                  <m:sSubPr/>
                  <m:e>
                    <m:limUpp>
                      <m:limUppPr/>
                      <m:e>
                        <m:r>
                          <m:rPr/>
                          <m:t>p</m:t>
                        </m:r>
                      </m:e>
                      <m:lim>
                        <m:r>
                          <m:rPr/>
                          <m:t>~</m:t>
                        </m:r>
                      </m:lim>
                    </m:limUpp>
                  </m:e>
                  <m:sub>
                    <m:r>
                      <m:rPr/>
                      <m:t>m,k</m:t>
                    </m:r>
                  </m:sub>
                </m:sSub>
              </m:oMath>
            </m:oMathPara>
          </w:p>
        </w:tc>
        <w:tc>
          <w:tcPr>
            <w:tcW w:w="2902" w:type="dxa"/>
          </w:tcPr>
          <w:p w14:paraId="42B4C103">
            <w:pPr>
              <w:spacing w:after="0" w:line="276" w:lineRule="auto"/>
              <w:jc w:val="left"/>
            </w:pPr>
            <w:r>
              <w:rPr>
                <w:rFonts w:ascii="Times New Roman" w:hAnsi="Times New Roman" w:eastAsia="宋体"/>
                <w:b w:val="0"/>
                <w:color w:val="000000"/>
                <w:sz w:val="21"/>
              </w:rPr>
              <w:t>标量</w:t>
            </w:r>
          </w:p>
        </w:tc>
        <w:tc>
          <w:tcPr>
            <w:tcW w:w="2902" w:type="dxa"/>
          </w:tcPr>
          <w:p w14:paraId="3CF37429">
            <w:pPr>
              <w:spacing w:after="0" w:line="276" w:lineRule="auto"/>
              <w:jc w:val="left"/>
            </w:pPr>
            <w:r>
              <w:rPr>
                <w:rFonts w:ascii="Times New Roman" w:hAnsi="Times New Roman" w:eastAsia="宋体"/>
                <w:b w:val="0"/>
                <w:color w:val="000000"/>
                <w:sz w:val="21"/>
              </w:rPr>
              <w:t xml:space="preserve">成员 </w:t>
            </w:r>
            <m:oMath>
              <m:r>
                <m:rPr/>
                <m:t>m</m:t>
              </m:r>
            </m:oMath>
            <w:r>
              <w:rPr>
                <w:rFonts w:ascii="Times New Roman" w:hAnsi="Times New Roman" w:eastAsia="宋体"/>
                <w:b w:val="0"/>
                <w:color w:val="000000"/>
                <w:sz w:val="21"/>
              </w:rPr>
              <w:t xml:space="preserve"> 校准后的第 </w:t>
            </w:r>
            <m:oMath>
              <m:r>
                <m:rPr/>
                <m:t>k</m:t>
              </m:r>
            </m:oMath>
            <w:r>
              <w:rPr>
                <w:rFonts w:ascii="Times New Roman" w:hAnsi="Times New Roman" w:eastAsia="宋体"/>
                <w:b w:val="0"/>
                <w:color w:val="000000"/>
                <w:sz w:val="21"/>
              </w:rPr>
              <w:t xml:space="preserve"> 类概率</w:t>
            </w:r>
          </w:p>
        </w:tc>
      </w:tr>
      <w:tr w14:paraId="6B07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40809EE">
            <w:pPr>
              <w:spacing w:after="0" w:line="276" w:lineRule="auto"/>
              <w:jc w:val="left"/>
            </w:pPr>
            <m:oMathPara>
              <m:oMath>
                <m:r>
                  <m:rPr/>
                  <m:t>w</m:t>
                </m:r>
              </m:oMath>
            </m:oMathPara>
          </w:p>
        </w:tc>
        <w:tc>
          <w:tcPr>
            <w:tcW w:w="2902" w:type="dxa"/>
          </w:tcPr>
          <w:p w14:paraId="53F65F0E">
            <w:pPr>
              <w:spacing w:after="0" w:line="276" w:lineRule="auto"/>
              <w:jc w:val="left"/>
            </w:pPr>
            <w:r>
              <w:rPr>
                <w:rFonts w:ascii="Times New Roman" w:hAnsi="Times New Roman" w:eastAsia="宋体"/>
                <w:b w:val="0"/>
                <w:color w:val="000000"/>
                <w:sz w:val="21"/>
              </w:rPr>
              <w:t>矢量</w:t>
            </w:r>
          </w:p>
        </w:tc>
        <w:tc>
          <w:tcPr>
            <w:tcW w:w="2902" w:type="dxa"/>
          </w:tcPr>
          <w:p w14:paraId="62C693DE">
            <w:pPr>
              <w:spacing w:after="0" w:line="276" w:lineRule="auto"/>
              <w:jc w:val="left"/>
            </w:pPr>
            <w:r>
              <w:rPr>
                <w:rFonts w:ascii="Times New Roman" w:hAnsi="Times New Roman" w:eastAsia="宋体"/>
                <w:b w:val="0"/>
                <w:color w:val="000000"/>
                <w:sz w:val="21"/>
              </w:rPr>
              <w:t>四成员融合权重，</w:t>
            </w:r>
            <m:oMath>
              <m:nary>
                <m:naryPr>
                  <m:chr m:val="∑"/>
                  <m:grow m:val="1"/>
                  <m:limLoc m:val="subSup"/>
                  <m:supHide m:val="1"/>
                </m:naryPr>
                <m:sub>
                  <m:r>
                    <m:rPr/>
                    <m:t>m</m:t>
                  </m:r>
                </m:sub>
                <m:sup/>
                <m:e>
                  <m:sSub>
                    <m:sSubPr/>
                    <m:e>
                      <m:r>
                        <m:rPr/>
                        <m:t>w</m:t>
                      </m:r>
                    </m:e>
                    <m:sub>
                      <m:r>
                        <m:rPr/>
                        <m:t>m</m:t>
                      </m:r>
                    </m:sub>
                  </m:sSub>
                </m:e>
              </m:nary>
              <m:r>
                <m:rPr/>
                <m:t>=1</m:t>
              </m:r>
            </m:oMath>
          </w:p>
        </w:tc>
      </w:tr>
      <w:tr w14:paraId="1B39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D54C40A">
            <w:pPr>
              <w:spacing w:after="0" w:line="276" w:lineRule="auto"/>
              <w:jc w:val="left"/>
            </w:pPr>
            <m:oMathPara>
              <m:oMath>
                <m:sSub>
                  <m:sSubPr/>
                  <m:e>
                    <m:r>
                      <m:rPr/>
                      <m:t>p</m:t>
                    </m:r>
                  </m:e>
                  <m:sub>
                    <m:r>
                      <m:rPr/>
                      <m:t>k</m:t>
                    </m:r>
                  </m:sub>
                </m:sSub>
              </m:oMath>
            </m:oMathPara>
          </w:p>
        </w:tc>
        <w:tc>
          <w:tcPr>
            <w:tcW w:w="2902" w:type="dxa"/>
          </w:tcPr>
          <w:p w14:paraId="4038FDAE">
            <w:pPr>
              <w:spacing w:after="0" w:line="276" w:lineRule="auto"/>
              <w:jc w:val="left"/>
            </w:pPr>
            <w:r>
              <w:rPr>
                <w:rFonts w:ascii="Times New Roman" w:hAnsi="Times New Roman" w:eastAsia="宋体"/>
                <w:b w:val="0"/>
                <w:color w:val="000000"/>
                <w:sz w:val="21"/>
              </w:rPr>
              <w:t>标量</w:t>
            </w:r>
          </w:p>
        </w:tc>
        <w:tc>
          <w:tcPr>
            <w:tcW w:w="2902" w:type="dxa"/>
          </w:tcPr>
          <w:p w14:paraId="1C8AFE7E">
            <w:pPr>
              <w:spacing w:after="0" w:line="276" w:lineRule="auto"/>
              <w:jc w:val="left"/>
            </w:pPr>
            <w:r>
              <w:rPr>
                <w:rFonts w:ascii="Times New Roman" w:hAnsi="Times New Roman" w:eastAsia="宋体"/>
                <w:b w:val="0"/>
                <w:color w:val="000000"/>
                <w:sz w:val="21"/>
              </w:rPr>
              <w:t xml:space="preserve">融合后的第 </w:t>
            </w:r>
            <m:oMath>
              <m:r>
                <m:rPr/>
                <m:t>k</m:t>
              </m:r>
            </m:oMath>
            <w:r>
              <w:rPr>
                <w:rFonts w:ascii="Times New Roman" w:hAnsi="Times New Roman" w:eastAsia="宋体"/>
                <w:b w:val="0"/>
                <w:color w:val="000000"/>
                <w:sz w:val="21"/>
              </w:rPr>
              <w:t xml:space="preserve"> 类概率</w:t>
            </w:r>
          </w:p>
        </w:tc>
      </w:tr>
      <w:tr w14:paraId="734B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5222AD5">
            <w:pPr>
              <w:spacing w:after="0" w:line="276" w:lineRule="auto"/>
              <w:jc w:val="left"/>
            </w:pPr>
            <m:oMathPara>
              <m:oMath>
                <m:sSub>
                  <m:sSubPr/>
                  <m:e>
                    <m:r>
                      <m:rPr/>
                      <m:t>θ</m:t>
                    </m:r>
                  </m:e>
                  <m:sub>
                    <m:r>
                      <m:rPr/>
                      <m:t>m</m:t>
                    </m:r>
                  </m:sub>
                </m:sSub>
              </m:oMath>
            </m:oMathPara>
          </w:p>
        </w:tc>
        <w:tc>
          <w:tcPr>
            <w:tcW w:w="2902" w:type="dxa"/>
          </w:tcPr>
          <w:p w14:paraId="220E96FE">
            <w:pPr>
              <w:spacing w:after="0" w:line="276" w:lineRule="auto"/>
              <w:jc w:val="left"/>
            </w:pPr>
            <w:r>
              <w:rPr>
                <w:rFonts w:ascii="Times New Roman" w:hAnsi="Times New Roman" w:eastAsia="宋体"/>
                <w:b w:val="0"/>
                <w:color w:val="000000"/>
                <w:sz w:val="21"/>
              </w:rPr>
              <w:t>参数集</w:t>
            </w:r>
          </w:p>
        </w:tc>
        <w:tc>
          <w:tcPr>
            <w:tcW w:w="2902" w:type="dxa"/>
          </w:tcPr>
          <w:p w14:paraId="14061477">
            <w:pPr>
              <w:spacing w:after="0" w:line="276" w:lineRule="auto"/>
              <w:jc w:val="left"/>
            </w:pPr>
            <w:r>
              <w:rPr>
                <w:rFonts w:ascii="Times New Roman" w:hAnsi="Times New Roman" w:eastAsia="宋体"/>
                <w:b w:val="0"/>
                <w:color w:val="000000"/>
                <w:sz w:val="21"/>
              </w:rPr>
              <w:t xml:space="preserve">成员 </w:t>
            </w:r>
            <m:oMath>
              <m:r>
                <m:rPr/>
                <m:t>m</m:t>
              </m:r>
            </m:oMath>
            <w:r>
              <w:rPr>
                <w:rFonts w:ascii="Times New Roman" w:hAnsi="Times New Roman" w:eastAsia="宋体"/>
                <w:b w:val="0"/>
                <w:color w:val="000000"/>
                <w:sz w:val="21"/>
              </w:rPr>
              <w:t xml:space="preserve"> 的可训练参数</w:t>
            </w:r>
          </w:p>
        </w:tc>
      </w:tr>
      <w:tr w14:paraId="6AF0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4EFA610">
            <w:pPr>
              <w:spacing w:after="0" w:line="276" w:lineRule="auto"/>
              <w:jc w:val="left"/>
            </w:pPr>
            <m:oMathPara>
              <m:oMath>
                <m:r>
                  <m:rPr/>
                  <m:t>η</m:t>
                </m:r>
              </m:oMath>
            </m:oMathPara>
          </w:p>
        </w:tc>
        <w:tc>
          <w:tcPr>
            <w:tcW w:w="2902" w:type="dxa"/>
          </w:tcPr>
          <w:p w14:paraId="6714BC90">
            <w:pPr>
              <w:spacing w:after="0" w:line="276" w:lineRule="auto"/>
              <w:jc w:val="left"/>
            </w:pPr>
            <w:r>
              <w:rPr>
                <w:rFonts w:ascii="Times New Roman" w:hAnsi="Times New Roman" w:eastAsia="宋体"/>
                <w:b w:val="0"/>
                <w:color w:val="000000"/>
                <w:sz w:val="21"/>
              </w:rPr>
              <w:t>标量</w:t>
            </w:r>
          </w:p>
        </w:tc>
        <w:tc>
          <w:tcPr>
            <w:tcW w:w="2902" w:type="dxa"/>
          </w:tcPr>
          <w:p w14:paraId="329BD0DE">
            <w:pPr>
              <w:spacing w:after="0" w:line="276" w:lineRule="auto"/>
              <w:jc w:val="left"/>
            </w:pPr>
            <w:r>
              <w:rPr>
                <w:rFonts w:ascii="Times New Roman" w:hAnsi="Times New Roman" w:eastAsia="宋体"/>
                <w:b w:val="0"/>
                <w:color w:val="000000"/>
                <w:sz w:val="21"/>
              </w:rPr>
              <w:t>增量微调学习率（仅在线适配态，见 2.5）</w:t>
            </w:r>
          </w:p>
        </w:tc>
      </w:tr>
    </w:tbl>
    <w:p w14:paraId="5DFC7E71">
      <w:pPr>
        <w:spacing w:after="60"/>
      </w:pPr>
    </w:p>
    <w:p w14:paraId="7152B028">
      <w:pPr>
        <w:pStyle w:val="4"/>
        <w:spacing w:before="200" w:after="160" w:line="312" w:lineRule="auto"/>
      </w:pPr>
      <w:bookmarkStart w:id="15" w:name="_Toc2576"/>
      <w:r>
        <w:rPr>
          <w:rFonts w:ascii="Times New Roman" w:hAnsi="Times New Roman" w:eastAsia="黑体"/>
          <w:b/>
          <w:color w:val="000000"/>
          <w:sz w:val="30"/>
        </w:rPr>
        <w:t>2.5 在线模型：采后逐场次增量微调与适配态</w:t>
      </w:r>
      <w:bookmarkEnd w:id="15"/>
    </w:p>
    <w:p w14:paraId="2147A3A6">
      <w:pPr>
        <w:spacing w:before="0" w:after="120" w:line="312" w:lineRule="auto"/>
        <w:ind w:firstLine="480"/>
        <w:jc w:val="both"/>
      </w:pPr>
      <w:r>
        <w:rPr>
          <w:rFonts w:ascii="Times New Roman" w:hAnsi="Times New Roman" w:eastAsia="宋体"/>
          <w:b w:val="0"/>
          <w:color w:val="000000"/>
          <w:sz w:val="24"/>
        </w:rPr>
        <w:t xml:space="preserve">在线底座（CausalFuse-8）对新用户只是起点：被试每完成一个采集会话后，由操作台启动采后增量微调——以全部已完成会话为训练集、对四成员更新一轮，得到适配态模型 CausalFuse-8FT。适配过程仅更新成员权重 </w:t>
      </w:r>
      <m:oMath>
        <m:sSub>
          <m:sSubPr/>
          <m:e>
            <m:r>
              <m:rPr/>
              <m:t>θ</m:t>
            </m:r>
          </m:e>
          <m:sub>
            <m:r>
              <m:rPr/>
              <m:t>m</m:t>
            </m:r>
          </m:sub>
        </m:sSub>
      </m:oMath>
      <w:r>
        <w:rPr>
          <w:rFonts w:ascii="Times New Roman" w:hAnsi="Times New Roman" w:eastAsia="宋体"/>
          <w:b w:val="0"/>
          <w:color w:val="000000"/>
          <w:sz w:val="24"/>
        </w:rPr>
        <w:t>，融合温度与权重保持冻结（与 2.4.2 在线底座的融合参数同源；"冻结而非再标定"的量化依据见 3.4 节：小样本折内拟合融合参数会产生 +4.7 个百分点的乐观伪影；方案必要性与闭环验证见 3.5–3.6 节）。</w:t>
      </w:r>
    </w:p>
    <w:p w14:paraId="48859C56">
      <w:pPr>
        <w:spacing w:before="0" w:after="120" w:line="312" w:lineRule="auto"/>
        <w:ind w:firstLine="480"/>
        <w:jc w:val="both"/>
      </w:pPr>
      <w:r>
        <w:rPr>
          <w:rFonts w:ascii="Times New Roman" w:hAnsi="Times New Roman" w:eastAsia="宋体"/>
          <w:b w:val="0"/>
          <w:color w:val="000000"/>
          <w:sz w:val="24"/>
        </w:rPr>
        <w:t xml:space="preserve">增量微调目标（核心公式二）。 第 </w:t>
      </w:r>
      <m:oMath>
        <m:r>
          <m:rPr/>
          <m:t>r</m:t>
        </m:r>
      </m:oMath>
      <w:r>
        <w:rPr>
          <w:rFonts w:ascii="Times New Roman" w:hAnsi="Times New Roman" w:eastAsia="宋体"/>
          <w:b w:val="0"/>
          <w:color w:val="000000"/>
          <w:sz w:val="24"/>
        </w:rPr>
        <w:t xml:space="preserve"> 轮训练批 </w:t>
      </w:r>
      <m:oMath>
        <m:r>
          <m:rPr/>
          <m:t>ℬ</m:t>
        </m:r>
      </m:oMath>
      <w:r>
        <w:rPr>
          <w:rFonts w:ascii="Times New Roman" w:hAnsi="Times New Roman" w:eastAsia="宋体"/>
          <w:b w:val="0"/>
          <w:color w:val="000000"/>
          <w:sz w:val="24"/>
        </w:rPr>
        <w:t xml:space="preserve"> 由自采历史与源域按约 </w:t>
      </w:r>
      <m:oMath>
        <m:r>
          <m:rPr/>
          <m:t>9:1</m:t>
        </m:r>
      </m:oMath>
      <w:r>
        <w:rPr>
          <w:rFonts w:ascii="Times New Roman" w:hAnsi="Times New Roman" w:eastAsia="宋体"/>
          <w:b w:val="0"/>
          <w:color w:val="000000"/>
          <w:sz w:val="24"/>
        </w:rPr>
        <w:t xml:space="preserve"> 混合，损失为批上交叉熵期望，并对 </w:t>
      </w:r>
      <m:oMath>
        <m:r>
          <m:rPr/>
          <m:t>m=1,…,4</m:t>
        </m:r>
      </m:oMath>
      <w:r>
        <w:rPr>
          <w:rFonts w:ascii="Times New Roman" w:hAnsi="Times New Roman" w:eastAsia="宋体"/>
          <w:b w:val="0"/>
          <w:color w:val="000000"/>
          <w:sz w:val="24"/>
        </w:rPr>
        <w:t xml:space="preserve"> 做梯度更新：</w:t>
      </w:r>
    </w:p>
    <w:p w14:paraId="113B4C5E">
      <w:pPr>
        <w:spacing w:before="120" w:after="120"/>
        <w:jc w:val="center"/>
      </w:pPr>
      <m:oMathPara>
        <m:oMathParaPr>
          <m:jc m:val="center"/>
        </m:oMathParaPr>
        <m:oMath>
          <m:r>
            <m:rPr/>
            <m:t>ℒ(θ)=</m:t>
          </m:r>
          <m:f>
            <m:fPr/>
            <m:num>
              <m:r>
                <m:rPr/>
                <m:t>1</m:t>
              </m:r>
            </m:num>
            <m:den>
              <m:d>
                <m:dPr>
                  <m:begChr m:val="|"/>
                  <m:sepChr m:val=""/>
                  <m:endChr m:val="|"/>
                </m:dPr>
                <m:e>
                  <m:r>
                    <m:rPr/>
                    <m:t>ℬ</m:t>
                  </m:r>
                </m:e>
              </m:d>
            </m:den>
          </m:f>
          <m:nary>
            <m:naryPr>
              <m:chr m:val="∑"/>
              <m:grow m:val="1"/>
              <m:limLoc m:val="subSup"/>
              <m:supHide m:val="1"/>
            </m:naryPr>
            <m:sub>
              <m:r>
                <m:rPr/>
                <m:t>(x,y)∈ℬ</m:t>
              </m:r>
            </m:sub>
            <m:sup/>
            <m:e>
              <m:r>
                <m:rPr/>
                <m:t>−</m:t>
              </m:r>
              <m:r>
                <m:rPr>
                  <m:sty m:val="p"/>
                </m:rPr>
                <m:t>log</m:t>
              </m:r>
            </m:e>
          </m:nary>
          <m:sSub>
            <m:sSubPr/>
            <m:e>
              <m:r>
                <m:rPr/>
                <m:t>p</m:t>
              </m:r>
            </m:e>
            <m:sub>
              <m:r>
                <m:rPr/>
                <m:t>θ</m:t>
              </m:r>
            </m:sub>
          </m:sSub>
          <m:r>
            <m:rPr/>
            <m:t>(y∣x),</m:t>
          </m:r>
          <m:sSubSup>
            <m:sSubSupPr/>
            <m:e>
              <m:r>
                <m:rPr/>
                <m:t>θ</m:t>
              </m:r>
            </m:e>
            <m:sub>
              <m:r>
                <m:rPr/>
                <m:t>m</m:t>
              </m:r>
            </m:sub>
            <m:sup>
              <m:d>
                <m:dPr>
                  <m:sepChr m:val="+"/>
                </m:dPr>
                <m:e>
                  <m:r>
                    <m:rPr/>
                    <m:t>r</m:t>
                  </m:r>
                </m:e>
                <m:e>
                  <m:r>
                    <m:rPr/>
                    <m:t>1</m:t>
                  </m:r>
                </m:e>
              </m:d>
            </m:sup>
          </m:sSubSup>
          <m:r>
            <m:rPr/>
            <m:t>=</m:t>
          </m:r>
          <m:sSubSup>
            <m:sSubSupPr/>
            <m:e>
              <m:r>
                <m:rPr/>
                <m:t>θ</m:t>
              </m:r>
            </m:e>
            <m:sub>
              <m:r>
                <m:rPr/>
                <m:t>m</m:t>
              </m:r>
            </m:sub>
            <m:sup>
              <m:d>
                <m:dPr>
                  <m:sepChr m:val=""/>
                </m:dPr>
                <m:e>
                  <m:r>
                    <m:rPr/>
                    <m:t>r</m:t>
                  </m:r>
                </m:e>
              </m:d>
            </m:sup>
          </m:sSubSup>
          <m:r>
            <m:rPr/>
            <m:t>−η</m:t>
          </m:r>
          <m:sSub>
            <m:sSubPr/>
            <m:e>
              <m:r>
                <m:rPr/>
                <m:t>∇</m:t>
              </m:r>
            </m:e>
            <m:sub>
              <m:sSub>
                <m:sSubPr/>
                <m:e>
                  <m:r>
                    <m:rPr/>
                    <m:t>θ</m:t>
                  </m:r>
                </m:e>
                <m:sub>
                  <m:r>
                    <m:rPr/>
                    <m:t>m</m:t>
                  </m:r>
                </m:sub>
              </m:sSub>
            </m:sub>
          </m:sSub>
          <m:r>
            <m:rPr/>
            <m:t>ℒ</m:t>
          </m:r>
          <m:d>
            <m:dPr>
              <m:sepChr m:val=""/>
            </m:dPr>
            <m:e>
              <m:r>
                <m:rPr/>
                <m:t>2.2</m:t>
              </m:r>
            </m:e>
          </m:d>
        </m:oMath>
      </m:oMathPara>
    </w:p>
    <w:p w14:paraId="699D782B">
      <w:pPr>
        <w:spacing w:before="0" w:after="120" w:line="312" w:lineRule="auto"/>
        <w:ind w:firstLine="480"/>
        <w:jc w:val="both"/>
      </w:pPr>
      <w:r>
        <w:rPr>
          <w:rFonts w:ascii="Times New Roman" w:hAnsi="Times New Roman" w:eastAsia="宋体"/>
          <w:b w:val="0"/>
          <w:color w:val="000000"/>
          <w:sz w:val="24"/>
        </w:rPr>
        <w:t xml:space="preserve">式中 </w:t>
      </w:r>
      <m:oMath>
        <m:r>
          <m:rPr/>
          <m:t>ℒ</m:t>
        </m:r>
      </m:oMath>
      <w:r>
        <w:rPr>
          <w:rFonts w:ascii="Times New Roman" w:hAnsi="Times New Roman" w:eastAsia="宋体"/>
          <w:b w:val="0"/>
          <w:color w:val="000000"/>
          <w:sz w:val="24"/>
        </w:rPr>
        <w:t xml:space="preserve"> 为交叉熵损失，</w:t>
      </w:r>
      <m:oMath>
        <m:sSub>
          <m:sSubPr/>
          <m:e>
            <m:r>
              <m:rPr/>
              <m:t>θ</m:t>
            </m:r>
          </m:e>
          <m:sub>
            <m:r>
              <m:rPr/>
              <m:t>m</m:t>
            </m:r>
          </m:sub>
        </m:sSub>
      </m:oMath>
      <w:r>
        <w:rPr>
          <w:rFonts w:ascii="Times New Roman" w:hAnsi="Times New Roman" w:eastAsia="宋体"/>
          <w:b w:val="0"/>
          <w:color w:val="000000"/>
          <w:sz w:val="24"/>
        </w:rPr>
        <w:t xml:space="preserve"> 为成员 </w:t>
      </w:r>
      <m:oMath>
        <m:r>
          <m:rPr/>
          <m:t>m</m:t>
        </m:r>
      </m:oMath>
      <w:r>
        <w:rPr>
          <w:rFonts w:ascii="Times New Roman" w:hAnsi="Times New Roman" w:eastAsia="宋体"/>
          <w:b w:val="0"/>
          <w:color w:val="000000"/>
          <w:sz w:val="24"/>
        </w:rPr>
        <w:t xml:space="preserve"> 的可训练参数集，</w:t>
      </w:r>
      <m:oMath>
        <m:r>
          <m:rPr/>
          <m:t>η</m:t>
        </m:r>
      </m:oMath>
      <w:r>
        <w:rPr>
          <w:rFonts w:ascii="Times New Roman" w:hAnsi="Times New Roman" w:eastAsia="宋体"/>
          <w:b w:val="0"/>
          <w:color w:val="000000"/>
          <w:sz w:val="24"/>
        </w:rPr>
        <w:t xml:space="preserve"> 为学习率（标量）；融合温度 </w:t>
      </w:r>
      <m:oMath>
        <m:sSub>
          <m:sSubPr/>
          <m:e>
            <m:r>
              <m:rPr/>
              <m:t>τ</m:t>
            </m:r>
          </m:e>
          <m:sub>
            <m:r>
              <m:rPr/>
              <m:t>m</m:t>
            </m:r>
          </m:sub>
        </m:sSub>
      </m:oMath>
      <w:r>
        <w:rPr>
          <w:rFonts w:ascii="Times New Roman" w:hAnsi="Times New Roman" w:eastAsia="宋体"/>
          <w:b w:val="0"/>
          <w:color w:val="000000"/>
          <w:sz w:val="24"/>
        </w:rPr>
        <w:t xml:space="preserve"> 与权重矢量 </w:t>
      </w:r>
      <m:oMath>
        <m:r>
          <m:rPr/>
          <m:t>w</m:t>
        </m:r>
      </m:oMath>
      <w:r>
        <w:rPr>
          <w:rFonts w:ascii="Times New Roman" w:hAnsi="Times New Roman" w:eastAsia="宋体"/>
          <w:b w:val="0"/>
          <w:color w:val="000000"/>
          <w:sz w:val="24"/>
        </w:rPr>
        <w:t xml:space="preserve"> 不进入优化变量（符号约定表见 2.4 节）。</w:t>
      </w:r>
    </w:p>
    <w:p w14:paraId="29F3D0C2">
      <w:pPr>
        <w:spacing w:before="0" w:after="120" w:line="312" w:lineRule="auto"/>
        <w:ind w:firstLine="480"/>
        <w:jc w:val="both"/>
      </w:pPr>
      <w:r>
        <w:rPr>
          <w:rFonts w:ascii="Times New Roman" w:hAnsi="Times New Roman" w:eastAsia="宋体"/>
          <w:b w:val="0"/>
          <w:color w:val="000000"/>
          <w:sz w:val="24"/>
        </w:rPr>
        <w:t xml:space="preserve">冻结配方为：全成员增量微调，混入 10% 源域数据，以会话为界批量更新；个体模型落盘并保留历史快照。场次门控与安全网：以保留评测的窗级原始准确率 </w:t>
      </w:r>
      <m:oMath>
        <m:sSub>
          <m:sSubPr/>
          <m:e>
            <m:r>
              <m:rPr/>
              <m:t>a</m:t>
            </m:r>
          </m:e>
          <m:sub>
            <m:r>
              <m:rPr/>
              <m:t>r+1</m:t>
            </m:r>
          </m:sub>
        </m:sSub>
      </m:oMath>
      <w:r>
        <w:rPr>
          <w:rFonts w:ascii="Times New Roman" w:hAnsi="Times New Roman" w:eastAsia="宋体"/>
          <w:b w:val="0"/>
          <w:color w:val="000000"/>
          <w:sz w:val="24"/>
        </w:rPr>
        <w:t xml:space="preserve">（未经因果平滑）判定 PASS/FAIL；每轮微调前自动存档权重，质量门控连续不通过先回滚上一权重并降低学习率，再次触发则冻结在线更新；门控不通过时告警并默认强制晋升（采集期效率优先：避免因门控卡住逐场晋升流程，异常仍显式落盘；部署态可切换为「阻止晋升 + 人工确认」，见附录 B）。PASS 判定同时满足：保留评测原始窗级准确率 </w:t>
      </w:r>
      <m:oMath>
        <m:sSub>
          <m:sSubPr/>
          <m:e>
            <m:r>
              <m:rPr/>
              <m:t>a</m:t>
            </m:r>
          </m:e>
          <m:sub>
            <m:r>
              <m:rPr/>
              <m:t>r+1</m:t>
            </m:r>
          </m:sub>
        </m:sSub>
        <m:r>
          <m:rPr/>
          <m:t>≥max(0.40,</m:t>
        </m:r>
        <m:sSub>
          <m:sSubPr/>
          <m:e>
            <m:r>
              <m:rPr/>
              <m:t>π</m:t>
            </m:r>
          </m:e>
          <m:sub>
            <m:r>
              <m:rPr/>
              <m:t>max</m:t>
            </m:r>
          </m:sub>
        </m:sSub>
        <m:r>
          <m:rPr/>
          <m:t>+0.05)</m:t>
        </m:r>
      </m:oMath>
      <w:r>
        <w:rPr>
          <w:rFonts w:ascii="Times New Roman" w:hAnsi="Times New Roman" w:eastAsia="宋体"/>
          <w:b w:val="0"/>
          <w:color w:val="000000"/>
          <w:sz w:val="24"/>
        </w:rPr>
        <w:t>（</w:t>
      </w:r>
      <m:oMath>
        <m:sSub>
          <m:sSubPr/>
          <m:e>
            <m:r>
              <m:rPr/>
              <m:t>π</m:t>
            </m:r>
          </m:e>
          <m:sub>
            <m:r>
              <m:rPr/>
              <m:t>max</m:t>
            </m:r>
          </m:sub>
        </m:sSub>
      </m:oMath>
      <w:r>
        <w:rPr>
          <w:rFonts w:ascii="Times New Roman" w:hAnsi="Times New Roman" w:eastAsia="宋体"/>
          <w:b w:val="0"/>
          <w:color w:val="000000"/>
          <w:sz w:val="24"/>
        </w:rPr>
        <w:t xml:space="preserve"> 为保留集最大类先验）、预测最大类占比 </w:t>
      </w:r>
      <m:oMath>
        <m:d>
          <m:dPr>
            <m:begChr m:val="&lt;"/>
            <m:sepChr m:val=""/>
            <m:endChr m:val=""/>
          </m:dPr>
          <m:e>
            <m:r>
              <m:rPr/>
              <m:t>0.60</m:t>
            </m:r>
          </m:e>
        </m:d>
      </m:oMath>
      <w:r>
        <w:rPr>
          <w:rFonts w:ascii="Times New Roman" w:hAnsi="Times New Roman" w:eastAsia="宋体"/>
          <w:b w:val="0"/>
          <w:color w:val="000000"/>
          <w:sz w:val="24"/>
        </w:rPr>
        <w:t xml:space="preserve">、训练−保留差距 </w:t>
      </w:r>
      <m:oMath>
        <m:d>
          <m:dPr>
            <m:begChr m:val="&lt;"/>
            <m:sepChr m:val=""/>
            <m:endChr m:val=""/>
          </m:dPr>
          <m:e>
            <m:r>
              <m:rPr/>
              <m:t>0.35</m:t>
            </m:r>
          </m:e>
        </m:d>
      </m:oMath>
      <w:r>
        <w:rPr>
          <w:rFonts w:ascii="Times New Roman" w:hAnsi="Times New Roman" w:eastAsia="宋体"/>
          <w:b w:val="0"/>
          <w:color w:val="000000"/>
          <w:sz w:val="24"/>
        </w:rPr>
        <w:t>，且三类均有预测；3.6 节被试表的窗级列为因果平滑口径末档，与门控所用原始窗级不必逐人相等（故可出现平滑读数相近但 PASS/FAIL 不同）。完整伪代码与门控定义见算法公式成稿式 (3.10)–(3.12)。该方案的两种实现方式（前半/后半切分与逐场次 Leave-Next，即采后逐场微调、留出紧邻下一场做保留评测）孰优、以及个体适配的必要性证据，见 3.5 节；真实用户闭环验证见 3.6 节。</w:t>
      </w:r>
    </w:p>
    <w:p w14:paraId="24CDFCD4">
      <w:pPr>
        <w:pStyle w:val="4"/>
        <w:spacing w:before="200" w:after="160" w:line="312" w:lineRule="auto"/>
      </w:pPr>
      <w:bookmarkStart w:id="16" w:name="_Toc6601"/>
      <w:r>
        <w:rPr>
          <w:rFonts w:ascii="Times New Roman" w:hAnsi="Times New Roman" w:eastAsia="黑体"/>
          <w:b/>
          <w:color w:val="000000"/>
          <w:sz w:val="30"/>
        </w:rPr>
        <w:t>2.6 在线交互系统：异步交互机制与实时架构</w:t>
      </w:r>
      <w:bookmarkEnd w:id="16"/>
    </w:p>
    <w:p w14:paraId="1AC2BFA7">
      <w:pPr>
        <w:spacing w:before="0" w:after="120" w:line="312" w:lineRule="auto"/>
        <w:ind w:firstLine="480"/>
        <w:jc w:val="both"/>
      </w:pPr>
      <w:r>
        <w:rPr>
          <w:rFonts w:ascii="Times New Roman" w:hAnsi="Times New Roman" w:eastAsia="宋体"/>
          <w:b w:val="0"/>
          <w:color w:val="000000"/>
          <w:sz w:val="24"/>
        </w:rPr>
        <w:t>在线底座与离线模型（2.4）解决分类骨架；在线适配态（2.5）解决个体适配；本节说明如何把在线模型做成可用交互：先给出异步判别方案，再写四层架构、实时链路与延迟构成。</w:t>
      </w:r>
    </w:p>
    <w:p w14:paraId="7739DE08">
      <w:pPr>
        <w:spacing w:before="0" w:after="120" w:line="312" w:lineRule="auto"/>
        <w:ind w:firstLine="480"/>
        <w:jc w:val="both"/>
      </w:pPr>
      <w:r>
        <w:rPr>
          <w:rFonts w:ascii="Times New Roman" w:hAnsi="Times New Roman" w:eastAsia="宋体"/>
          <w:b w:val="0"/>
          <w:color w:val="000000"/>
          <w:sz w:val="24"/>
        </w:rPr>
        <w:t>本系统的异步判别不依赖任何决策级门控信号，由三层机制构成。</w:t>
      </w:r>
    </w:p>
    <w:p w14:paraId="1C61B976">
      <w:pPr>
        <w:spacing w:before="0" w:after="120" w:line="312" w:lineRule="auto"/>
        <w:ind w:firstLine="480"/>
        <w:jc w:val="both"/>
      </w:pPr>
      <w:r>
        <w:rPr>
          <w:rFonts w:ascii="Times New Roman" w:hAnsi="Times New Roman" w:eastAsia="宋体"/>
          <w:b w:val="0"/>
          <w:color w:val="000000"/>
          <w:sz w:val="24"/>
        </w:rPr>
        <w:t>意图起止如何确定。 系统不另设「用户何时开始/结束一次意图」的检测器，而由实验范式的时间表规定：Cue 提示出现后，判定固定落在运动想象段后段（窗尾相对 Cue 约 3.0–4.0 s，共 11 档判定点），试次结果由这些窗的多数票给出；用户不自行触发意图起止。每一滑窗仍输出空闲/左手/右手三类之一——空闲是显式类别，静息时持续输出空闲，形成空闲态监视。这种「结构化试次 + 显式空闲类」与康复训练逐试次练习相匹配：用户按提示想象，系统在固定时刻反馈。</w:t>
      </w:r>
    </w:p>
    <w:p w14:paraId="1BCAD564">
      <w:pPr>
        <w:spacing w:before="0" w:after="120" w:line="312" w:lineRule="auto"/>
        <w:ind w:firstLine="480"/>
        <w:jc w:val="both"/>
      </w:pPr>
      <w:r>
        <w:rPr>
          <w:rFonts w:ascii="Times New Roman" w:hAnsi="Times New Roman" w:eastAsia="宋体"/>
          <w:b w:val="0"/>
          <w:color w:val="000000"/>
          <w:sz w:val="24"/>
        </w:rPr>
        <w:t>读出层抑制瞬时误判。 因果滑窗平滑（回看两窗，附录 D.3）压制单窗抖动，试次内多数票进一步容忍约半数窗级错误：只有当多数判定点一致指向某一类时才产生控制输出。单窗偶发误判不会形成错误指令。</w:t>
      </w:r>
    </w:p>
    <w:p w14:paraId="25B50172">
      <w:pPr>
        <w:spacing w:before="0" w:after="120" w:line="312" w:lineRule="auto"/>
        <w:ind w:firstLine="480"/>
        <w:jc w:val="both"/>
      </w:pPr>
      <w:r>
        <w:rPr>
          <w:rFonts w:ascii="Times New Roman" w:hAnsi="Times New Roman" w:eastAsia="宋体"/>
          <w:b w:val="0"/>
          <w:color w:val="000000"/>
          <w:sz w:val="24"/>
        </w:rPr>
        <w:t>窗级为什么用因果平滑而非多数票。 窗级是每 100 ms 的流式判定（只有当前与过去），试次级是 11 档到齐后的集合判定；多数票适合后者，窗级用概率均值平滑可保留证据强度、避免短回看平票振荡，并服务操作台连续概率监视。OpenBMI 上试次级多数票 61.25%、窗级因果平滑 61.88%（粒度不同，详见 3.3 节验证）。因此：窗级因果平滑提供连续判定流，试次级多数票产生控制输出。</w:t>
      </w:r>
    </w:p>
    <w:p w14:paraId="47069F47">
      <w:pPr>
        <w:spacing w:before="0" w:after="120" w:line="312" w:lineRule="auto"/>
        <w:ind w:firstLine="480"/>
        <w:jc w:val="both"/>
      </w:pPr>
      <w:r>
        <w:rPr>
          <w:rFonts w:ascii="Times New Roman" w:hAnsi="Times New Roman" w:eastAsia="宋体"/>
          <w:b w:val="0"/>
          <w:color w:val="000000"/>
          <w:sz w:val="24"/>
        </w:rPr>
        <w:t>场次级安全机制兜底。 保留会话以窗级原始准确率判定通过与否，不通过时告警落盘；默认策略为告警后强制晋升（理由与部署态切换见 2.5 节与附录 B），3.6 节队列的"12/20 通过门控"即该机制的逐轮落盘结果。游戏侧设无效试次计分判定与连续无效熔断降级。这些机制作用于模型管理与会话安全层面，不在实时判定路径上增加任何延迟或弃权分支。</w:t>
      </w:r>
    </w:p>
    <w:p w14:paraId="299FA0BF">
      <w:pPr>
        <w:spacing w:before="0" w:after="120" w:line="312" w:lineRule="auto"/>
        <w:ind w:firstLine="480"/>
        <w:jc w:val="both"/>
      </w:pPr>
      <w:r>
        <w:rPr>
          <w:rFonts w:ascii="Times New Roman" w:hAnsi="Times New Roman" w:eastAsia="宋体"/>
          <w:b w:val="0"/>
          <w:color w:val="000000"/>
          <w:sz w:val="24"/>
        </w:rPr>
        <w:t>为何不做决策级弃权门控。 此处「门控」指置信不足或生理指标不达标时弃权不输出。在线交互未采用，主要有三点。其一，弃权率过高：Stieger 跨库伪在线上叠加生理门控虽把准确率从 65.90% 提到 70.03%，但弃权率达 59.3%，过半试次无结果，实时交互不可用（来源见 §3.5）。其二，延迟不确定：门控要等证据积累或另算生理指标（逐窗 ERD 偏侧化），判定时刻会漂移；固定判定窗加多数票则给出确定的约 3.5 s 延迟。其三，与免专门标定目标冲突：门控阈值常需按被试校准，会抵消少样本适配收益。误触发已由读出层与会话层约束（见 3.1、3.6）。置信度早停与生理门控仅作离线分析或可选部署，不进入正式在线方案。需区分：本节拒绝的是决策级弃权门控；2.5 节的场次质量门控（采后微调安全网）仍在使用。</w:t>
      </w:r>
    </w:p>
    <w:p w14:paraId="69520678">
      <w:pPr>
        <w:spacing w:before="0" w:after="120" w:line="312" w:lineRule="auto"/>
        <w:ind w:firstLine="480"/>
        <w:jc w:val="both"/>
      </w:pPr>
      <w:r>
        <w:rPr>
          <w:rFonts w:ascii="Times New Roman" w:hAnsi="Times New Roman" w:eastAsia="宋体"/>
          <w:b w:val="0"/>
          <w:color w:val="000000"/>
          <w:sz w:val="24"/>
        </w:rPr>
        <w:t>在交互设计与工程实现上：游戏前端以第一人称虚拟手与桌面目标物呈现 Cue 引导（"想象：左手/右手握紧杯子"）。正式路径为 OpenBMI-Align v3 探针会话：默认 2×18=36 次左右手想象，每试次含 Cue 前专用 Rest 4 s；计分规则为想象判对 +1、Cue 前静息判对 +0.5（在线场满分 54；Leave-Next/队列汇报常按 Rest 截断后满分 45）。权重优先加载被试个人模型，否则回退通用底座。会话落盘后由操作台启动采后 Leave-Next 微调；完成后个人模型可按策略晋升，并在下一会话加载。另有 v3test 约 20 试次连击快验，仅用于权重检验，非正式采集口径。操作台承担被试登录、会话管理、实时波形与三分类概率监测、准入确认与热键控制；关键范式与会话事件落盘。工程上，前后端 WebSocket 通信带鉴权，会话收尾具备崩溃安全落盘，核心流水线有回归测试覆盖。游戏前端的实时交互界面如图 4 所示（操作台波形/概率监视见演示视频与现场采集）。演示视频（MP4，≤10 分钟）按"实时采集 → 三类实时分类 → 视觉反馈 → 状态切换响应"四要素录制，脚本与分镜见随附《演示视频脚本》。</w:t>
      </w:r>
    </w:p>
    <w:p w14:paraId="229EA95B">
      <w:pPr>
        <w:spacing w:before="120" w:after="80"/>
        <w:jc w:val="center"/>
      </w:pPr>
      <w:r>
        <w:drawing>
          <wp:inline distT="0" distB="0" distL="114300" distR="114300">
            <wp:extent cx="5219700" cy="2883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20000" cy="2884035"/>
                    </a:xfrm>
                    <a:prstGeom prst="rect">
                      <a:avLst/>
                    </a:prstGeom>
                  </pic:spPr>
                </pic:pic>
              </a:graphicData>
            </a:graphic>
          </wp:inline>
        </w:drawing>
      </w:r>
    </w:p>
    <w:p w14:paraId="5BCA9BEF">
      <w:pPr>
        <w:spacing w:before="40" w:after="160" w:line="312" w:lineRule="auto"/>
        <w:jc w:val="center"/>
      </w:pPr>
      <w:r>
        <w:rPr>
          <w:rFonts w:ascii="Times New Roman" w:hAnsi="Times New Roman" w:eastAsia="宋体"/>
          <w:b w:val="0"/>
          <w:color w:val="000000"/>
          <w:sz w:val="21"/>
        </w:rPr>
        <w:t>图 4　游戏前端实时交互界面（截图）。第一人称桌面够取场景；Cue 阶段叠加动觉引导语（图示为"想象：左手握紧杯子"及勿真动提示）；顶栏/底栏为会话相位与操作快捷键（暂停、确认、入组、拒绝、中止）。试次判定以手臂够取目标物的反馈动画呈现；操作台实时波形与三分类概率流监视与本界面并行，见演示视频。</w:t>
      </w:r>
    </w:p>
    <w:p w14:paraId="3BEDD88C">
      <w:pPr>
        <w:pStyle w:val="5"/>
        <w:spacing w:before="200" w:after="160" w:line="312" w:lineRule="auto"/>
      </w:pPr>
      <w:bookmarkStart w:id="17" w:name="_Toc30500"/>
      <w:r>
        <w:rPr>
          <w:rFonts w:ascii="Times New Roman" w:hAnsi="Times New Roman" w:eastAsia="黑体"/>
          <w:b/>
          <w:color w:val="000000"/>
          <w:sz w:val="28"/>
        </w:rPr>
        <w:t>2.6.1 分层架构与实时链路</w:t>
      </w:r>
      <w:bookmarkEnd w:id="17"/>
    </w:p>
    <w:p w14:paraId="47EEB5F6">
      <w:pPr>
        <w:spacing w:before="0" w:after="120" w:line="312" w:lineRule="auto"/>
        <w:ind w:firstLine="480"/>
        <w:jc w:val="both"/>
      </w:pPr>
      <w:r>
        <w:rPr>
          <w:rFonts w:ascii="Times New Roman" w:hAnsi="Times New Roman" w:eastAsia="宋体"/>
          <w:b w:val="0"/>
          <w:color w:val="000000"/>
          <w:sz w:val="24"/>
        </w:rPr>
        <w:t>在线系统采用四层架构：客户端层（游戏前端、操作台、采集硬件）、通信接入层（WebSocket 网关与 LSL 因果推流通道）、服务层（会话管理、采集质检、实时推理、状态分发、模型管理、安全审计）与数据存储层（会话原始数据、模型仓库、配置权威与质检产物），整体结构与数据流如图 5 所示。高频脑电流（250 Hz）经 LSL 单向因果推流进入采集服务，交互消息经 WebSocket 双向 JSON 通道流转，两条通道物理分离、互不阻塞。</w:t>
      </w:r>
    </w:p>
    <w:p w14:paraId="36BB3FF0">
      <w:pPr>
        <w:spacing w:before="120" w:after="80"/>
        <w:jc w:val="center"/>
      </w:pPr>
      <w:r>
        <w:drawing>
          <wp:inline distT="0" distB="0" distL="114300" distR="114300">
            <wp:extent cx="5219700" cy="482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20000" cy="4823093"/>
                    </a:xfrm>
                    <a:prstGeom prst="rect">
                      <a:avLst/>
                    </a:prstGeom>
                  </pic:spPr>
                </pic:pic>
              </a:graphicData>
            </a:graphic>
          </wp:inline>
        </w:drawing>
      </w:r>
    </w:p>
    <w:p w14:paraId="66FBFCE2">
      <w:pPr>
        <w:spacing w:before="40" w:after="160" w:line="312" w:lineRule="auto"/>
        <w:jc w:val="center"/>
      </w:pPr>
      <w:r>
        <w:rPr>
          <w:rFonts w:ascii="Times New Roman" w:hAnsi="Times New Roman" w:eastAsia="宋体"/>
          <w:b w:val="0"/>
          <w:color w:val="000000"/>
          <w:sz w:val="21"/>
        </w:rPr>
        <w:t>图 5　在线系统分层架构与实时数据流。客户端层（游戏前端/操作台/采集硬件）经 WebSocket 网关与 LSL 通道接入服务层；服务层以 100 ms 节拍完成"供窗—推理—分发"闭环；会话数据全量落盘；操作台启动采后微调后，晋升的个人模型可在下一会话加载。编号 ①–⑦ 对应正文实时链路；硬件实物连接见图 2。</w:t>
      </w:r>
    </w:p>
    <w:p w14:paraId="4FE54DC6">
      <w:pPr>
        <w:spacing w:before="0" w:after="120" w:line="312" w:lineRule="auto"/>
        <w:ind w:firstLine="480"/>
        <w:jc w:val="both"/>
      </w:pPr>
      <w:r>
        <w:rPr>
          <w:rFonts w:ascii="Times New Roman" w:hAnsi="Times New Roman" w:eastAsia="宋体"/>
          <w:b w:val="0"/>
          <w:color w:val="000000"/>
          <w:sz w:val="24"/>
        </w:rPr>
        <w:t>分层设计主要服务两件事：判定延迟确定、异常可追溯。高频脑电流（250 Hz）走 LSL 单向因果推流，交互消息走带鉴权的 WebSocket，避免共用通道时推理节拍被交互抖动拖累。范式状态机单独提供试次锚点（判定窗锚定 Cue 后 3.0–4.0 s 的 11 档点），滑窗判定与该锚点对齐后才有交互语义，避免多处各自判时造成口径漂移。全量落盘、对齐校验与采后微调均在实时判定路径之外：会话结束后由操作台启动微调与质量门控，晋升后的个人模型在下一会话加载，因而在线延迟不因适配作业波动（图 5 下方独立色带）。</w:t>
      </w:r>
    </w:p>
    <w:p w14:paraId="416E95B9">
      <w:pPr>
        <w:spacing w:before="0" w:after="120" w:line="312" w:lineRule="auto"/>
        <w:ind w:firstLine="480"/>
        <w:jc w:val="both"/>
      </w:pPr>
      <w:r>
        <w:rPr>
          <w:rFonts w:ascii="Times New Roman" w:hAnsi="Times New Roman" w:eastAsia="宋体"/>
          <w:b w:val="0"/>
          <w:color w:val="000000"/>
          <w:sz w:val="24"/>
        </w:rPr>
        <w:t>实时交互链路如图 6 所示，按编号走查如下：被试就位后由操作台完成登录与会话号分配（步骤 1），会话管理启动 OpenBMI-Align 范式状态机（Rest 4 s → 准备 2 s → Cue 1 s → 运动想象 4 s → 间隔 3 s），并经网关向游戏前端广播范式状态（步骤 2）；采集硬件经 LSL 因果推流 250 Hz 脑电，采集服务完成缓冲与健康监测，断流看门狗在缓冲停滞 2 s 时告警、5 s 时中止会话（步骤 3）；采集服务按 100 ms 步长向推理引擎供给最新 3 s 窗，推理引擎完成预处理（CAR → 8–30 Hz 带通 → 逐窗 z-score）与四成员并行前向，经温度校准与固定权重融合输出三类概率，单窗增量耗时 1.11 ms（步骤 4）；状态分发层执行因果平滑（回看两窗）与 argmax 得到窗级判定，按节拍将概率流推送操作台、判定推送游戏前端触发手臂够取目标物的反馈动画（步骤 5）；试次内 11 档判定点多数票产生试次结果并计分（步骤 6）；会话结束时全量落盘并完成标记—脑电对齐校验（步骤 7）；落盘后由操作台启动采后全成员增量微调与质量门控，完成后个人模型可晋升并在下一会话加载（步骤 8）。</w:t>
      </w:r>
    </w:p>
    <w:p w14:paraId="7E42148A">
      <w:pPr>
        <w:spacing w:before="120" w:after="80"/>
        <w:jc w:val="center"/>
      </w:pPr>
      <w:r>
        <w:drawing>
          <wp:inline distT="0" distB="0" distL="114300" distR="114300">
            <wp:extent cx="5219700" cy="300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20000" cy="3007691"/>
                    </a:xfrm>
                    <a:prstGeom prst="rect">
                      <a:avLst/>
                    </a:prstGeom>
                  </pic:spPr>
                </pic:pic>
              </a:graphicData>
            </a:graphic>
          </wp:inline>
        </w:drawing>
      </w:r>
    </w:p>
    <w:p w14:paraId="53A5A48D">
      <w:pPr>
        <w:spacing w:before="40" w:after="160" w:line="312" w:lineRule="auto"/>
        <w:jc w:val="center"/>
      </w:pPr>
      <w:r>
        <w:rPr>
          <w:rFonts w:ascii="Times New Roman" w:hAnsi="Times New Roman" w:eastAsia="宋体"/>
          <w:b w:val="0"/>
          <w:color w:val="000000"/>
          <w:sz w:val="21"/>
        </w:rPr>
        <w:t>图 6　实时交互全链路时序（四泳道 × 八步）。泳道划分为被试/游戏前端、服务端会话与采集、服务端推理与分发、操作台/数据存储；步骤编号与正文走查一一对应，并与随附演示视频的录制步骤对应。</w:t>
      </w:r>
    </w:p>
    <w:p w14:paraId="2550AC5B">
      <w:pPr>
        <w:spacing w:before="0" w:after="120" w:line="312" w:lineRule="auto"/>
        <w:ind w:firstLine="480"/>
        <w:jc w:val="both"/>
      </w:pPr>
      <w:r>
        <w:rPr>
          <w:rFonts w:ascii="Times New Roman" w:hAnsi="Times New Roman" w:eastAsia="宋体"/>
          <w:b w:val="0"/>
          <w:color w:val="000000"/>
          <w:sz w:val="24"/>
        </w:rPr>
        <w:t>实时性设计的关键在于延迟的确定性而非单步速度。判定延迟的构成如图 7 与表 1 所示：端到端判定延迟约 3.5 s，其中窗口时程占 3.0 s、判定点覆盖占 0.5 s，算法单窗前向增量仅 1.11 ms，远小于 100 ms 节拍；全窗多数票读出为 4.00 s。该延迟由口径冻结的窗口时程决定，现场不可变，因而可预期、可复现；由于空闲类为显式输出、控制输出仅由试次内多数票产生，判定路径不含弃权分支。异常处理遵循显式化原则：断流看门狗与场次质量门控的每次触发均告警落盘，连续无效试次触发会话熔断降级，保证任何异常可追溯而非静默吸收。</w:t>
      </w:r>
    </w:p>
    <w:p w14:paraId="25260C1D">
      <w:pPr>
        <w:spacing w:before="120" w:after="80"/>
        <w:jc w:val="center"/>
      </w:pPr>
      <w:r>
        <w:drawing>
          <wp:inline distT="0" distB="0" distL="114300" distR="114300">
            <wp:extent cx="5219700" cy="1379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20000" cy="1379792"/>
                    </a:xfrm>
                    <a:prstGeom prst="rect">
                      <a:avLst/>
                    </a:prstGeom>
                  </pic:spPr>
                </pic:pic>
              </a:graphicData>
            </a:graphic>
          </wp:inline>
        </w:drawing>
      </w:r>
    </w:p>
    <w:p w14:paraId="7C285B1C">
      <w:pPr>
        <w:spacing w:before="40" w:after="160" w:line="312" w:lineRule="auto"/>
        <w:jc w:val="center"/>
      </w:pPr>
      <w:r>
        <w:rPr>
          <w:rFonts w:ascii="Times New Roman" w:hAnsi="Times New Roman" w:eastAsia="宋体"/>
          <w:b w:val="0"/>
          <w:color w:val="000000"/>
          <w:sz w:val="21"/>
        </w:rPr>
        <w:t>图 7　在线判定延迟构成。窗口时程与判定点覆盖占 3.5 s，算法前向增量 1.11 ms 在该尺度下不可见；判定延迟为确定性上界，不受负载波动影响。</w:t>
      </w:r>
    </w:p>
    <w:p w14:paraId="14BF6544">
      <w:pPr>
        <w:spacing w:before="0" w:after="120" w:line="312" w:lineRule="auto"/>
        <w:ind w:firstLine="480"/>
        <w:jc w:val="both"/>
      </w:pPr>
      <w:r>
        <w:rPr>
          <w:rFonts w:ascii="Times New Roman" w:hAnsi="Times New Roman" w:eastAsia="宋体"/>
          <w:b w:val="0"/>
          <w:color w:val="000000"/>
          <w:sz w:val="24"/>
        </w:rPr>
        <w:t>表 1　在线判定延迟构成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5310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1B4EA0C2">
            <w:pPr>
              <w:spacing w:after="0" w:line="276" w:lineRule="auto"/>
              <w:jc w:val="center"/>
            </w:pPr>
            <w:r>
              <w:rPr>
                <w:rFonts w:ascii="Times New Roman" w:hAnsi="Times New Roman" w:eastAsia="宋体"/>
                <w:b w:val="0"/>
                <w:color w:val="000000"/>
                <w:sz w:val="21"/>
              </w:rPr>
              <w:t>环节</w:t>
            </w:r>
          </w:p>
        </w:tc>
        <w:tc>
          <w:tcPr>
            <w:tcW w:w="2902" w:type="dxa"/>
            <w:shd w:val="clear" w:color="auto" w:fill="D9E2F3"/>
          </w:tcPr>
          <w:p w14:paraId="73E73C16">
            <w:pPr>
              <w:spacing w:after="0" w:line="276" w:lineRule="auto"/>
              <w:jc w:val="center"/>
            </w:pPr>
            <w:r>
              <w:rPr>
                <w:rFonts w:ascii="Times New Roman" w:hAnsi="Times New Roman" w:eastAsia="宋体"/>
                <w:b w:val="0"/>
                <w:color w:val="000000"/>
                <w:sz w:val="21"/>
              </w:rPr>
              <w:t>耗时</w:t>
            </w:r>
          </w:p>
        </w:tc>
        <w:tc>
          <w:tcPr>
            <w:tcW w:w="2902" w:type="dxa"/>
            <w:shd w:val="clear" w:color="auto" w:fill="D9E2F3"/>
          </w:tcPr>
          <w:p w14:paraId="47B5B9E0">
            <w:pPr>
              <w:spacing w:after="0" w:line="276" w:lineRule="auto"/>
              <w:jc w:val="center"/>
            </w:pPr>
            <w:r>
              <w:rPr>
                <w:rFonts w:ascii="Times New Roman" w:hAnsi="Times New Roman" w:eastAsia="宋体"/>
                <w:b w:val="0"/>
                <w:color w:val="000000"/>
                <w:sz w:val="21"/>
              </w:rPr>
              <w:t>说明</w:t>
            </w:r>
          </w:p>
        </w:tc>
      </w:tr>
      <w:tr w14:paraId="6839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46FC116">
            <w:pPr>
              <w:spacing w:after="0" w:line="276" w:lineRule="auto"/>
              <w:jc w:val="left"/>
            </w:pPr>
            <w:r>
              <w:rPr>
                <w:rFonts w:ascii="Times New Roman" w:hAnsi="Times New Roman" w:eastAsia="宋体"/>
                <w:b w:val="0"/>
                <w:color w:val="000000"/>
                <w:sz w:val="21"/>
              </w:rPr>
              <w:t>窗口时程</w:t>
            </w:r>
          </w:p>
        </w:tc>
        <w:tc>
          <w:tcPr>
            <w:tcW w:w="2902" w:type="dxa"/>
          </w:tcPr>
          <w:p w14:paraId="61CBB63A">
            <w:pPr>
              <w:spacing w:after="0" w:line="276" w:lineRule="auto"/>
              <w:jc w:val="left"/>
            </w:pPr>
            <w:r>
              <w:rPr>
                <w:rFonts w:ascii="Times New Roman" w:hAnsi="Times New Roman" w:eastAsia="宋体"/>
                <w:b w:val="0"/>
                <w:color w:val="000000"/>
                <w:sz w:val="21"/>
              </w:rPr>
              <w:t>3.0 s</w:t>
            </w:r>
          </w:p>
        </w:tc>
        <w:tc>
          <w:tcPr>
            <w:tcW w:w="2902" w:type="dxa"/>
          </w:tcPr>
          <w:p w14:paraId="73BAC817">
            <w:pPr>
              <w:spacing w:after="0" w:line="276" w:lineRule="auto"/>
              <w:jc w:val="left"/>
            </w:pPr>
            <w:r>
              <w:rPr>
                <w:rFonts w:ascii="Times New Roman" w:hAnsi="Times New Roman" w:eastAsia="宋体"/>
                <w:b w:val="0"/>
                <w:color w:val="000000"/>
                <w:sz w:val="21"/>
              </w:rPr>
              <w:t>因果滑窗积累，口径冻结值</w:t>
            </w:r>
          </w:p>
        </w:tc>
      </w:tr>
      <w:tr w14:paraId="0BDC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59A9B51">
            <w:pPr>
              <w:spacing w:after="0" w:line="276" w:lineRule="auto"/>
              <w:jc w:val="left"/>
            </w:pPr>
            <w:r>
              <w:rPr>
                <w:rFonts w:ascii="Times New Roman" w:hAnsi="Times New Roman" w:eastAsia="宋体"/>
                <w:b w:val="0"/>
                <w:color w:val="000000"/>
                <w:sz w:val="21"/>
              </w:rPr>
              <w:t>判定点覆盖</w:t>
            </w:r>
          </w:p>
        </w:tc>
        <w:tc>
          <w:tcPr>
            <w:tcW w:w="2902" w:type="dxa"/>
          </w:tcPr>
          <w:p w14:paraId="6BDDD03E">
            <w:pPr>
              <w:spacing w:after="0" w:line="276" w:lineRule="auto"/>
              <w:jc w:val="left"/>
            </w:pPr>
            <w:r>
              <w:rPr>
                <w:rFonts w:ascii="Times New Roman" w:hAnsi="Times New Roman" w:eastAsia="宋体"/>
                <w:b w:val="0"/>
                <w:color w:val="000000"/>
                <w:sz w:val="21"/>
              </w:rPr>
              <w:t>0.5 s</w:t>
            </w:r>
          </w:p>
        </w:tc>
        <w:tc>
          <w:tcPr>
            <w:tcW w:w="2902" w:type="dxa"/>
          </w:tcPr>
          <w:p w14:paraId="16388C7B">
            <w:pPr>
              <w:spacing w:after="0" w:line="276" w:lineRule="auto"/>
              <w:jc w:val="left"/>
            </w:pPr>
            <w:r>
              <w:rPr>
                <w:rFonts w:ascii="Times New Roman" w:hAnsi="Times New Roman" w:eastAsia="宋体"/>
                <w:b w:val="0"/>
                <w:color w:val="000000"/>
                <w:sz w:val="21"/>
              </w:rPr>
              <w:t>窗尾相对 Cue 的 11 档判定点（3.0–4.0 s）</w:t>
            </w:r>
          </w:p>
        </w:tc>
      </w:tr>
      <w:tr w14:paraId="4E7C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E6720C5">
            <w:pPr>
              <w:spacing w:after="0" w:line="276" w:lineRule="auto"/>
              <w:jc w:val="left"/>
            </w:pPr>
            <w:r>
              <w:rPr>
                <w:rFonts w:ascii="Times New Roman" w:hAnsi="Times New Roman" w:eastAsia="宋体"/>
                <w:b w:val="0"/>
                <w:color w:val="000000"/>
                <w:sz w:val="21"/>
              </w:rPr>
              <w:t>预处理 + 四成员前向 + 融合</w:t>
            </w:r>
          </w:p>
        </w:tc>
        <w:tc>
          <w:tcPr>
            <w:tcW w:w="2902" w:type="dxa"/>
          </w:tcPr>
          <w:p w14:paraId="03BA9405">
            <w:pPr>
              <w:spacing w:after="0" w:line="276" w:lineRule="auto"/>
              <w:jc w:val="left"/>
            </w:pPr>
            <w:r>
              <w:rPr>
                <w:rFonts w:ascii="Times New Roman" w:hAnsi="Times New Roman" w:eastAsia="宋体"/>
                <w:b w:val="0"/>
                <w:color w:val="000000"/>
                <w:sz w:val="21"/>
              </w:rPr>
              <w:t>1.11 ms</w:t>
            </w:r>
          </w:p>
        </w:tc>
        <w:tc>
          <w:tcPr>
            <w:tcW w:w="2902" w:type="dxa"/>
          </w:tcPr>
          <w:p w14:paraId="58E2F84A">
            <w:pPr>
              <w:spacing w:after="0" w:line="276" w:lineRule="auto"/>
              <w:jc w:val="left"/>
            </w:pPr>
            <w:r>
              <w:rPr>
                <w:rFonts w:ascii="Times New Roman" w:hAnsi="Times New Roman" w:eastAsia="宋体"/>
                <w:b w:val="0"/>
                <w:color w:val="000000"/>
                <w:sz w:val="21"/>
              </w:rPr>
              <w:t>RTX 5070 实测，单窗增量</w:t>
            </w:r>
          </w:p>
        </w:tc>
      </w:tr>
      <w:tr w14:paraId="7BD5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056B5F2">
            <w:pPr>
              <w:spacing w:after="0" w:line="276" w:lineRule="auto"/>
              <w:jc w:val="left"/>
            </w:pPr>
            <w:r>
              <w:rPr>
                <w:rFonts w:ascii="Times New Roman" w:hAnsi="Times New Roman" w:eastAsia="宋体"/>
                <w:b w:val="0"/>
                <w:color w:val="000000"/>
                <w:sz w:val="21"/>
              </w:rPr>
              <w:t>因果平滑 + 多数票</w:t>
            </w:r>
          </w:p>
        </w:tc>
        <w:tc>
          <w:tcPr>
            <w:tcW w:w="2902" w:type="dxa"/>
          </w:tcPr>
          <w:p w14:paraId="7354A9F3">
            <w:pPr>
              <w:spacing w:after="0" w:line="276" w:lineRule="auto"/>
              <w:jc w:val="left"/>
            </w:pPr>
            <w:r>
              <w:rPr>
                <w:rFonts w:ascii="Times New Roman" w:hAnsi="Times New Roman" w:eastAsia="宋体"/>
                <w:b w:val="0"/>
                <w:color w:val="000000"/>
                <w:sz w:val="21"/>
              </w:rPr>
              <w:t>可忽略</w:t>
            </w:r>
          </w:p>
        </w:tc>
        <w:tc>
          <w:tcPr>
            <w:tcW w:w="2902" w:type="dxa"/>
          </w:tcPr>
          <w:p w14:paraId="748D545D">
            <w:pPr>
              <w:spacing w:after="0" w:line="276" w:lineRule="auto"/>
              <w:jc w:val="left"/>
            </w:pPr>
            <w:r>
              <w:rPr>
                <w:rFonts w:ascii="Times New Roman" w:hAnsi="Times New Roman" w:eastAsia="宋体"/>
                <w:b w:val="0"/>
                <w:color w:val="000000"/>
                <w:sz w:val="21"/>
              </w:rPr>
              <w:t>概率级运算，随前向同步完成</w:t>
            </w:r>
          </w:p>
        </w:tc>
      </w:tr>
      <w:tr w14:paraId="16E8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BF33EB1">
            <w:pPr>
              <w:spacing w:after="0" w:line="276" w:lineRule="auto"/>
              <w:jc w:val="left"/>
            </w:pPr>
            <w:r>
              <w:rPr>
                <w:rFonts w:ascii="Times New Roman" w:hAnsi="Times New Roman" w:eastAsia="宋体"/>
                <w:b w:val="0"/>
                <w:color w:val="000000"/>
                <w:sz w:val="21"/>
              </w:rPr>
              <w:t>端到端判定延迟</w:t>
            </w:r>
          </w:p>
        </w:tc>
        <w:tc>
          <w:tcPr>
            <w:tcW w:w="2902" w:type="dxa"/>
          </w:tcPr>
          <w:p w14:paraId="1AC76619">
            <w:pPr>
              <w:spacing w:after="0" w:line="276" w:lineRule="auto"/>
              <w:jc w:val="left"/>
            </w:pPr>
            <w:r>
              <w:rPr>
                <w:rFonts w:ascii="Times New Roman" w:hAnsi="Times New Roman" w:eastAsia="宋体"/>
                <w:b w:val="0"/>
                <w:color w:val="000000"/>
                <w:sz w:val="21"/>
              </w:rPr>
              <w:t>约 3.5 s（多数票读出 4.00 s）</w:t>
            </w:r>
          </w:p>
        </w:tc>
        <w:tc>
          <w:tcPr>
            <w:tcW w:w="2902" w:type="dxa"/>
          </w:tcPr>
          <w:p w14:paraId="52E9D543">
            <w:pPr>
              <w:spacing w:after="0" w:line="276" w:lineRule="auto"/>
              <w:jc w:val="left"/>
            </w:pPr>
            <w:r>
              <w:rPr>
                <w:rFonts w:ascii="Times New Roman" w:hAnsi="Times New Roman" w:eastAsia="宋体"/>
                <w:b w:val="0"/>
                <w:color w:val="000000"/>
                <w:sz w:val="21"/>
              </w:rPr>
              <w:t>由窗口时程主导，确定性上界</w:t>
            </w:r>
          </w:p>
        </w:tc>
      </w:tr>
    </w:tbl>
    <w:p w14:paraId="745BF999">
      <w:pPr>
        <w:spacing w:after="60"/>
      </w:pPr>
    </w:p>
    <w:p w14:paraId="6000A531">
      <w:pPr>
        <w:pStyle w:val="3"/>
        <w:spacing w:before="280" w:after="160" w:line="312" w:lineRule="auto"/>
        <w:jc w:val="center"/>
      </w:pPr>
      <w:bookmarkStart w:id="18" w:name="_Toc28210"/>
      <w:r>
        <w:rPr>
          <w:rFonts w:ascii="Times New Roman" w:hAnsi="Times New Roman" w:eastAsia="黑体"/>
          <w:b/>
          <w:color w:val="000000"/>
          <w:sz w:val="32"/>
        </w:rPr>
        <w:t>3 实验研究</w:t>
      </w:r>
      <w:bookmarkEnd w:id="18"/>
    </w:p>
    <w:p w14:paraId="6A032B85">
      <w:pPr>
        <w:pStyle w:val="4"/>
        <w:spacing w:before="200" w:after="160" w:line="312" w:lineRule="auto"/>
      </w:pPr>
      <w:bookmarkStart w:id="19" w:name="_Toc32154"/>
      <w:r>
        <w:rPr>
          <w:rFonts w:ascii="Times New Roman" w:hAnsi="Times New Roman" w:eastAsia="黑体"/>
          <w:b/>
          <w:color w:val="000000"/>
          <w:sz w:val="30"/>
        </w:rPr>
        <w:t>3.0 统一评测方案与判定纪律</w:t>
      </w:r>
      <w:bookmarkEnd w:id="19"/>
    </w:p>
    <w:p w14:paraId="16D47718">
      <w:pPr>
        <w:spacing w:before="0" w:after="120" w:line="312" w:lineRule="auto"/>
        <w:ind w:firstLine="480"/>
        <w:jc w:val="both"/>
      </w:pPr>
      <w:r>
        <w:rPr>
          <w:rFonts w:ascii="Times New Roman" w:hAnsi="Times New Roman" w:eastAsia="宋体"/>
          <w:b w:val="0"/>
          <w:color w:val="000000"/>
          <w:sz w:val="24"/>
        </w:rPr>
        <w:t>全部实验按两条线组织：模型训练与离线评测线（选型、机制探查、集成、指定集），伪在线回放线（跨库迁移与个体适配）。每个实验有独立的方案文档、结果登记表与落盘产物，主题总览见附录 A。</w:t>
      </w:r>
    </w:p>
    <w:p w14:paraId="2D37E1BA">
      <w:pPr>
        <w:spacing w:before="0" w:after="120" w:line="312" w:lineRule="auto"/>
        <w:ind w:firstLine="480"/>
        <w:jc w:val="both"/>
      </w:pPr>
      <w:r>
        <w:rPr>
          <w:rFonts w:ascii="Times New Roman" w:hAnsi="Times New Roman" w:eastAsia="宋体"/>
          <w:b w:val="0"/>
          <w:color w:val="000000"/>
          <w:sz w:val="24"/>
        </w:rPr>
        <w:t>统一评测方案：OpenBMI 评测采用被试独立五折、固定随机种子、验证集准确率早停、类均衡批训练（下文各表中的 Acc_paper 即指统一评测方案下的测试集精度，报告为均值±标准差）；显著性检验用被试级配对 Wilcoxon 或 McNemar 检验。判定纪律贯穿全部实验：所有超参、融合权重与阈值仅在验证集上选定；测试集单次评估；每个探索实验立项时预先登记采纳阈值。例如集成实验立项时登记"测试集提升不低于 0.5 个百分点才采纳、提升不足 0.2 个百分点则维持现状"，避免事后解释。训练硬件为 RTX 5060 / 5070 / 5090 三机，跨机结果经一致性核对（同配置锚点差小于 0.1 个百分点）。</w:t>
      </w:r>
    </w:p>
    <w:p w14:paraId="49888C7D">
      <w:pPr>
        <w:pStyle w:val="4"/>
        <w:spacing w:before="200" w:after="160" w:line="312" w:lineRule="auto"/>
      </w:pPr>
      <w:bookmarkStart w:id="20" w:name="_Toc19422"/>
      <w:r>
        <w:rPr>
          <w:rFonts w:ascii="Times New Roman" w:hAnsi="Times New Roman" w:eastAsia="黑体"/>
          <w:b/>
          <w:color w:val="000000"/>
          <w:sz w:val="30"/>
        </w:rPr>
        <w:t>3.1 切窗口径与主干选型</w:t>
      </w:r>
      <w:bookmarkEnd w:id="20"/>
    </w:p>
    <w:p w14:paraId="2C1FD9E0">
      <w:pPr>
        <w:spacing w:before="0" w:after="120" w:line="312" w:lineRule="auto"/>
        <w:ind w:firstLine="480"/>
        <w:jc w:val="both"/>
      </w:pPr>
      <w:r>
        <w:rPr>
          <w:rFonts w:ascii="Times New Roman" w:hAnsi="Times New Roman" w:eastAsia="宋体"/>
          <w:b w:val="0"/>
          <w:color w:val="000000"/>
          <w:sz w:val="24"/>
        </w:rPr>
        <w:t>研究问题：伪在线解码采用何种窗长与步长，何种主干网络。</w:t>
      </w:r>
    </w:p>
    <w:p w14:paraId="4AE8CC95">
      <w:pPr>
        <w:spacing w:before="0" w:after="120" w:line="312" w:lineRule="auto"/>
        <w:ind w:firstLine="480"/>
        <w:jc w:val="both"/>
      </w:pPr>
      <w:r>
        <w:rPr>
          <w:rFonts w:ascii="Times New Roman" w:hAnsi="Times New Roman" w:eastAsia="宋体"/>
          <w:b w:val="0"/>
          <w:color w:val="000000"/>
          <w:sz w:val="24"/>
        </w:rPr>
        <w:t>切窗口径「N s / 100 ms」：把连续脑电按长度 N 秒切成一段输入模型，每隔 100 ms 向前滑一次，即大约每 100 ms 给出一次窗级判定；不是通信协议，也不是实验伦理协议。选型阶段曾用 2 s 窗，现行冻结为 3 s 窗。窗长消融在 OpenBMI 统一评测方案下进行（三分类窗级）：1 s 窗 56.20%，2 s 窗 57.60%，3 s 窗 58.80%；3 s 窗较 2 s 窗在二分类上提升 4.7 个百分点，据此冻结 3 s / 100 ms。</w:t>
      </w:r>
    </w:p>
    <w:p w14:paraId="40A0CF9E">
      <w:pPr>
        <w:spacing w:before="120" w:after="80"/>
        <w:jc w:val="center"/>
      </w:pPr>
      <w:r>
        <w:drawing>
          <wp:inline distT="0" distB="0" distL="114300" distR="114300">
            <wp:extent cx="5219700" cy="366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20000" cy="3667151"/>
                    </a:xfrm>
                    <a:prstGeom prst="rect">
                      <a:avLst/>
                    </a:prstGeom>
                  </pic:spPr>
                </pic:pic>
              </a:graphicData>
            </a:graphic>
          </wp:inline>
        </w:drawing>
      </w:r>
    </w:p>
    <w:p w14:paraId="0790333B">
      <w:pPr>
        <w:spacing w:before="40" w:after="160" w:line="312" w:lineRule="auto"/>
        <w:jc w:val="center"/>
      </w:pPr>
      <w:r>
        <w:rPr>
          <w:rFonts w:ascii="Times New Roman" w:hAnsi="Times New Roman" w:eastAsia="宋体"/>
          <w:b w:val="0"/>
          <w:color w:val="000000"/>
          <w:sz w:val="21"/>
        </w:rPr>
        <w:t>图 8　窗长消融（OpenBMI，统一评测方案）。 窗级三分类准确率随窗长变化，3 s 窗最优并冻结为现行口径（步长 100 ms）；虚线为机会水平。点估计，折间波动见正文；纵轴自 0.30 起。注意：十一模型对比在另线 2 s 口径下完成，与本图窗长消融正交。</w:t>
      </w:r>
    </w:p>
    <w:p w14:paraId="139CB3D0">
      <w:pPr>
        <w:spacing w:before="0" w:after="120" w:line="312" w:lineRule="auto"/>
        <w:ind w:firstLine="480"/>
        <w:jc w:val="both"/>
      </w:pPr>
      <w:r>
        <w:rPr>
          <w:rFonts w:ascii="Times New Roman" w:hAnsi="Times New Roman" w:eastAsia="宋体"/>
          <w:b w:val="0"/>
          <w:color w:val="000000"/>
          <w:sz w:val="24"/>
        </w:rPr>
        <w:t>十一模型统一对比（OpenBMI 54 人、2 s / hop 100 ms、RTX 5060 正式汇总口径；表按三分类 Acc_paper 降序，与该 2 s 口径选型的正式汇总表一致）：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176"/>
        <w:gridCol w:w="2176"/>
        <w:gridCol w:w="2176"/>
        <w:gridCol w:w="2176"/>
      </w:tblGrid>
      <w:tr w14:paraId="7975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176" w:type="dxa"/>
            <w:shd w:val="clear" w:color="auto" w:fill="D9E2F3"/>
          </w:tcPr>
          <w:p w14:paraId="5C1D0487">
            <w:pPr>
              <w:spacing w:after="0" w:line="276" w:lineRule="auto"/>
              <w:jc w:val="center"/>
            </w:pPr>
            <w:r>
              <w:rPr>
                <w:rFonts w:ascii="Times New Roman" w:hAnsi="Times New Roman" w:eastAsia="宋体"/>
                <w:b w:val="0"/>
                <w:color w:val="000000"/>
                <w:sz w:val="21"/>
              </w:rPr>
              <w:t>排名</w:t>
            </w:r>
          </w:p>
        </w:tc>
        <w:tc>
          <w:tcPr>
            <w:tcW w:w="2176" w:type="dxa"/>
            <w:shd w:val="clear" w:color="auto" w:fill="D9E2F3"/>
          </w:tcPr>
          <w:p w14:paraId="58AD7008">
            <w:pPr>
              <w:spacing w:after="0" w:line="276" w:lineRule="auto"/>
              <w:jc w:val="center"/>
            </w:pPr>
            <w:r>
              <w:rPr>
                <w:rFonts w:ascii="Times New Roman" w:hAnsi="Times New Roman" w:eastAsia="宋体"/>
                <w:b w:val="0"/>
                <w:color w:val="000000"/>
                <w:sz w:val="21"/>
              </w:rPr>
              <w:t>模型</w:t>
            </w:r>
          </w:p>
        </w:tc>
        <w:tc>
          <w:tcPr>
            <w:tcW w:w="2176" w:type="dxa"/>
            <w:shd w:val="clear" w:color="auto" w:fill="D9E2F3"/>
          </w:tcPr>
          <w:p w14:paraId="3EADD76E">
            <w:pPr>
              <w:spacing w:after="0" w:line="276" w:lineRule="auto"/>
              <w:jc w:val="center"/>
            </w:pPr>
            <w:r>
              <w:rPr>
                <w:rFonts w:ascii="Times New Roman" w:hAnsi="Times New Roman" w:eastAsia="宋体"/>
                <w:b w:val="0"/>
                <w:color w:val="000000"/>
                <w:sz w:val="21"/>
              </w:rPr>
              <w:t>三分类 Acc_paper（%）</w:t>
            </w:r>
          </w:p>
        </w:tc>
        <w:tc>
          <w:tcPr>
            <w:tcW w:w="2176" w:type="dxa"/>
            <w:shd w:val="clear" w:color="auto" w:fill="D9E2F3"/>
          </w:tcPr>
          <w:p w14:paraId="366C087C">
            <w:pPr>
              <w:spacing w:after="0" w:line="276" w:lineRule="auto"/>
              <w:jc w:val="center"/>
            </w:pPr>
            <w:r>
              <w:rPr>
                <w:rFonts w:ascii="Times New Roman" w:hAnsi="Times New Roman" w:eastAsia="宋体"/>
                <w:b w:val="0"/>
                <w:color w:val="000000"/>
                <w:sz w:val="21"/>
              </w:rPr>
              <w:t>二分类 Acc_paper（%）</w:t>
            </w:r>
          </w:p>
        </w:tc>
      </w:tr>
      <w:tr w14:paraId="6726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706721D">
            <w:pPr>
              <w:spacing w:after="0" w:line="276" w:lineRule="auto"/>
              <w:jc w:val="left"/>
            </w:pPr>
            <w:r>
              <w:rPr>
                <w:rFonts w:ascii="Times New Roman" w:hAnsi="Times New Roman" w:eastAsia="宋体"/>
                <w:b w:val="0"/>
                <w:color w:val="000000"/>
                <w:sz w:val="21"/>
              </w:rPr>
              <w:t>-:</w:t>
            </w:r>
          </w:p>
        </w:tc>
        <w:tc>
          <w:tcPr>
            <w:tcW w:w="2176" w:type="dxa"/>
          </w:tcPr>
          <w:p w14:paraId="6454D463">
            <w:pPr>
              <w:spacing w:after="0" w:line="276" w:lineRule="auto"/>
              <w:jc w:val="left"/>
            </w:pPr>
            <w:r>
              <w:rPr>
                <w:rFonts w:ascii="Times New Roman" w:hAnsi="Times New Roman" w:eastAsia="宋体"/>
                <w:b w:val="0"/>
                <w:color w:val="000000"/>
                <w:sz w:val="21"/>
              </w:rPr>
              <w:t>---</w:t>
            </w:r>
          </w:p>
        </w:tc>
        <w:tc>
          <w:tcPr>
            <w:tcW w:w="2176" w:type="dxa"/>
          </w:tcPr>
          <w:p w14:paraId="11D6BE40">
            <w:pPr>
              <w:spacing w:after="0" w:line="276" w:lineRule="auto"/>
              <w:jc w:val="left"/>
            </w:pPr>
            <w:r>
              <w:rPr>
                <w:rFonts w:ascii="Times New Roman" w:hAnsi="Times New Roman" w:eastAsia="宋体"/>
                <w:b w:val="0"/>
                <w:color w:val="000000"/>
                <w:sz w:val="21"/>
              </w:rPr>
              <w:t>---</w:t>
            </w:r>
          </w:p>
        </w:tc>
        <w:tc>
          <w:tcPr>
            <w:tcW w:w="2176" w:type="dxa"/>
          </w:tcPr>
          <w:p w14:paraId="0DD4963E">
            <w:pPr>
              <w:spacing w:after="0" w:line="276" w:lineRule="auto"/>
              <w:jc w:val="left"/>
            </w:pPr>
            <w:r>
              <w:rPr>
                <w:rFonts w:ascii="Times New Roman" w:hAnsi="Times New Roman" w:eastAsia="宋体"/>
                <w:b w:val="0"/>
                <w:color w:val="000000"/>
                <w:sz w:val="21"/>
              </w:rPr>
              <w:t>---</w:t>
            </w:r>
          </w:p>
        </w:tc>
      </w:tr>
      <w:tr w14:paraId="2E56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7E804AD9">
            <w:pPr>
              <w:spacing w:after="0" w:line="276" w:lineRule="auto"/>
              <w:jc w:val="left"/>
            </w:pPr>
            <w:r>
              <w:rPr>
                <w:rFonts w:ascii="Times New Roman" w:hAnsi="Times New Roman" w:eastAsia="宋体"/>
                <w:b w:val="0"/>
                <w:color w:val="000000"/>
                <w:sz w:val="21"/>
              </w:rPr>
              <w:t>1</w:t>
            </w:r>
          </w:p>
        </w:tc>
        <w:tc>
          <w:tcPr>
            <w:tcW w:w="2176" w:type="dxa"/>
          </w:tcPr>
          <w:p w14:paraId="7EFCC53E">
            <w:pPr>
              <w:spacing w:after="0" w:line="276" w:lineRule="auto"/>
              <w:jc w:val="left"/>
            </w:pPr>
            <w:r>
              <w:rPr>
                <w:rFonts w:ascii="Times New Roman" w:hAnsi="Times New Roman" w:eastAsia="宋体"/>
                <w:b w:val="0"/>
                <w:color w:val="000000"/>
                <w:sz w:val="21"/>
              </w:rPr>
              <w:t>ShallowFBCSPNet</w:t>
            </w:r>
          </w:p>
        </w:tc>
        <w:tc>
          <w:tcPr>
            <w:tcW w:w="2176" w:type="dxa"/>
          </w:tcPr>
          <w:p w14:paraId="50488D72">
            <w:pPr>
              <w:spacing w:after="0" w:line="276" w:lineRule="auto"/>
              <w:jc w:val="left"/>
            </w:pPr>
            <w:r>
              <w:rPr>
                <w:rFonts w:ascii="Times New Roman" w:hAnsi="Times New Roman" w:eastAsia="宋体"/>
                <w:b w:val="0"/>
                <w:color w:val="000000"/>
                <w:sz w:val="21"/>
              </w:rPr>
              <w:t>54.04±2.56</w:t>
            </w:r>
          </w:p>
        </w:tc>
        <w:tc>
          <w:tcPr>
            <w:tcW w:w="2176" w:type="dxa"/>
          </w:tcPr>
          <w:p w14:paraId="55A6FE02">
            <w:pPr>
              <w:spacing w:after="0" w:line="276" w:lineRule="auto"/>
              <w:jc w:val="left"/>
            </w:pPr>
            <w:r>
              <w:rPr>
                <w:rFonts w:ascii="Times New Roman" w:hAnsi="Times New Roman" w:eastAsia="宋体"/>
                <w:b w:val="0"/>
                <w:color w:val="000000"/>
                <w:sz w:val="21"/>
              </w:rPr>
              <w:t>69.41±3.49</w:t>
            </w:r>
          </w:p>
        </w:tc>
      </w:tr>
      <w:tr w14:paraId="4A25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039FB33F">
            <w:pPr>
              <w:spacing w:after="0" w:line="276" w:lineRule="auto"/>
              <w:jc w:val="left"/>
            </w:pPr>
            <w:r>
              <w:rPr>
                <w:rFonts w:ascii="Times New Roman" w:hAnsi="Times New Roman" w:eastAsia="宋体"/>
                <w:b w:val="0"/>
                <w:color w:val="000000"/>
                <w:sz w:val="21"/>
              </w:rPr>
              <w:t>2</w:t>
            </w:r>
          </w:p>
        </w:tc>
        <w:tc>
          <w:tcPr>
            <w:tcW w:w="2176" w:type="dxa"/>
          </w:tcPr>
          <w:p w14:paraId="0C8D5975">
            <w:pPr>
              <w:spacing w:after="0" w:line="276" w:lineRule="auto"/>
              <w:jc w:val="left"/>
            </w:pPr>
            <w:r>
              <w:rPr>
                <w:rFonts w:ascii="Times New Roman" w:hAnsi="Times New Roman" w:eastAsia="宋体"/>
                <w:b w:val="0"/>
                <w:color w:val="000000"/>
                <w:sz w:val="21"/>
              </w:rPr>
              <w:t>Deep4Net</w:t>
            </w:r>
          </w:p>
        </w:tc>
        <w:tc>
          <w:tcPr>
            <w:tcW w:w="2176" w:type="dxa"/>
          </w:tcPr>
          <w:p w14:paraId="0CA3F776">
            <w:pPr>
              <w:spacing w:after="0" w:line="276" w:lineRule="auto"/>
              <w:jc w:val="left"/>
            </w:pPr>
            <w:r>
              <w:rPr>
                <w:rFonts w:ascii="Times New Roman" w:hAnsi="Times New Roman" w:eastAsia="宋体"/>
                <w:b w:val="0"/>
                <w:color w:val="000000"/>
                <w:sz w:val="21"/>
              </w:rPr>
              <w:t>54.00±2.96</w:t>
            </w:r>
          </w:p>
        </w:tc>
        <w:tc>
          <w:tcPr>
            <w:tcW w:w="2176" w:type="dxa"/>
          </w:tcPr>
          <w:p w14:paraId="23E8CC09">
            <w:pPr>
              <w:spacing w:after="0" w:line="276" w:lineRule="auto"/>
              <w:jc w:val="left"/>
            </w:pPr>
            <w:r>
              <w:rPr>
                <w:rFonts w:ascii="Times New Roman" w:hAnsi="Times New Roman" w:eastAsia="宋体"/>
                <w:b w:val="0"/>
                <w:color w:val="000000"/>
                <w:sz w:val="21"/>
              </w:rPr>
              <w:t>71.69±3.35</w:t>
            </w:r>
          </w:p>
        </w:tc>
      </w:tr>
      <w:tr w14:paraId="742E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4C01AF7">
            <w:pPr>
              <w:spacing w:after="0" w:line="276" w:lineRule="auto"/>
              <w:jc w:val="left"/>
            </w:pPr>
            <w:r>
              <w:rPr>
                <w:rFonts w:ascii="Times New Roman" w:hAnsi="Times New Roman" w:eastAsia="宋体"/>
                <w:b w:val="0"/>
                <w:color w:val="000000"/>
                <w:sz w:val="21"/>
              </w:rPr>
              <w:t>3</w:t>
            </w:r>
          </w:p>
        </w:tc>
        <w:tc>
          <w:tcPr>
            <w:tcW w:w="2176" w:type="dxa"/>
          </w:tcPr>
          <w:p w14:paraId="269852A8">
            <w:pPr>
              <w:spacing w:after="0" w:line="276" w:lineRule="auto"/>
              <w:jc w:val="left"/>
            </w:pPr>
            <w:r>
              <w:rPr>
                <w:rFonts w:ascii="Times New Roman" w:hAnsi="Times New Roman" w:eastAsia="宋体"/>
                <w:b w:val="0"/>
                <w:color w:val="000000"/>
                <w:sz w:val="21"/>
              </w:rPr>
              <w:t>Conformer</w:t>
            </w:r>
          </w:p>
        </w:tc>
        <w:tc>
          <w:tcPr>
            <w:tcW w:w="2176" w:type="dxa"/>
          </w:tcPr>
          <w:p w14:paraId="0EB4B5F9">
            <w:pPr>
              <w:spacing w:after="0" w:line="276" w:lineRule="auto"/>
              <w:jc w:val="left"/>
            </w:pPr>
            <w:r>
              <w:rPr>
                <w:rFonts w:ascii="Times New Roman" w:hAnsi="Times New Roman" w:eastAsia="宋体"/>
                <w:b w:val="0"/>
                <w:color w:val="000000"/>
                <w:sz w:val="21"/>
              </w:rPr>
              <w:t>53.75±2.49</w:t>
            </w:r>
          </w:p>
        </w:tc>
        <w:tc>
          <w:tcPr>
            <w:tcW w:w="2176" w:type="dxa"/>
          </w:tcPr>
          <w:p w14:paraId="54E408AF">
            <w:pPr>
              <w:spacing w:after="0" w:line="276" w:lineRule="auto"/>
              <w:jc w:val="left"/>
            </w:pPr>
            <w:r>
              <w:rPr>
                <w:rFonts w:ascii="Times New Roman" w:hAnsi="Times New Roman" w:eastAsia="宋体"/>
                <w:b w:val="0"/>
                <w:color w:val="000000"/>
                <w:sz w:val="21"/>
              </w:rPr>
              <w:t>70.71±3.55</w:t>
            </w:r>
          </w:p>
        </w:tc>
      </w:tr>
      <w:tr w14:paraId="14FB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12D302A9">
            <w:pPr>
              <w:spacing w:after="0" w:line="276" w:lineRule="auto"/>
              <w:jc w:val="left"/>
            </w:pPr>
            <w:r>
              <w:rPr>
                <w:rFonts w:ascii="Times New Roman" w:hAnsi="Times New Roman" w:eastAsia="宋体"/>
                <w:b w:val="0"/>
                <w:color w:val="000000"/>
                <w:sz w:val="21"/>
              </w:rPr>
              <w:t>4</w:t>
            </w:r>
          </w:p>
        </w:tc>
        <w:tc>
          <w:tcPr>
            <w:tcW w:w="2176" w:type="dxa"/>
          </w:tcPr>
          <w:p w14:paraId="680422EA">
            <w:pPr>
              <w:spacing w:after="0" w:line="276" w:lineRule="auto"/>
              <w:jc w:val="left"/>
            </w:pPr>
            <w:r>
              <w:rPr>
                <w:rFonts w:ascii="Times New Roman" w:hAnsi="Times New Roman" w:eastAsia="宋体"/>
                <w:b w:val="0"/>
                <w:color w:val="000000"/>
                <w:sz w:val="21"/>
              </w:rPr>
              <w:t>EEGNet</w:t>
            </w:r>
          </w:p>
        </w:tc>
        <w:tc>
          <w:tcPr>
            <w:tcW w:w="2176" w:type="dxa"/>
          </w:tcPr>
          <w:p w14:paraId="532C8B94">
            <w:pPr>
              <w:spacing w:after="0" w:line="276" w:lineRule="auto"/>
              <w:jc w:val="left"/>
            </w:pPr>
            <w:r>
              <w:rPr>
                <w:rFonts w:ascii="Times New Roman" w:hAnsi="Times New Roman" w:eastAsia="宋体"/>
                <w:b w:val="0"/>
                <w:color w:val="000000"/>
                <w:sz w:val="21"/>
              </w:rPr>
              <w:t>53.22±2.91</w:t>
            </w:r>
          </w:p>
        </w:tc>
        <w:tc>
          <w:tcPr>
            <w:tcW w:w="2176" w:type="dxa"/>
          </w:tcPr>
          <w:p w14:paraId="146EEE5B">
            <w:pPr>
              <w:spacing w:after="0" w:line="276" w:lineRule="auto"/>
              <w:jc w:val="left"/>
            </w:pPr>
            <w:r>
              <w:rPr>
                <w:rFonts w:ascii="Times New Roman" w:hAnsi="Times New Roman" w:eastAsia="宋体"/>
                <w:b w:val="0"/>
                <w:color w:val="000000"/>
                <w:sz w:val="21"/>
              </w:rPr>
              <w:t>68.69±3.34</w:t>
            </w:r>
          </w:p>
        </w:tc>
      </w:tr>
    </w:tbl>
    <w:p w14:paraId="257FEE37">
      <w:pPr>
        <w:spacing w:after="60"/>
      </w:pPr>
    </w:p>
    <w:p w14:paraId="47813B76">
      <w:pPr>
        <w:spacing w:before="0" w:after="120" w:line="312" w:lineRule="auto"/>
        <w:ind w:firstLine="480"/>
        <w:jc w:val="both"/>
      </w:pPr>
      <w:r>
        <w:rPr>
          <w:rFonts w:ascii="Times New Roman" w:hAnsi="Times New Roman" w:eastAsia="宋体"/>
          <w:b w:val="0"/>
          <w:color w:val="000000"/>
          <w:sz w:val="24"/>
        </w:rPr>
        <w:t>其余 7 个模型三分类 Acc_paper 均低于 52%，未进入后续选型。</w:t>
      </w:r>
    </w:p>
    <w:p w14:paraId="302EFC15">
      <w:pPr>
        <w:spacing w:before="0" w:after="120" w:line="312" w:lineRule="auto"/>
        <w:ind w:firstLine="480"/>
        <w:jc w:val="both"/>
      </w:pPr>
      <w:r>
        <w:rPr>
          <w:rFonts w:ascii="Times New Roman" w:hAnsi="Times New Roman" w:eastAsia="宋体"/>
          <w:b w:val="0"/>
          <w:color w:val="000000"/>
          <w:sz w:val="24"/>
        </w:rPr>
        <w:t>三分类最高为 ShallowFBCSPNet（54.04%），二分类最高为 Deep4Net（71.69%），两者三分类差距仅 0.04 个百分点，落在折间噪声内。</w:t>
      </w:r>
    </w:p>
    <w:p w14:paraId="43F22CB8">
      <w:pPr>
        <w:spacing w:before="120" w:after="80"/>
        <w:jc w:val="center"/>
      </w:pPr>
      <w:r>
        <w:drawing>
          <wp:inline distT="0" distB="0" distL="114300" distR="114300">
            <wp:extent cx="5219700" cy="3774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20000" cy="3774933"/>
                    </a:xfrm>
                    <a:prstGeom prst="rect">
                      <a:avLst/>
                    </a:prstGeom>
                  </pic:spPr>
                </pic:pic>
              </a:graphicData>
            </a:graphic>
          </wp:inline>
        </w:drawing>
      </w:r>
    </w:p>
    <w:p w14:paraId="6D52B2B1">
      <w:pPr>
        <w:spacing w:before="40" w:after="160" w:line="312" w:lineRule="auto"/>
        <w:jc w:val="center"/>
      </w:pPr>
      <w:r>
        <w:rPr>
          <w:rFonts w:ascii="Times New Roman" w:hAnsi="Times New Roman" w:eastAsia="宋体"/>
          <w:b w:val="0"/>
          <w:color w:val="000000"/>
          <w:sz w:val="21"/>
        </w:rPr>
        <w:t>图 9　OpenBMI 统一评测方案下十一模型选型树（2 s / 100 ms · Acc_paper）。 左为分层树：CNN/原始波形（8）与 Bandpower 图模型（3）；右为试次级三分类准确率条（数字标在条外，避免与标记重叠）。深蓝条 + ★ = 采纳主干 ShallowFBCSPNet（54.04%）；Deep4Net（54.00%）几乎并列。虚线为机会水平 1/3。数据锁自 5060 正式汇总表（与正文表前四行一致）。</w:t>
      </w:r>
    </w:p>
    <w:p w14:paraId="626E07D4">
      <w:pPr>
        <w:spacing w:before="0" w:after="120" w:line="312" w:lineRule="auto"/>
        <w:ind w:firstLine="480"/>
        <w:jc w:val="both"/>
      </w:pPr>
      <w:r>
        <w:rPr>
          <w:rFonts w:ascii="Times New Roman" w:hAnsi="Times New Roman" w:eastAsia="宋体"/>
          <w:b w:val="0"/>
          <w:color w:val="000000"/>
          <w:sz w:val="24"/>
        </w:rPr>
        <w:t>为何在二分类领先时仍不选 Deep4Net。 若只看二分类，Deep4Net 以 71.69% 对 69.41% 高出约 2.3 个百分点；但正式读出是三分类含空闲，该指标上浅层已居首且与深层几乎持平（差 0.04 个百分点，落在折间噪声内）。选型取 ShallowFBCSPNet，依据两点：（1）三分类上浅层已不劣于深层，不宜用二分类优势覆盖部署任务定义；（2）部署与微调代价——浅层约 17 k 参数，深层层数与参数量高一个量级，四成员集成下前向/显存开销成倍放大，在线节拍 100 ms 下浅层链路单窗前向仅 1.11 ms 余量充足；且少样本逐场微调下浅层更稳、深层易过拟合[9]。综合以上，选型确定为 ShallowFBCSPNet；Conformer 与 EEGNet 以其异构性保留为集成成员。随后将口径升至 3 s 窗，浅层单模型三分类窗级 58.76%±2.96%（二分类 74.15%±3.06%），与窗长消融 3 s 锚点 58.80% 同口径。</w:t>
      </w:r>
    </w:p>
    <w:p w14:paraId="433C5CF9">
      <w:pPr>
        <w:pStyle w:val="4"/>
        <w:spacing w:before="200" w:after="160" w:line="312" w:lineRule="auto"/>
      </w:pPr>
      <w:bookmarkStart w:id="21" w:name="_Toc7432"/>
      <w:r>
        <w:rPr>
          <w:rFonts w:ascii="Times New Roman" w:hAnsi="Times New Roman" w:eastAsia="黑体"/>
          <w:b/>
          <w:color w:val="000000"/>
          <w:sz w:val="30"/>
        </w:rPr>
        <w:t>3.2 增益来源的机制探查</w:t>
      </w:r>
      <w:bookmarkEnd w:id="21"/>
    </w:p>
    <w:p w14:paraId="2DE68444">
      <w:pPr>
        <w:spacing w:before="0" w:after="120" w:line="312" w:lineRule="auto"/>
        <w:ind w:firstLine="480"/>
        <w:jc w:val="both"/>
      </w:pPr>
      <w:r>
        <w:rPr>
          <w:rFonts w:ascii="Times New Roman" w:hAnsi="Times New Roman" w:eastAsia="宋体"/>
          <w:b w:val="0"/>
          <w:color w:val="000000"/>
          <w:sz w:val="24"/>
        </w:rPr>
        <w:t>研究问题：单模型停在 59% 附近，结构模块、未来信息、测试时统计对齐能否带来稳定增益。</w:t>
      </w:r>
    </w:p>
    <w:p w14:paraId="01E9C297">
      <w:pPr>
        <w:spacing w:before="0" w:after="120" w:line="312" w:lineRule="auto"/>
        <w:ind w:firstLine="480"/>
        <w:jc w:val="both"/>
      </w:pPr>
      <w:r>
        <w:rPr>
          <w:rFonts w:ascii="Times New Roman" w:hAnsi="Times New Roman" w:eastAsia="宋体"/>
          <w:b w:val="0"/>
          <w:color w:val="000000"/>
          <w:sz w:val="24"/>
        </w:rPr>
        <w:t>结论先行。 本阶段以十余个对照实验系统排查特征与预处理、结构模块、自监督表征、信息上界与测试时适配四个方向，结论为：四方向均无稳定增益，全部排除；唯一确认的增益来自朴素的三成员概率均匀融合（+1.18 个百分点）。阴性结果直接决定了后续资源投向——关闭结构增强方向，集中于推理侧聚合（校准与集成）与训练侧配方。以下按方向给出排除依据。</w:t>
      </w:r>
    </w:p>
    <w:p w14:paraId="519B0160">
      <w:pPr>
        <w:spacing w:before="0" w:after="120" w:line="312" w:lineRule="auto"/>
        <w:ind w:firstLine="480"/>
        <w:jc w:val="both"/>
      </w:pPr>
      <w:r>
        <w:rPr>
          <w:rFonts w:ascii="Times New Roman" w:hAnsi="Times New Roman" w:eastAsia="宋体"/>
          <w:b w:val="0"/>
          <w:color w:val="000000"/>
          <w:sz w:val="24"/>
        </w:rPr>
        <w:t>特征与预处理方向。 偏侧通道等特征工程（含空间滤波类思路[10]）无稳定增益，结案阴性。</w:t>
      </w:r>
    </w:p>
    <w:p w14:paraId="6DB13992">
      <w:pPr>
        <w:spacing w:before="0" w:after="120" w:line="312" w:lineRule="auto"/>
        <w:ind w:firstLine="480"/>
        <w:jc w:val="both"/>
      </w:pPr>
      <w:r>
        <w:rPr>
          <w:rFonts w:ascii="Times New Roman" w:hAnsi="Times New Roman" w:eastAsia="宋体"/>
          <w:b w:val="0"/>
          <w:color w:val="000000"/>
          <w:sz w:val="24"/>
        </w:rPr>
        <w:t>结构模块方向。 SE[15]/ECA[16] 等结构增强最大增益仅 0.06/0.25 个百分点（噪声量级），CIACNet[18] 为少数正向对照但未改主线。</w:t>
      </w:r>
    </w:p>
    <w:p w14:paraId="498B0EC2">
      <w:pPr>
        <w:spacing w:before="0" w:after="120" w:line="312" w:lineRule="auto"/>
        <w:ind w:firstLine="480"/>
        <w:jc w:val="both"/>
      </w:pPr>
      <w:r>
        <w:rPr>
          <w:rFonts w:ascii="Times New Roman" w:hAnsi="Times New Roman" w:eastAsia="宋体"/>
          <w:b w:val="0"/>
          <w:color w:val="000000"/>
          <w:sz w:val="24"/>
        </w:rPr>
        <w:t>自监督表征方向。 JEPA / LeJEPA[17] 线性探测低于随机或监督基线，该路线在本数据规模下不成立。</w:t>
      </w:r>
    </w:p>
    <w:p w14:paraId="500C02AA">
      <w:pPr>
        <w:spacing w:before="0" w:after="120" w:line="312" w:lineRule="auto"/>
        <w:ind w:firstLine="480"/>
        <w:jc w:val="both"/>
      </w:pPr>
      <w:r>
        <w:rPr>
          <w:rFonts w:ascii="Times New Roman" w:hAnsi="Times New Roman" w:eastAsia="宋体"/>
          <w:b w:val="0"/>
          <w:color w:val="000000"/>
          <w:sz w:val="24"/>
        </w:rPr>
        <w:t>信息上界与测试时适配方向。 未来信息增益在 ±0.2 个百分点内；EA 约为零、微调后叠加统计对齐最多 −11 个百分点，域间隙须靠权重级适配而非测试时统计对齐。四方向全部实验登记见附录 A。</w:t>
      </w:r>
    </w:p>
    <w:p w14:paraId="038C11B4">
      <w:pPr>
        <w:pStyle w:val="4"/>
        <w:spacing w:before="200" w:after="160" w:line="312" w:lineRule="auto"/>
      </w:pPr>
      <w:bookmarkStart w:id="22" w:name="_Toc8533"/>
      <w:r>
        <w:rPr>
          <w:rFonts w:ascii="Times New Roman" w:hAnsi="Times New Roman" w:eastAsia="黑体"/>
          <w:b/>
          <w:color w:val="000000"/>
          <w:sz w:val="30"/>
        </w:rPr>
        <w:t>3.3 集成底座定型与读出因果化</w:t>
      </w:r>
      <w:bookmarkEnd w:id="22"/>
    </w:p>
    <w:p w14:paraId="2A850EF2">
      <w:pPr>
        <w:spacing w:before="0" w:after="120" w:line="312" w:lineRule="auto"/>
        <w:ind w:firstLine="480"/>
        <w:jc w:val="both"/>
      </w:pPr>
      <w:r>
        <w:rPr>
          <w:rFonts w:ascii="Times New Roman" w:hAnsi="Times New Roman" w:eastAsia="宋体"/>
          <w:b w:val="0"/>
          <w:color w:val="000000"/>
          <w:sz w:val="24"/>
        </w:rPr>
        <w:t>研究问题：朴素融合的空间能否系统性做满；离线最优读出能否因果化用于在线。</w:t>
      </w:r>
    </w:p>
    <w:p w14:paraId="3A1179FD">
      <w:pPr>
        <w:spacing w:before="0" w:after="120" w:line="312" w:lineRule="auto"/>
        <w:ind w:firstLine="480"/>
        <w:jc w:val="both"/>
      </w:pPr>
      <w:r>
        <w:rPr>
          <w:rFonts w:ascii="Times New Roman" w:hAnsi="Times New Roman" w:eastAsia="宋体"/>
          <w:b w:val="0"/>
          <w:color w:val="000000"/>
          <w:sz w:val="24"/>
        </w:rPr>
        <w:t>集成实验分两步。第一步零训练回放：在已落盘的成员概率上依次叠加温度校准（验证集负对数似然拟合）、验证集网格加权、时间邻域平滑、第四成员扩池（加入 Task 头增强变体），并按立项时预注册的阈值判定采纳。第二步训练配方升级。最终冻结配置在 OpenBMI 上取得三分类 61.73%（四成员满配集成加双向平滑的离线重放口径；正式路径废除置信早停后，独立复核得同值，与试次级多数票 61.25% 粒度不同）。</w:t>
      </w:r>
    </w:p>
    <w:p w14:paraId="5D427DA4">
      <w:pPr>
        <w:spacing w:before="0" w:after="120" w:line="312" w:lineRule="auto"/>
        <w:ind w:firstLine="480"/>
        <w:jc w:val="both"/>
      </w:pPr>
      <w:r>
        <w:rPr>
          <w:rFonts w:ascii="Times New Roman" w:hAnsi="Times New Roman" w:eastAsia="宋体"/>
          <w:b w:val="0"/>
          <w:color w:val="000000"/>
          <w:sz w:val="24"/>
        </w:rPr>
        <w:t>读出因果化对比：上述离线双向平滑重放 61.73%，在线可行的因果平滑读出（窗级）61.88%，多数票读出（试次级）61.25%。因果化不损失精度，因果平滑读出定为主结果，多数票为线上读出；窗级平滑与试次级投票的粒度分工及机制论证见 2.6 节。OpenBMI 被试独立五折主结果如下（测试集共 16,200 试次、每类 5,400；窗级读出按每试次 11 档判定窗计，每类 59,400 窗；类均衡下准确率与 macro 召回同值；融合三行官方主要结果为全测试池合并点估计，五折均值±标准差见注）：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1451"/>
        <w:gridCol w:w="1451"/>
        <w:gridCol w:w="1451"/>
        <w:gridCol w:w="1451"/>
        <w:gridCol w:w="1451"/>
        <w:gridCol w:w="1451"/>
      </w:tblGrid>
      <w:tr w14:paraId="329D1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451" w:type="dxa"/>
            <w:shd w:val="clear" w:color="auto" w:fill="D9E2F3"/>
          </w:tcPr>
          <w:p w14:paraId="37AE86BC">
            <w:pPr>
              <w:spacing w:after="0" w:line="276" w:lineRule="auto"/>
              <w:jc w:val="center"/>
            </w:pPr>
            <w:r>
              <w:rPr>
                <w:rFonts w:ascii="Times New Roman" w:hAnsi="Times New Roman" w:eastAsia="宋体"/>
                <w:b w:val="0"/>
                <w:color w:val="000000"/>
                <w:sz w:val="21"/>
              </w:rPr>
              <w:t>方法</w:t>
            </w:r>
          </w:p>
        </w:tc>
        <w:tc>
          <w:tcPr>
            <w:tcW w:w="1451" w:type="dxa"/>
            <w:shd w:val="clear" w:color="auto" w:fill="D9E2F3"/>
          </w:tcPr>
          <w:p w14:paraId="5F228325">
            <w:pPr>
              <w:spacing w:after="0" w:line="276" w:lineRule="auto"/>
              <w:jc w:val="center"/>
            </w:pPr>
            <w:r>
              <w:rPr>
                <w:rFonts w:ascii="Times New Roman" w:hAnsi="Times New Roman" w:eastAsia="宋体"/>
                <w:b w:val="0"/>
                <w:color w:val="000000"/>
                <w:sz w:val="21"/>
              </w:rPr>
              <w:t>粒度</w:t>
            </w:r>
          </w:p>
        </w:tc>
        <w:tc>
          <w:tcPr>
            <w:tcW w:w="1451" w:type="dxa"/>
            <w:shd w:val="clear" w:color="auto" w:fill="D9E2F3"/>
          </w:tcPr>
          <w:p w14:paraId="15C98E30">
            <w:pPr>
              <w:spacing w:after="0" w:line="276" w:lineRule="auto"/>
              <w:jc w:val="center"/>
            </w:pPr>
            <w:r>
              <w:rPr>
                <w:rFonts w:ascii="Times New Roman" w:hAnsi="Times New Roman" w:eastAsia="宋体"/>
                <w:b w:val="0"/>
                <w:color w:val="000000"/>
                <w:sz w:val="21"/>
              </w:rPr>
              <w:t>准确率（主要读数，%）</w:t>
            </w:r>
          </w:p>
        </w:tc>
        <w:tc>
          <w:tcPr>
            <w:tcW w:w="1451" w:type="dxa"/>
            <w:shd w:val="clear" w:color="auto" w:fill="D9E2F3"/>
          </w:tcPr>
          <w:p w14:paraId="1A842ECA">
            <w:pPr>
              <w:spacing w:after="0" w:line="276" w:lineRule="auto"/>
              <w:jc w:val="center"/>
            </w:pPr>
            <w:r>
              <w:rPr>
                <w:rFonts w:ascii="Times New Roman" w:hAnsi="Times New Roman" w:eastAsia="宋体"/>
                <w:b w:val="0"/>
                <w:color w:val="000000"/>
                <w:sz w:val="21"/>
              </w:rPr>
              <w:t>macro 召回（%）</w:t>
            </w:r>
          </w:p>
        </w:tc>
        <w:tc>
          <w:tcPr>
            <w:tcW w:w="1451" w:type="dxa"/>
            <w:shd w:val="clear" w:color="auto" w:fill="D9E2F3"/>
          </w:tcPr>
          <w:p w14:paraId="766655B8">
            <w:pPr>
              <w:spacing w:after="0" w:line="276" w:lineRule="auto"/>
              <w:jc w:val="center"/>
            </w:pPr>
            <w:r>
              <w:rPr>
                <w:rFonts w:ascii="Times New Roman" w:hAnsi="Times New Roman" w:eastAsia="宋体"/>
                <w:b w:val="0"/>
                <w:color w:val="000000"/>
                <w:sz w:val="21"/>
              </w:rPr>
              <w:t>macro 特异性（%）</w:t>
            </w:r>
          </w:p>
        </w:tc>
        <w:tc>
          <w:tcPr>
            <w:tcW w:w="1451" w:type="dxa"/>
            <w:shd w:val="clear" w:color="auto" w:fill="D9E2F3"/>
          </w:tcPr>
          <w:p w14:paraId="26F71F13">
            <w:pPr>
              <w:spacing w:after="0" w:line="276" w:lineRule="auto"/>
              <w:jc w:val="center"/>
            </w:pPr>
            <w:r>
              <w:rPr>
                <w:rFonts w:ascii="Times New Roman" w:hAnsi="Times New Roman" w:eastAsia="宋体"/>
                <w:b w:val="0"/>
                <w:color w:val="000000"/>
                <w:sz w:val="21"/>
              </w:rPr>
              <w:t>macro-F1（%）</w:t>
            </w:r>
          </w:p>
        </w:tc>
      </w:tr>
      <w:tr w14:paraId="707B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451" w:type="dxa"/>
          </w:tcPr>
          <w:p w14:paraId="3F70CC32">
            <w:pPr>
              <w:spacing w:after="0" w:line="276" w:lineRule="auto"/>
              <w:jc w:val="left"/>
            </w:pPr>
            <w:r>
              <w:rPr>
                <w:rFonts w:ascii="Times New Roman" w:hAnsi="Times New Roman" w:eastAsia="宋体"/>
                <w:b w:val="0"/>
                <w:color w:val="000000"/>
                <w:sz w:val="21"/>
              </w:rPr>
              <w:t>四成员融合 + 因果平滑（官方主结果）</w:t>
            </w:r>
          </w:p>
        </w:tc>
        <w:tc>
          <w:tcPr>
            <w:tcW w:w="1451" w:type="dxa"/>
          </w:tcPr>
          <w:p w14:paraId="3305E64D">
            <w:pPr>
              <w:spacing w:after="0" w:line="276" w:lineRule="auto"/>
              <w:jc w:val="left"/>
            </w:pPr>
            <w:r>
              <w:rPr>
                <w:rFonts w:ascii="Times New Roman" w:hAnsi="Times New Roman" w:eastAsia="宋体"/>
                <w:b w:val="0"/>
                <w:color w:val="000000"/>
                <w:sz w:val="21"/>
              </w:rPr>
              <w:t>窗级</w:t>
            </w:r>
          </w:p>
        </w:tc>
        <w:tc>
          <w:tcPr>
            <w:tcW w:w="1451" w:type="dxa"/>
          </w:tcPr>
          <w:p w14:paraId="2993DB5F">
            <w:pPr>
              <w:spacing w:after="0" w:line="276" w:lineRule="auto"/>
              <w:jc w:val="left"/>
            </w:pPr>
            <w:r>
              <w:rPr>
                <w:rFonts w:ascii="Times New Roman" w:hAnsi="Times New Roman" w:eastAsia="宋体"/>
                <w:b w:val="0"/>
                <w:color w:val="000000"/>
                <w:sz w:val="21"/>
              </w:rPr>
              <w:t>61.88</w:t>
            </w:r>
          </w:p>
        </w:tc>
        <w:tc>
          <w:tcPr>
            <w:tcW w:w="1451" w:type="dxa"/>
          </w:tcPr>
          <w:p w14:paraId="156233DD">
            <w:pPr>
              <w:spacing w:after="0" w:line="276" w:lineRule="auto"/>
              <w:jc w:val="left"/>
            </w:pPr>
            <w:r>
              <w:rPr>
                <w:rFonts w:ascii="Times New Roman" w:hAnsi="Times New Roman" w:eastAsia="宋体"/>
                <w:b w:val="0"/>
                <w:color w:val="000000"/>
                <w:sz w:val="21"/>
              </w:rPr>
              <w:t>61.88</w:t>
            </w:r>
          </w:p>
        </w:tc>
        <w:tc>
          <w:tcPr>
            <w:tcW w:w="1451" w:type="dxa"/>
          </w:tcPr>
          <w:p w14:paraId="2DC60FEA">
            <w:pPr>
              <w:spacing w:after="0" w:line="276" w:lineRule="auto"/>
              <w:jc w:val="left"/>
            </w:pPr>
            <w:r>
              <w:rPr>
                <w:rFonts w:ascii="Times New Roman" w:hAnsi="Times New Roman" w:eastAsia="宋体"/>
                <w:b w:val="0"/>
                <w:color w:val="000000"/>
                <w:sz w:val="21"/>
              </w:rPr>
              <w:t>80.94</w:t>
            </w:r>
          </w:p>
        </w:tc>
        <w:tc>
          <w:tcPr>
            <w:tcW w:w="1451" w:type="dxa"/>
          </w:tcPr>
          <w:p w14:paraId="6E643BDE">
            <w:pPr>
              <w:spacing w:after="0" w:line="276" w:lineRule="auto"/>
              <w:jc w:val="left"/>
            </w:pPr>
            <w:r>
              <w:rPr>
                <w:rFonts w:ascii="Times New Roman" w:hAnsi="Times New Roman" w:eastAsia="宋体"/>
                <w:b w:val="0"/>
                <w:color w:val="000000"/>
                <w:sz w:val="21"/>
              </w:rPr>
              <w:t>61.96</w:t>
            </w:r>
          </w:p>
        </w:tc>
      </w:tr>
      <w:tr w14:paraId="25DF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451" w:type="dxa"/>
          </w:tcPr>
          <w:p w14:paraId="475D8EF9">
            <w:pPr>
              <w:spacing w:after="0" w:line="276" w:lineRule="auto"/>
              <w:jc w:val="left"/>
            </w:pPr>
            <w:r>
              <w:rPr>
                <w:rFonts w:ascii="Times New Roman" w:hAnsi="Times New Roman" w:eastAsia="宋体"/>
                <w:b w:val="0"/>
                <w:color w:val="000000"/>
                <w:sz w:val="21"/>
              </w:rPr>
              <w:t>四成员融合 + 多数票（线上读出）</w:t>
            </w:r>
          </w:p>
        </w:tc>
        <w:tc>
          <w:tcPr>
            <w:tcW w:w="1451" w:type="dxa"/>
          </w:tcPr>
          <w:p w14:paraId="248CFA8F">
            <w:pPr>
              <w:spacing w:after="0" w:line="276" w:lineRule="auto"/>
              <w:jc w:val="left"/>
            </w:pPr>
            <w:r>
              <w:rPr>
                <w:rFonts w:ascii="Times New Roman" w:hAnsi="Times New Roman" w:eastAsia="宋体"/>
                <w:b w:val="0"/>
                <w:color w:val="000000"/>
                <w:sz w:val="21"/>
              </w:rPr>
              <w:t>试次级</w:t>
            </w:r>
          </w:p>
        </w:tc>
        <w:tc>
          <w:tcPr>
            <w:tcW w:w="1451" w:type="dxa"/>
          </w:tcPr>
          <w:p w14:paraId="4BCA74D3">
            <w:pPr>
              <w:spacing w:after="0" w:line="276" w:lineRule="auto"/>
              <w:jc w:val="left"/>
            </w:pPr>
            <w:r>
              <w:rPr>
                <w:rFonts w:ascii="Times New Roman" w:hAnsi="Times New Roman" w:eastAsia="宋体"/>
                <w:b w:val="0"/>
                <w:color w:val="000000"/>
                <w:sz w:val="21"/>
              </w:rPr>
              <w:t>61.25</w:t>
            </w:r>
          </w:p>
        </w:tc>
        <w:tc>
          <w:tcPr>
            <w:tcW w:w="1451" w:type="dxa"/>
          </w:tcPr>
          <w:p w14:paraId="128B596A">
            <w:pPr>
              <w:spacing w:after="0" w:line="276" w:lineRule="auto"/>
              <w:jc w:val="left"/>
            </w:pPr>
            <w:r>
              <w:rPr>
                <w:rFonts w:ascii="Times New Roman" w:hAnsi="Times New Roman" w:eastAsia="宋体"/>
                <w:b w:val="0"/>
                <w:color w:val="000000"/>
                <w:sz w:val="21"/>
              </w:rPr>
              <w:t>61.25</w:t>
            </w:r>
          </w:p>
        </w:tc>
        <w:tc>
          <w:tcPr>
            <w:tcW w:w="1451" w:type="dxa"/>
          </w:tcPr>
          <w:p w14:paraId="3F18E866">
            <w:pPr>
              <w:spacing w:after="0" w:line="276" w:lineRule="auto"/>
              <w:jc w:val="left"/>
            </w:pPr>
            <w:r>
              <w:rPr>
                <w:rFonts w:ascii="Times New Roman" w:hAnsi="Times New Roman" w:eastAsia="宋体"/>
                <w:b w:val="0"/>
                <w:color w:val="000000"/>
                <w:sz w:val="21"/>
              </w:rPr>
              <w:t>80.62</w:t>
            </w:r>
          </w:p>
        </w:tc>
        <w:tc>
          <w:tcPr>
            <w:tcW w:w="1451" w:type="dxa"/>
          </w:tcPr>
          <w:p w14:paraId="6A591811">
            <w:pPr>
              <w:spacing w:after="0" w:line="276" w:lineRule="auto"/>
              <w:jc w:val="left"/>
            </w:pPr>
            <w:r>
              <w:rPr>
                <w:rFonts w:ascii="Times New Roman" w:hAnsi="Times New Roman" w:eastAsia="宋体"/>
                <w:b w:val="0"/>
                <w:color w:val="000000"/>
                <w:sz w:val="21"/>
              </w:rPr>
              <w:t>61.32</w:t>
            </w:r>
          </w:p>
        </w:tc>
      </w:tr>
      <w:tr w14:paraId="4CA8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451" w:type="dxa"/>
          </w:tcPr>
          <w:p w14:paraId="752E04F1">
            <w:pPr>
              <w:spacing w:after="0" w:line="276" w:lineRule="auto"/>
              <w:jc w:val="left"/>
            </w:pPr>
            <w:r>
              <w:rPr>
                <w:rFonts w:ascii="Times New Roman" w:hAnsi="Times New Roman" w:eastAsia="宋体"/>
                <w:b w:val="0"/>
                <w:color w:val="000000"/>
                <w:sz w:val="21"/>
              </w:rPr>
              <w:t>四成员融合 窗级 argmax</w:t>
            </w:r>
          </w:p>
        </w:tc>
        <w:tc>
          <w:tcPr>
            <w:tcW w:w="1451" w:type="dxa"/>
          </w:tcPr>
          <w:p w14:paraId="4F2AE364">
            <w:pPr>
              <w:spacing w:after="0" w:line="276" w:lineRule="auto"/>
              <w:jc w:val="left"/>
            </w:pPr>
            <w:r>
              <w:rPr>
                <w:rFonts w:ascii="Times New Roman" w:hAnsi="Times New Roman" w:eastAsia="宋体"/>
                <w:b w:val="0"/>
                <w:color w:val="000000"/>
                <w:sz w:val="21"/>
              </w:rPr>
              <w:t>窗级</w:t>
            </w:r>
          </w:p>
        </w:tc>
        <w:tc>
          <w:tcPr>
            <w:tcW w:w="1451" w:type="dxa"/>
          </w:tcPr>
          <w:p w14:paraId="4B3F91C2">
            <w:pPr>
              <w:spacing w:after="0" w:line="276" w:lineRule="auto"/>
              <w:jc w:val="left"/>
            </w:pPr>
            <w:r>
              <w:rPr>
                <w:rFonts w:ascii="Times New Roman" w:hAnsi="Times New Roman" w:eastAsia="宋体"/>
                <w:b w:val="0"/>
                <w:color w:val="000000"/>
                <w:sz w:val="21"/>
              </w:rPr>
              <w:t>59.25</w:t>
            </w:r>
          </w:p>
        </w:tc>
        <w:tc>
          <w:tcPr>
            <w:tcW w:w="1451" w:type="dxa"/>
          </w:tcPr>
          <w:p w14:paraId="49AB37A4">
            <w:pPr>
              <w:spacing w:after="0" w:line="276" w:lineRule="auto"/>
              <w:jc w:val="left"/>
            </w:pPr>
            <w:r>
              <w:rPr>
                <w:rFonts w:ascii="Times New Roman" w:hAnsi="Times New Roman" w:eastAsia="宋体"/>
                <w:b w:val="0"/>
                <w:color w:val="000000"/>
                <w:sz w:val="21"/>
              </w:rPr>
              <w:t>59.25</w:t>
            </w:r>
          </w:p>
        </w:tc>
        <w:tc>
          <w:tcPr>
            <w:tcW w:w="1451" w:type="dxa"/>
          </w:tcPr>
          <w:p w14:paraId="1F650447">
            <w:pPr>
              <w:spacing w:after="0" w:line="276" w:lineRule="auto"/>
              <w:jc w:val="left"/>
            </w:pPr>
            <w:r>
              <w:rPr>
                <w:rFonts w:ascii="Times New Roman" w:hAnsi="Times New Roman" w:eastAsia="宋体"/>
                <w:b w:val="0"/>
                <w:color w:val="000000"/>
                <w:sz w:val="21"/>
              </w:rPr>
              <w:t>79.62</w:t>
            </w:r>
          </w:p>
        </w:tc>
        <w:tc>
          <w:tcPr>
            <w:tcW w:w="1451" w:type="dxa"/>
          </w:tcPr>
          <w:p w14:paraId="4D8B72B8">
            <w:pPr>
              <w:spacing w:after="0" w:line="276" w:lineRule="auto"/>
              <w:jc w:val="left"/>
            </w:pPr>
            <w:r>
              <w:rPr>
                <w:rFonts w:ascii="Times New Roman" w:hAnsi="Times New Roman" w:eastAsia="宋体"/>
                <w:b w:val="0"/>
                <w:color w:val="000000"/>
                <w:sz w:val="21"/>
              </w:rPr>
              <w:t>59.30</w:t>
            </w:r>
          </w:p>
        </w:tc>
      </w:tr>
      <w:tr w14:paraId="235F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451" w:type="dxa"/>
          </w:tcPr>
          <w:p w14:paraId="5F0DBE14">
            <w:pPr>
              <w:spacing w:after="0" w:line="276" w:lineRule="auto"/>
              <w:jc w:val="left"/>
            </w:pPr>
            <w:r>
              <w:rPr>
                <w:rFonts w:ascii="Times New Roman" w:hAnsi="Times New Roman" w:eastAsia="宋体"/>
                <w:b w:val="0"/>
                <w:color w:val="000000"/>
                <w:sz w:val="21"/>
              </w:rPr>
              <w:t>浅层 3 s 单模型</w:t>
            </w:r>
          </w:p>
        </w:tc>
        <w:tc>
          <w:tcPr>
            <w:tcW w:w="1451" w:type="dxa"/>
          </w:tcPr>
          <w:p w14:paraId="29CCE4F4">
            <w:pPr>
              <w:spacing w:after="0" w:line="276" w:lineRule="auto"/>
              <w:jc w:val="left"/>
            </w:pPr>
            <w:r>
              <w:rPr>
                <w:rFonts w:ascii="Times New Roman" w:hAnsi="Times New Roman" w:eastAsia="宋体"/>
                <w:b w:val="0"/>
                <w:color w:val="000000"/>
                <w:sz w:val="21"/>
              </w:rPr>
              <w:t>窗级</w:t>
            </w:r>
          </w:p>
        </w:tc>
        <w:tc>
          <w:tcPr>
            <w:tcW w:w="1451" w:type="dxa"/>
          </w:tcPr>
          <w:p w14:paraId="0E83EEA2">
            <w:pPr>
              <w:spacing w:after="0" w:line="276" w:lineRule="auto"/>
              <w:jc w:val="left"/>
            </w:pPr>
            <w:r>
              <w:rPr>
                <w:rFonts w:ascii="Times New Roman" w:hAnsi="Times New Roman" w:eastAsia="宋体"/>
                <w:b w:val="0"/>
                <w:color w:val="000000"/>
                <w:sz w:val="21"/>
              </w:rPr>
              <w:t>58.08±2.88</w:t>
            </w:r>
          </w:p>
        </w:tc>
        <w:tc>
          <w:tcPr>
            <w:tcW w:w="1451" w:type="dxa"/>
          </w:tcPr>
          <w:p w14:paraId="0BDECF32">
            <w:pPr>
              <w:spacing w:after="0" w:line="276" w:lineRule="auto"/>
              <w:jc w:val="left"/>
            </w:pPr>
            <w:r>
              <w:rPr>
                <w:rFonts w:ascii="Times New Roman" w:hAnsi="Times New Roman" w:eastAsia="宋体"/>
                <w:b w:val="0"/>
                <w:color w:val="000000"/>
                <w:sz w:val="21"/>
              </w:rPr>
              <w:t>58.08±2.88</w:t>
            </w:r>
          </w:p>
        </w:tc>
        <w:tc>
          <w:tcPr>
            <w:tcW w:w="1451" w:type="dxa"/>
          </w:tcPr>
          <w:p w14:paraId="3FDACCA3">
            <w:pPr>
              <w:spacing w:after="0" w:line="276" w:lineRule="auto"/>
              <w:jc w:val="left"/>
            </w:pPr>
            <w:r>
              <w:rPr>
                <w:rFonts w:ascii="Times New Roman" w:hAnsi="Times New Roman" w:eastAsia="宋体"/>
                <w:b w:val="0"/>
                <w:color w:val="000000"/>
                <w:sz w:val="21"/>
              </w:rPr>
              <w:t>79.04±1.44</w:t>
            </w:r>
          </w:p>
        </w:tc>
        <w:tc>
          <w:tcPr>
            <w:tcW w:w="1451" w:type="dxa"/>
          </w:tcPr>
          <w:p w14:paraId="729944CA">
            <w:pPr>
              <w:spacing w:after="0" w:line="276" w:lineRule="auto"/>
              <w:jc w:val="left"/>
            </w:pPr>
            <w:r>
              <w:rPr>
                <w:rFonts w:ascii="Times New Roman" w:hAnsi="Times New Roman" w:eastAsia="宋体"/>
                <w:b w:val="0"/>
                <w:color w:val="000000"/>
                <w:sz w:val="21"/>
              </w:rPr>
              <w:t>58.02±2.97</w:t>
            </w:r>
          </w:p>
        </w:tc>
      </w:tr>
    </w:tbl>
    <w:p w14:paraId="6B401DD3">
      <w:pPr>
        <w:spacing w:after="60"/>
      </w:pPr>
    </w:p>
    <w:p w14:paraId="50F6D42E">
      <w:pPr>
        <w:spacing w:before="0" w:after="120" w:line="312" w:lineRule="auto"/>
        <w:ind w:firstLine="480"/>
        <w:jc w:val="both"/>
      </w:pPr>
      <w:r>
        <w:rPr>
          <w:rFonts w:ascii="Times New Roman" w:hAnsi="Times New Roman" w:eastAsia="宋体"/>
          <w:b w:val="0"/>
          <w:color w:val="000000"/>
          <w:sz w:val="24"/>
        </w:rPr>
        <w:t>注：官方主结果为全测试池合并点估计（与 Excel 对账锚点 0.6188/0.6125 一致）。五折均值±标准差（折均等权重，附报）：因果平滑 61.86%±3.51%，多数票 61.25%±3.31%，窗级 argmax 59.24%±2.98%。离线双向平滑重放口径 61.73% 仅作因果化对照，不作头条。浅层单模型行为五折均值±标准差；同口径选型试次级冻结头条 58.76%±2.96%，与本表窗级粒度不同，不宜直接对照。</w:t>
      </w:r>
    </w:p>
    <w:p w14:paraId="5B2047E9">
      <w:pPr>
        <w:spacing w:before="0" w:after="120" w:line="312" w:lineRule="auto"/>
        <w:ind w:firstLine="480"/>
        <w:jc w:val="both"/>
      </w:pPr>
      <w:r>
        <w:rPr>
          <w:rFonts w:ascii="Times New Roman" w:hAnsi="Times New Roman" w:eastAsia="宋体"/>
          <w:b w:val="0"/>
          <w:color w:val="000000"/>
          <w:sz w:val="24"/>
        </w:rPr>
        <w:t>因果平滑读出的混淆矩阵（行=真实，列=预测；窗计数）：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176"/>
        <w:gridCol w:w="2176"/>
        <w:gridCol w:w="2176"/>
        <w:gridCol w:w="2176"/>
      </w:tblGrid>
      <w:tr w14:paraId="58BB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176" w:type="dxa"/>
            <w:shd w:val="clear" w:color="auto" w:fill="D9E2F3"/>
          </w:tcPr>
          <w:p w14:paraId="1BF9A036">
            <w:pPr>
              <w:spacing w:after="0" w:line="276" w:lineRule="auto"/>
              <w:jc w:val="center"/>
            </w:pPr>
          </w:p>
        </w:tc>
        <w:tc>
          <w:tcPr>
            <w:tcW w:w="2176" w:type="dxa"/>
            <w:shd w:val="clear" w:color="auto" w:fill="D9E2F3"/>
          </w:tcPr>
          <w:p w14:paraId="29F3B5E2">
            <w:pPr>
              <w:spacing w:after="0" w:line="276" w:lineRule="auto"/>
              <w:jc w:val="center"/>
            </w:pPr>
            <w:r>
              <w:rPr>
                <w:rFonts w:ascii="Times New Roman" w:hAnsi="Times New Roman" w:eastAsia="宋体"/>
                <w:b w:val="0"/>
                <w:color w:val="000000"/>
                <w:sz w:val="21"/>
              </w:rPr>
              <w:t>空闲</w:t>
            </w:r>
          </w:p>
        </w:tc>
        <w:tc>
          <w:tcPr>
            <w:tcW w:w="2176" w:type="dxa"/>
            <w:shd w:val="clear" w:color="auto" w:fill="D9E2F3"/>
          </w:tcPr>
          <w:p w14:paraId="6214767D">
            <w:pPr>
              <w:spacing w:after="0" w:line="276" w:lineRule="auto"/>
              <w:jc w:val="center"/>
            </w:pPr>
            <w:r>
              <w:rPr>
                <w:rFonts w:ascii="Times New Roman" w:hAnsi="Times New Roman" w:eastAsia="宋体"/>
                <w:b w:val="0"/>
                <w:color w:val="000000"/>
                <w:sz w:val="21"/>
              </w:rPr>
              <w:t>左手</w:t>
            </w:r>
          </w:p>
        </w:tc>
        <w:tc>
          <w:tcPr>
            <w:tcW w:w="2176" w:type="dxa"/>
            <w:shd w:val="clear" w:color="auto" w:fill="D9E2F3"/>
          </w:tcPr>
          <w:p w14:paraId="0174786B">
            <w:pPr>
              <w:spacing w:after="0" w:line="276" w:lineRule="auto"/>
              <w:jc w:val="center"/>
            </w:pPr>
            <w:r>
              <w:rPr>
                <w:rFonts w:ascii="Times New Roman" w:hAnsi="Times New Roman" w:eastAsia="宋体"/>
                <w:b w:val="0"/>
                <w:color w:val="000000"/>
                <w:sz w:val="21"/>
              </w:rPr>
              <w:t>右手</w:t>
            </w:r>
          </w:p>
        </w:tc>
      </w:tr>
      <w:tr w14:paraId="6610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40C95886">
            <w:pPr>
              <w:spacing w:after="0" w:line="276" w:lineRule="auto"/>
              <w:jc w:val="left"/>
            </w:pPr>
            <w:r>
              <w:rPr>
                <w:rFonts w:ascii="Times New Roman" w:hAnsi="Times New Roman" w:eastAsia="宋体"/>
                <w:b w:val="0"/>
                <w:color w:val="000000"/>
                <w:sz w:val="21"/>
              </w:rPr>
              <w:t>空闲</w:t>
            </w:r>
          </w:p>
        </w:tc>
        <w:tc>
          <w:tcPr>
            <w:tcW w:w="2176" w:type="dxa"/>
          </w:tcPr>
          <w:p w14:paraId="6F8722E1">
            <w:pPr>
              <w:spacing w:after="0" w:line="276" w:lineRule="auto"/>
              <w:jc w:val="left"/>
            </w:pPr>
            <w:r>
              <w:rPr>
                <w:rFonts w:ascii="Times New Roman" w:hAnsi="Times New Roman" w:eastAsia="宋体"/>
                <w:b w:val="0"/>
                <w:color w:val="000000"/>
                <w:sz w:val="21"/>
              </w:rPr>
              <w:t>36,476</w:t>
            </w:r>
          </w:p>
        </w:tc>
        <w:tc>
          <w:tcPr>
            <w:tcW w:w="2176" w:type="dxa"/>
          </w:tcPr>
          <w:p w14:paraId="2E3060F9">
            <w:pPr>
              <w:spacing w:after="0" w:line="276" w:lineRule="auto"/>
              <w:jc w:val="left"/>
            </w:pPr>
            <w:r>
              <w:rPr>
                <w:rFonts w:ascii="Times New Roman" w:hAnsi="Times New Roman" w:eastAsia="宋体"/>
                <w:b w:val="0"/>
                <w:color w:val="000000"/>
                <w:sz w:val="21"/>
              </w:rPr>
              <w:t>12,408</w:t>
            </w:r>
          </w:p>
        </w:tc>
        <w:tc>
          <w:tcPr>
            <w:tcW w:w="2176" w:type="dxa"/>
          </w:tcPr>
          <w:p w14:paraId="3826DDB4">
            <w:pPr>
              <w:spacing w:after="0" w:line="276" w:lineRule="auto"/>
              <w:jc w:val="left"/>
            </w:pPr>
            <w:r>
              <w:rPr>
                <w:rFonts w:ascii="Times New Roman" w:hAnsi="Times New Roman" w:eastAsia="宋体"/>
                <w:b w:val="0"/>
                <w:color w:val="000000"/>
                <w:sz w:val="21"/>
              </w:rPr>
              <w:t>10,516</w:t>
            </w:r>
          </w:p>
        </w:tc>
      </w:tr>
      <w:tr w14:paraId="36743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5BC4BDD2">
            <w:pPr>
              <w:spacing w:after="0" w:line="276" w:lineRule="auto"/>
              <w:jc w:val="left"/>
            </w:pPr>
            <w:r>
              <w:rPr>
                <w:rFonts w:ascii="Times New Roman" w:hAnsi="Times New Roman" w:eastAsia="宋体"/>
                <w:b w:val="0"/>
                <w:color w:val="000000"/>
                <w:sz w:val="21"/>
              </w:rPr>
              <w:t>左手</w:t>
            </w:r>
          </w:p>
        </w:tc>
        <w:tc>
          <w:tcPr>
            <w:tcW w:w="2176" w:type="dxa"/>
          </w:tcPr>
          <w:p w14:paraId="1D6B77EE">
            <w:pPr>
              <w:spacing w:after="0" w:line="276" w:lineRule="auto"/>
              <w:jc w:val="left"/>
            </w:pPr>
            <w:r>
              <w:rPr>
                <w:rFonts w:ascii="Times New Roman" w:hAnsi="Times New Roman" w:eastAsia="宋体"/>
                <w:b w:val="0"/>
                <w:color w:val="000000"/>
                <w:sz w:val="21"/>
              </w:rPr>
              <w:t>8,129</w:t>
            </w:r>
          </w:p>
        </w:tc>
        <w:tc>
          <w:tcPr>
            <w:tcW w:w="2176" w:type="dxa"/>
          </w:tcPr>
          <w:p w14:paraId="10D49ED7">
            <w:pPr>
              <w:spacing w:after="0" w:line="276" w:lineRule="auto"/>
              <w:jc w:val="left"/>
            </w:pPr>
            <w:r>
              <w:rPr>
                <w:rFonts w:ascii="Times New Roman" w:hAnsi="Times New Roman" w:eastAsia="宋体"/>
                <w:b w:val="0"/>
                <w:color w:val="000000"/>
                <w:sz w:val="21"/>
              </w:rPr>
              <w:t>38,148</w:t>
            </w:r>
          </w:p>
        </w:tc>
        <w:tc>
          <w:tcPr>
            <w:tcW w:w="2176" w:type="dxa"/>
          </w:tcPr>
          <w:p w14:paraId="25F53352">
            <w:pPr>
              <w:spacing w:after="0" w:line="276" w:lineRule="auto"/>
              <w:jc w:val="left"/>
            </w:pPr>
            <w:r>
              <w:rPr>
                <w:rFonts w:ascii="Times New Roman" w:hAnsi="Times New Roman" w:eastAsia="宋体"/>
                <w:b w:val="0"/>
                <w:color w:val="000000"/>
                <w:sz w:val="21"/>
              </w:rPr>
              <w:t>13,123</w:t>
            </w:r>
          </w:p>
        </w:tc>
      </w:tr>
      <w:tr w14:paraId="622F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01E4590F">
            <w:pPr>
              <w:spacing w:after="0" w:line="276" w:lineRule="auto"/>
              <w:jc w:val="left"/>
            </w:pPr>
            <w:r>
              <w:rPr>
                <w:rFonts w:ascii="Times New Roman" w:hAnsi="Times New Roman" w:eastAsia="宋体"/>
                <w:b w:val="0"/>
                <w:color w:val="000000"/>
                <w:sz w:val="21"/>
              </w:rPr>
              <w:t>右手</w:t>
            </w:r>
          </w:p>
        </w:tc>
        <w:tc>
          <w:tcPr>
            <w:tcW w:w="2176" w:type="dxa"/>
          </w:tcPr>
          <w:p w14:paraId="17A0C238">
            <w:pPr>
              <w:spacing w:after="0" w:line="276" w:lineRule="auto"/>
              <w:jc w:val="left"/>
            </w:pPr>
            <w:r>
              <w:rPr>
                <w:rFonts w:ascii="Times New Roman" w:hAnsi="Times New Roman" w:eastAsia="宋体"/>
                <w:b w:val="0"/>
                <w:color w:val="000000"/>
                <w:sz w:val="21"/>
              </w:rPr>
              <w:t>7,986</w:t>
            </w:r>
          </w:p>
        </w:tc>
        <w:tc>
          <w:tcPr>
            <w:tcW w:w="2176" w:type="dxa"/>
          </w:tcPr>
          <w:p w14:paraId="0A258A09">
            <w:pPr>
              <w:spacing w:after="0" w:line="276" w:lineRule="auto"/>
              <w:jc w:val="left"/>
            </w:pPr>
            <w:r>
              <w:rPr>
                <w:rFonts w:ascii="Times New Roman" w:hAnsi="Times New Roman" w:eastAsia="宋体"/>
                <w:b w:val="0"/>
                <w:color w:val="000000"/>
                <w:sz w:val="21"/>
              </w:rPr>
              <w:t>15,774</w:t>
            </w:r>
          </w:p>
        </w:tc>
        <w:tc>
          <w:tcPr>
            <w:tcW w:w="2176" w:type="dxa"/>
          </w:tcPr>
          <w:p w14:paraId="34B42806">
            <w:pPr>
              <w:spacing w:after="0" w:line="276" w:lineRule="auto"/>
              <w:jc w:val="left"/>
            </w:pPr>
            <w:r>
              <w:rPr>
                <w:rFonts w:ascii="Times New Roman" w:hAnsi="Times New Roman" w:eastAsia="宋体"/>
                <w:b w:val="0"/>
                <w:color w:val="000000"/>
                <w:sz w:val="21"/>
              </w:rPr>
              <w:t>35,640</w:t>
            </w:r>
          </w:p>
        </w:tc>
      </w:tr>
    </w:tbl>
    <w:p w14:paraId="0C847F83">
      <w:pPr>
        <w:spacing w:after="60"/>
      </w:pPr>
    </w:p>
    <w:p w14:paraId="29AC4D10">
      <w:pPr>
        <w:spacing w:before="0" w:after="120" w:line="312" w:lineRule="auto"/>
        <w:ind w:firstLine="480"/>
        <w:jc w:val="both"/>
      </w:pPr>
      <w:r>
        <w:rPr>
          <w:rFonts w:ascii="Times New Roman" w:hAnsi="Times New Roman" w:eastAsia="宋体"/>
          <w:b w:val="0"/>
          <w:color w:val="000000"/>
          <w:sz w:val="24"/>
        </w:rPr>
        <w:t>每类召回：空闲 61.41%、左手 64.22%、右手 60.00%；每类特异性：空闲 86.44%、左手 76.28%、右手 80.10%。左与右之间的混淆大于空闲与任务边界之间的混淆，符合运动想象解码中侧别判别难于状态判别的一般规律，也说明专用静息段的空闲监督设计有效。</w:t>
      </w:r>
    </w:p>
    <w:p w14:paraId="7ED7ABC4">
      <w:pPr>
        <w:spacing w:before="0" w:after="120" w:line="312" w:lineRule="auto"/>
        <w:ind w:firstLine="480"/>
        <w:jc w:val="both"/>
      </w:pPr>
      <w:r>
        <w:rPr>
          <w:rFonts w:ascii="Times New Roman" w:hAnsi="Times New Roman" w:eastAsia="宋体"/>
          <w:b w:val="0"/>
          <w:color w:val="000000"/>
          <w:sz w:val="24"/>
        </w:rPr>
        <w:t>窗级空闲误报（真实空闲被判为左手或右手）约 38.6%，经试次内多数票后，真人队列中高表现被试的静息试次判对率达 94% 以上（见 3.6 节），说明该误报在试次粒度被有效抑制。</w:t>
      </w:r>
    </w:p>
    <w:p w14:paraId="38A3C9AB">
      <w:pPr>
        <w:spacing w:before="0" w:after="120" w:line="312" w:lineRule="auto"/>
        <w:ind w:firstLine="480"/>
        <w:jc w:val="both"/>
      </w:pPr>
      <w:r>
        <w:rPr>
          <w:rFonts w:ascii="Times New Roman" w:hAnsi="Times New Roman" w:eastAsia="宋体"/>
          <w:b w:val="0"/>
          <w:color w:val="000000"/>
          <w:sz w:val="24"/>
        </w:rPr>
        <w:t>与文献的可比性说明。 OpenBMI 公开任务的文献基准多为左右手二分类；本报告主要读数 61.88% 为「专用静息段监督下的三分类」，机会水平 1/3，不可与二分类 SOTA 直接比较。同口径、同骨干的浅层 3 s 二分类窗级为 74.15%±3.06%（见 3.1 节末），可作为与 OpenBMI 原文/常见基线对话的锚点：三分类含空闲更难，主要结果数字看起来不高，反映的是设定更接近异步部署，而非二分类能力不足。</w:t>
      </w:r>
    </w:p>
    <w:p w14:paraId="7F85431C">
      <w:pPr>
        <w:spacing w:before="120" w:after="80"/>
        <w:jc w:val="center"/>
      </w:pPr>
      <w:r>
        <w:drawing>
          <wp:inline distT="0" distB="0" distL="114300" distR="114300">
            <wp:extent cx="5219700" cy="2225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20000" cy="2225827"/>
                    </a:xfrm>
                    <a:prstGeom prst="rect">
                      <a:avLst/>
                    </a:prstGeom>
                  </pic:spPr>
                </pic:pic>
              </a:graphicData>
            </a:graphic>
          </wp:inline>
        </w:drawing>
      </w:r>
    </w:p>
    <w:p w14:paraId="003ABC05">
      <w:pPr>
        <w:spacing w:before="40" w:after="160" w:line="312" w:lineRule="auto"/>
        <w:jc w:val="center"/>
      </w:pPr>
      <w:r>
        <w:rPr>
          <w:rFonts w:ascii="Times New Roman" w:hAnsi="Times New Roman" w:eastAsia="宋体"/>
          <w:b w:val="0"/>
          <w:color w:val="000000"/>
          <w:sz w:val="21"/>
        </w:rPr>
        <w:t>图 10　CausalFuse-8 在 OpenBMI 被试独立五折上的主结果。 左：读出对比柱——浅层单模型 / 窗级 argmax / 试次级多数票 / 窗级因果平滑（主结果 61.88%）；纵轴为准确率，柱间粒度不同，不宜直接对照（见柱标签与上表）。右：因果平滑读出窗级混淆矩阵（行归一化）。测试集约 16,200 试次；左–右混淆高于空闲–任务边界混淆。</w:t>
      </w:r>
    </w:p>
    <w:p w14:paraId="13E87821">
      <w:pPr>
        <w:spacing w:before="0" w:after="120" w:line="312" w:lineRule="auto"/>
        <w:ind w:firstLine="480"/>
        <w:jc w:val="both"/>
      </w:pPr>
      <w:r>
        <w:rPr>
          <w:rFonts w:ascii="Times New Roman" w:hAnsi="Times New Roman" w:eastAsia="宋体"/>
          <w:b w:val="0"/>
          <w:color w:val="000000"/>
          <w:sz w:val="24"/>
        </w:rPr>
        <w:t>结论。 底座与读出冻结：四成员温度校准融合加因果滑窗多数票。系统主线的离线部分至此完成，增益来源收敛为三要素：3 s 窗、概率校准集成、权重级适配。前两者已定，第三要素（权重级适配）是主线下一阶段（3.5 节）的主题。在此之前，3.4 节先报告与主线并行的指定集评测线：它在从零训练的 59 通道集成上独立完成对外提交，不使用本节底座的权重。</w:t>
      </w:r>
    </w:p>
    <w:p w14:paraId="7E3E21B1">
      <w:pPr>
        <w:pStyle w:val="4"/>
        <w:spacing w:before="200" w:after="160" w:line="312" w:lineRule="auto"/>
      </w:pPr>
      <w:bookmarkStart w:id="23" w:name="_Toc27137"/>
      <w:r>
        <w:rPr>
          <w:rFonts w:ascii="Times New Roman" w:hAnsi="Times New Roman" w:eastAsia="黑体"/>
          <w:b/>
          <w:color w:val="000000"/>
          <w:sz w:val="30"/>
        </w:rPr>
        <w:t>3.4 指定集评测与提交决策</w:t>
      </w:r>
      <w:bookmarkEnd w:id="23"/>
    </w:p>
    <w:p w14:paraId="3D82D5C2">
      <w:pPr>
        <w:spacing w:before="0" w:after="120" w:line="312" w:lineRule="auto"/>
        <w:ind w:firstLine="480"/>
        <w:jc w:val="both"/>
      </w:pPr>
      <w:r>
        <w:rPr>
          <w:rFonts w:ascii="Times New Roman" w:hAnsi="Times New Roman" w:eastAsia="宋体"/>
          <w:b w:val="0"/>
          <w:color w:val="000000"/>
          <w:sz w:val="24"/>
        </w:rPr>
        <w:t>本阶段为与系统主线（3.1–3.3 → 3.5–3.6）并行的指定集评测线，不是主线因果链的下一环。指定数据集口径与主线分叉：59 通道、每试次一窗（无滑窗步长；与主线 8 通道滑窗的差异见 2.3 节末口径分叉说明）；离线模型 QuadFold-59 在该数据集上从零训练，不加载 3.3 节的 CausalFuse-8 权重。与主线底座相关的唯一旁支是"OpenBMI→8ch 微调栈"备选（留一被试 54.00%），即底座向指定集的迁移尝试，最终因验证支撑风险被否决（见本节末提交决策）。</w:t>
      </w:r>
    </w:p>
    <w:p w14:paraId="661CAB93">
      <w:pPr>
        <w:spacing w:before="0" w:after="120" w:line="312" w:lineRule="auto"/>
        <w:ind w:firstLine="480"/>
        <w:jc w:val="both"/>
      </w:pPr>
      <w:r>
        <w:rPr>
          <w:rFonts w:ascii="Times New Roman" w:hAnsi="Times New Roman" w:eastAsia="宋体"/>
          <w:b w:val="0"/>
          <w:color w:val="000000"/>
          <w:sz w:val="24"/>
        </w:rPr>
        <w:t>研究问题：在主办方指定标准数据集（6 被试、留一被试六折、每试次一窗、每折约 150 试次）上，如何给出可信准确率并完成提交决策。</w:t>
      </w:r>
    </w:p>
    <w:p w14:paraId="784505AE">
      <w:pPr>
        <w:spacing w:before="0" w:after="120" w:line="312" w:lineRule="auto"/>
        <w:ind w:firstLine="480"/>
        <w:jc w:val="both"/>
      </w:pPr>
      <w:r>
        <w:rPr>
          <w:rFonts w:ascii="Times New Roman" w:hAnsi="Times New Roman" w:eastAsia="宋体"/>
          <w:b w:val="0"/>
          <w:color w:val="000000"/>
          <w:sz w:val="24"/>
        </w:rPr>
        <w:t>本阶段七个实验构成一条完整的决策链，每步均有预注册判定与统计检验。</w:t>
      </w:r>
    </w:p>
    <w:p w14:paraId="6E12BAB6">
      <w:pPr>
        <w:spacing w:before="0" w:after="120" w:line="312" w:lineRule="auto"/>
        <w:ind w:firstLine="480"/>
        <w:jc w:val="both"/>
      </w:pPr>
      <w:r>
        <w:rPr>
          <w:rFonts w:ascii="Times New Roman" w:hAnsi="Times New Roman" w:eastAsia="宋体"/>
          <w:b w:val="0"/>
          <w:color w:val="000000"/>
          <w:sz w:val="24"/>
        </w:rPr>
        <w:t>指定集评测从两条路线起步：59 通道从零训练的四成员集成（QuadFold-59）与 OpenBMI 8 通道预训练微调栈（备选）。首轮折内读数：QuadFold-59 为 55.80%，备选栈为 57.30%。融合重标定与候选终选后，QuadFold-59 定为主候选。随后的扩池与跨轨融合实验中，折内读数一度达到 60.40% 与 62.60%，但未通过 Wilcoxon 显著性线。</w:t>
      </w:r>
    </w:p>
    <w:p w14:paraId="03F32814">
      <w:pPr>
        <w:spacing w:before="0" w:after="120" w:line="312" w:lineRule="auto"/>
        <w:ind w:firstLine="480"/>
        <w:jc w:val="both"/>
      </w:pPr>
      <w:r>
        <w:rPr>
          <w:rFonts w:ascii="Times New Roman" w:hAnsi="Times New Roman" w:eastAsia="宋体"/>
          <w:b w:val="0"/>
          <w:color w:val="000000"/>
          <w:sz w:val="24"/>
        </w:rPr>
        <w:t xml:space="preserve">留一被试验证显示：同一 QuadFold-59，折内读数 55.80%，留一被试读数（融合参数在保留折外拟合、对保留折预测）仅 51.11%±6.57%，两者相差 4.7 个百分点；此前折内 60.40% 的高分在留一被试复核下基本消失。原因是每折约 150 试次的小样本条件下，任何在折内拟合的自由参数（哪怕是几个融合权重）都会产生乐观伪影。形式化地，第 </w:t>
      </w:r>
      <m:oMath>
        <m:r>
          <m:rPr/>
          <m:t>f</m:t>
        </m:r>
      </m:oMath>
      <w:r>
        <w:rPr>
          <w:rFonts w:ascii="Times New Roman" w:hAnsi="Times New Roman" w:eastAsia="宋体"/>
          <w:b w:val="0"/>
          <w:color w:val="000000"/>
          <w:sz w:val="24"/>
        </w:rPr>
        <w:t xml:space="preserve"> 折的融合权仅用其余五折的折外预测拟合（在权重单纯形上最大化验证折准确率），测试读数为六折概率平均；折内口径则在全部折外预测上拟合一次融合权后同批评估。两种口径的完整公式见附录 D.4。</w:t>
      </w:r>
    </w:p>
    <w:p w14:paraId="7E541F7C">
      <w:pPr>
        <w:spacing w:before="0" w:after="120" w:line="312" w:lineRule="auto"/>
        <w:ind w:firstLine="480"/>
        <w:jc w:val="both"/>
      </w:pPr>
      <w:r>
        <w:rPr>
          <w:rFonts w:ascii="Times New Roman" w:hAnsi="Times New Roman" w:eastAsia="宋体"/>
          <w:b w:val="0"/>
          <w:color w:val="000000"/>
          <w:sz w:val="24"/>
        </w:rPr>
        <w:t>扩池变体的留一被试读数 52.30% 与主候选 51.11% 经 McNemar 检验无显著差异（p=0.81），维持主候选。误差去相关选池实验为阴性（最优 52.80%）。</w:t>
      </w:r>
    </w:p>
    <w:p w14:paraId="6D675203">
      <w:pPr>
        <w:spacing w:before="0" w:after="120" w:line="312" w:lineRule="auto"/>
        <w:ind w:firstLine="480"/>
        <w:jc w:val="both"/>
      </w:pPr>
      <w:r>
        <w:rPr>
          <w:rFonts w:ascii="Times New Roman" w:hAnsi="Times New Roman" w:eastAsia="宋体"/>
          <w:b w:val="0"/>
          <w:color w:val="000000"/>
          <w:sz w:val="24"/>
        </w:rPr>
        <w:t>提交决策发生在程序终态之后。工程选卷环节曾按点估计选中备选栈（留一被试 54.00%±14.60%，与主候选差异不显著），但加固检验发现其验证集六折的折外预测中，空闲类占比最高仅约 33%，而测试集预测空闲类约 51%，落在验证集支撑范围之外；且该栈历史上有验证折崩溃至 30.00% 的记录，主候选验证最差折 42.70%、无崩溃记录，设计均衡下边际上限更高（90.8% 对 82.5%）。据此执行风险否决：提交 QuadFold-59，备选栈结果归档。该决策未使用测试标签调参，未改动验证过线门槛。加固阶段本身的蒙特卡洛边际校正与测试时增强均为阴性。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176"/>
        <w:gridCol w:w="2176"/>
        <w:gridCol w:w="2176"/>
        <w:gridCol w:w="2176"/>
      </w:tblGrid>
      <w:tr w14:paraId="0C1B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176" w:type="dxa"/>
            <w:shd w:val="clear" w:color="auto" w:fill="D9E2F3"/>
          </w:tcPr>
          <w:p w14:paraId="511E8B79">
            <w:pPr>
              <w:spacing w:after="0" w:line="276" w:lineRule="auto"/>
              <w:jc w:val="center"/>
            </w:pPr>
            <w:r>
              <w:rPr>
                <w:rFonts w:ascii="Times New Roman" w:hAnsi="Times New Roman" w:eastAsia="宋体"/>
                <w:b w:val="0"/>
                <w:color w:val="000000"/>
                <w:sz w:val="21"/>
              </w:rPr>
              <w:t>验证方案</w:t>
            </w:r>
          </w:p>
        </w:tc>
        <w:tc>
          <w:tcPr>
            <w:tcW w:w="2176" w:type="dxa"/>
            <w:shd w:val="clear" w:color="auto" w:fill="D9E2F3"/>
          </w:tcPr>
          <w:p w14:paraId="24F92F1B">
            <w:pPr>
              <w:spacing w:after="0" w:line="276" w:lineRule="auto"/>
              <w:jc w:val="center"/>
            </w:pPr>
            <w:r>
              <w:rPr>
                <w:rFonts w:ascii="Times New Roman" w:hAnsi="Times New Roman" w:eastAsia="宋体"/>
                <w:b w:val="0"/>
                <w:color w:val="000000"/>
                <w:sz w:val="21"/>
              </w:rPr>
              <w:t>候选模型</w:t>
            </w:r>
          </w:p>
        </w:tc>
        <w:tc>
          <w:tcPr>
            <w:tcW w:w="2176" w:type="dxa"/>
            <w:shd w:val="clear" w:color="auto" w:fill="D9E2F3"/>
          </w:tcPr>
          <w:p w14:paraId="7BC9DCD3">
            <w:pPr>
              <w:spacing w:after="0" w:line="276" w:lineRule="auto"/>
              <w:jc w:val="center"/>
            </w:pPr>
            <w:r>
              <w:rPr>
                <w:rFonts w:ascii="Times New Roman" w:hAnsi="Times New Roman" w:eastAsia="宋体"/>
                <w:b w:val="0"/>
                <w:color w:val="000000"/>
                <w:sz w:val="21"/>
              </w:rPr>
              <w:t>分类准确率（均值±标准差，%）</w:t>
            </w:r>
          </w:p>
        </w:tc>
        <w:tc>
          <w:tcPr>
            <w:tcW w:w="2176" w:type="dxa"/>
            <w:shd w:val="clear" w:color="auto" w:fill="D9E2F3"/>
          </w:tcPr>
          <w:p w14:paraId="45B0819B">
            <w:pPr>
              <w:spacing w:after="0" w:line="276" w:lineRule="auto"/>
              <w:jc w:val="center"/>
            </w:pPr>
            <w:r>
              <w:rPr>
                <w:rFonts w:ascii="Times New Roman" w:hAnsi="Times New Roman" w:eastAsia="宋体"/>
                <w:b w:val="0"/>
                <w:color w:val="000000"/>
                <w:sz w:val="21"/>
              </w:rPr>
              <w:t>决策结论</w:t>
            </w:r>
          </w:p>
        </w:tc>
      </w:tr>
      <w:tr w14:paraId="11EA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20A78CD0">
            <w:pPr>
              <w:spacing w:after="0" w:line="276" w:lineRule="auto"/>
              <w:jc w:val="left"/>
            </w:pPr>
            <w:r>
              <w:rPr>
                <w:rFonts w:ascii="Times New Roman" w:hAnsi="Times New Roman" w:eastAsia="宋体"/>
                <w:b w:val="0"/>
                <w:color w:val="000000"/>
                <w:sz w:val="21"/>
              </w:rPr>
              <w:t>留一被试（正式读数）</w:t>
            </w:r>
          </w:p>
        </w:tc>
        <w:tc>
          <w:tcPr>
            <w:tcW w:w="2176" w:type="dxa"/>
          </w:tcPr>
          <w:p w14:paraId="6843A528">
            <w:pPr>
              <w:spacing w:after="0" w:line="276" w:lineRule="auto"/>
              <w:jc w:val="left"/>
            </w:pPr>
            <w:r>
              <w:rPr>
                <w:rFonts w:ascii="Times New Roman" w:hAnsi="Times New Roman" w:eastAsia="宋体"/>
                <w:b w:val="0"/>
                <w:color w:val="000000"/>
                <w:sz w:val="21"/>
              </w:rPr>
              <w:t>QuadFold-59</w:t>
            </w:r>
          </w:p>
        </w:tc>
        <w:tc>
          <w:tcPr>
            <w:tcW w:w="2176" w:type="dxa"/>
          </w:tcPr>
          <w:p w14:paraId="0F8899BF">
            <w:pPr>
              <w:spacing w:after="0" w:line="276" w:lineRule="auto"/>
              <w:jc w:val="left"/>
            </w:pPr>
            <w:r>
              <w:rPr>
                <w:rFonts w:ascii="Times New Roman" w:hAnsi="Times New Roman" w:eastAsia="宋体"/>
                <w:b w:val="0"/>
                <w:color w:val="000000"/>
                <w:sz w:val="21"/>
              </w:rPr>
              <w:t>51.11±6.57</w:t>
            </w:r>
          </w:p>
        </w:tc>
        <w:tc>
          <w:tcPr>
            <w:tcW w:w="2176" w:type="dxa"/>
          </w:tcPr>
          <w:p w14:paraId="798345D7">
            <w:pPr>
              <w:spacing w:after="0" w:line="276" w:lineRule="auto"/>
              <w:jc w:val="left"/>
            </w:pPr>
            <w:r>
              <w:rPr>
                <w:rFonts w:ascii="Times New Roman" w:hAnsi="Times New Roman" w:eastAsia="宋体"/>
                <w:b w:val="0"/>
                <w:color w:val="000000"/>
                <w:sz w:val="21"/>
              </w:rPr>
              <w:t>正式提交</w:t>
            </w:r>
          </w:p>
        </w:tc>
      </w:tr>
      <w:tr w14:paraId="433D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62483AE7">
            <w:pPr>
              <w:spacing w:after="0" w:line="276" w:lineRule="auto"/>
              <w:jc w:val="left"/>
            </w:pPr>
            <w:r>
              <w:rPr>
                <w:rFonts w:ascii="Times New Roman" w:hAnsi="Times New Roman" w:eastAsia="宋体"/>
                <w:b w:val="0"/>
                <w:color w:val="000000"/>
                <w:sz w:val="21"/>
              </w:rPr>
              <w:t>折内验证（附报）</w:t>
            </w:r>
          </w:p>
        </w:tc>
        <w:tc>
          <w:tcPr>
            <w:tcW w:w="2176" w:type="dxa"/>
          </w:tcPr>
          <w:p w14:paraId="61894AA2">
            <w:pPr>
              <w:spacing w:after="0" w:line="276" w:lineRule="auto"/>
              <w:jc w:val="left"/>
            </w:pPr>
            <w:r>
              <w:rPr>
                <w:rFonts w:ascii="Times New Roman" w:hAnsi="Times New Roman" w:eastAsia="宋体"/>
                <w:b w:val="0"/>
                <w:color w:val="000000"/>
                <w:sz w:val="21"/>
              </w:rPr>
              <w:t>QuadFold-59</w:t>
            </w:r>
          </w:p>
        </w:tc>
        <w:tc>
          <w:tcPr>
            <w:tcW w:w="2176" w:type="dxa"/>
          </w:tcPr>
          <w:p w14:paraId="256CE0EA">
            <w:pPr>
              <w:spacing w:after="0" w:line="276" w:lineRule="auto"/>
              <w:jc w:val="left"/>
            </w:pPr>
            <w:r>
              <w:rPr>
                <w:rFonts w:ascii="Times New Roman" w:hAnsi="Times New Roman" w:eastAsia="宋体"/>
                <w:b w:val="0"/>
                <w:color w:val="000000"/>
                <w:sz w:val="21"/>
              </w:rPr>
              <w:t>55.80±6.90</w:t>
            </w:r>
          </w:p>
        </w:tc>
        <w:tc>
          <w:tcPr>
            <w:tcW w:w="2176" w:type="dxa"/>
          </w:tcPr>
          <w:p w14:paraId="001A8E3B">
            <w:pPr>
              <w:spacing w:after="0" w:line="276" w:lineRule="auto"/>
              <w:jc w:val="left"/>
            </w:pPr>
            <w:r>
              <w:rPr>
                <w:rFonts w:ascii="Times New Roman" w:hAnsi="Times New Roman" w:eastAsia="宋体"/>
                <w:b w:val="0"/>
                <w:color w:val="000000"/>
                <w:sz w:val="21"/>
              </w:rPr>
              <w:t>乐观偏置（+4.7 个百分点）</w:t>
            </w:r>
          </w:p>
        </w:tc>
      </w:tr>
      <w:tr w14:paraId="0333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573ADD02">
            <w:pPr>
              <w:spacing w:after="0" w:line="276" w:lineRule="auto"/>
              <w:jc w:val="left"/>
            </w:pPr>
            <w:r>
              <w:rPr>
                <w:rFonts w:ascii="Times New Roman" w:hAnsi="Times New Roman" w:eastAsia="宋体"/>
                <w:b w:val="0"/>
                <w:color w:val="000000"/>
                <w:sz w:val="21"/>
              </w:rPr>
              <w:t>留一被试（归档）</w:t>
            </w:r>
          </w:p>
        </w:tc>
        <w:tc>
          <w:tcPr>
            <w:tcW w:w="2176" w:type="dxa"/>
          </w:tcPr>
          <w:p w14:paraId="50A1D652">
            <w:pPr>
              <w:spacing w:after="0" w:line="276" w:lineRule="auto"/>
              <w:jc w:val="left"/>
            </w:pPr>
            <w:r>
              <w:rPr>
                <w:rFonts w:ascii="Times New Roman" w:hAnsi="Times New Roman" w:eastAsia="宋体"/>
                <w:b w:val="0"/>
                <w:color w:val="000000"/>
                <w:sz w:val="21"/>
              </w:rPr>
              <w:t>OpenBMI 8 通道微调</w:t>
            </w:r>
          </w:p>
        </w:tc>
        <w:tc>
          <w:tcPr>
            <w:tcW w:w="2176" w:type="dxa"/>
          </w:tcPr>
          <w:p w14:paraId="3EC99C79">
            <w:pPr>
              <w:spacing w:after="0" w:line="276" w:lineRule="auto"/>
              <w:jc w:val="left"/>
            </w:pPr>
            <w:r>
              <w:rPr>
                <w:rFonts w:ascii="Times New Roman" w:hAnsi="Times New Roman" w:eastAsia="宋体"/>
                <w:b w:val="0"/>
                <w:color w:val="000000"/>
                <w:sz w:val="21"/>
              </w:rPr>
              <w:t>54.00±14.60</w:t>
            </w:r>
          </w:p>
        </w:tc>
        <w:tc>
          <w:tcPr>
            <w:tcW w:w="2176" w:type="dxa"/>
          </w:tcPr>
          <w:p w14:paraId="2957B226">
            <w:pPr>
              <w:spacing w:after="0" w:line="276" w:lineRule="auto"/>
              <w:jc w:val="left"/>
            </w:pPr>
            <w:r>
              <w:rPr>
                <w:rFonts w:ascii="Times New Roman" w:hAnsi="Times New Roman" w:eastAsia="宋体"/>
                <w:b w:val="0"/>
                <w:color w:val="000000"/>
                <w:sz w:val="21"/>
              </w:rPr>
              <w:t>外推风险否决</w:t>
            </w:r>
          </w:p>
        </w:tc>
      </w:tr>
      <w:tr w14:paraId="16D8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176" w:type="dxa"/>
          </w:tcPr>
          <w:p w14:paraId="07D7CB85">
            <w:pPr>
              <w:spacing w:after="0" w:line="276" w:lineRule="auto"/>
              <w:jc w:val="left"/>
            </w:pPr>
            <w:r>
              <w:rPr>
                <w:rFonts w:ascii="Times New Roman" w:hAnsi="Times New Roman" w:eastAsia="宋体"/>
                <w:b w:val="0"/>
                <w:color w:val="000000"/>
                <w:sz w:val="21"/>
              </w:rPr>
              <w:t>留一被试（附报）</w:t>
            </w:r>
          </w:p>
        </w:tc>
        <w:tc>
          <w:tcPr>
            <w:tcW w:w="2176" w:type="dxa"/>
          </w:tcPr>
          <w:p w14:paraId="0F1CAC56">
            <w:pPr>
              <w:spacing w:after="0" w:line="276" w:lineRule="auto"/>
              <w:jc w:val="left"/>
            </w:pPr>
            <w:r>
              <w:rPr>
                <w:rFonts w:ascii="Times New Roman" w:hAnsi="Times New Roman" w:eastAsia="宋体"/>
                <w:b w:val="0"/>
                <w:color w:val="000000"/>
                <w:sz w:val="21"/>
              </w:rPr>
              <w:t>浅层单骨干变体</w:t>
            </w:r>
          </w:p>
        </w:tc>
        <w:tc>
          <w:tcPr>
            <w:tcW w:w="2176" w:type="dxa"/>
          </w:tcPr>
          <w:p w14:paraId="771B65D7">
            <w:pPr>
              <w:spacing w:after="0" w:line="276" w:lineRule="auto"/>
              <w:jc w:val="left"/>
            </w:pPr>
            <w:r>
              <w:rPr>
                <w:rFonts w:ascii="Times New Roman" w:hAnsi="Times New Roman" w:eastAsia="宋体"/>
                <w:b w:val="0"/>
                <w:color w:val="000000"/>
                <w:sz w:val="21"/>
              </w:rPr>
              <w:t>52.80±13.00</w:t>
            </w:r>
          </w:p>
        </w:tc>
        <w:tc>
          <w:tcPr>
            <w:tcW w:w="2176" w:type="dxa"/>
          </w:tcPr>
          <w:p w14:paraId="6190670B">
            <w:pPr>
              <w:spacing w:after="0" w:line="276" w:lineRule="auto"/>
              <w:jc w:val="left"/>
            </w:pPr>
            <w:r>
              <w:rPr>
                <w:rFonts w:ascii="Times New Roman" w:hAnsi="Times New Roman" w:eastAsia="宋体"/>
                <w:b w:val="0"/>
                <w:color w:val="000000"/>
                <w:sz w:val="21"/>
              </w:rPr>
              <w:t>选池消融对照</w:t>
            </w:r>
          </w:p>
        </w:tc>
      </w:tr>
    </w:tbl>
    <w:p w14:paraId="13902F4D">
      <w:pPr>
        <w:spacing w:after="60"/>
      </w:pPr>
    </w:p>
    <w:p w14:paraId="52BEEE75">
      <w:pPr>
        <w:spacing w:before="120" w:after="80"/>
        <w:jc w:val="center"/>
      </w:pPr>
      <w:r>
        <w:drawing>
          <wp:inline distT="0" distB="0" distL="114300" distR="114300">
            <wp:extent cx="5219700" cy="3205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20000" cy="3206043"/>
                    </a:xfrm>
                    <a:prstGeom prst="rect">
                      <a:avLst/>
                    </a:prstGeom>
                  </pic:spPr>
                </pic:pic>
              </a:graphicData>
            </a:graphic>
          </wp:inline>
        </w:drawing>
      </w:r>
    </w:p>
    <w:p w14:paraId="78A80263">
      <w:pPr>
        <w:spacing w:before="40" w:after="160" w:line="312" w:lineRule="auto"/>
        <w:jc w:val="center"/>
      </w:pPr>
      <w:r>
        <w:rPr>
          <w:rFonts w:ascii="Times New Roman" w:hAnsi="Times New Roman" w:eastAsia="宋体"/>
          <w:b w:val="0"/>
          <w:color w:val="000000"/>
          <w:sz w:val="21"/>
        </w:rPr>
        <w:t>图 11　主办方指定集（6 受试留一被试六折）的桥形图：基线 → 增量 → 终值。 两组桥：左 QuadFold-59 提交栈，留一被试读数基线 51.11% → 折内拟合 +4.7 个百分点（标识乐观偏置）→ 折内附报 55.80%；右 8 通道微调栈，V1 单模 52.80% → 四成员融合 +1.2 个百分点 → 54.00%。误差条 = 跨折标准差；纵轴自 0.30 起；留一被试读数 = 其余五折验证集拟合融合参数、本折评估；备选栈因验证支撑外推风险否决（见正文）。</w:t>
      </w:r>
    </w:p>
    <w:p w14:paraId="02E06443">
      <w:pPr>
        <w:spacing w:before="0" w:after="120" w:line="312" w:lineRule="auto"/>
        <w:ind w:firstLine="480"/>
        <w:jc w:val="both"/>
      </w:pPr>
      <w:r>
        <w:rPr>
          <w:rFonts w:ascii="Times New Roman" w:hAnsi="Times New Roman" w:eastAsia="宋体"/>
          <w:b w:val="0"/>
          <w:color w:val="000000"/>
          <w:sz w:val="24"/>
        </w:rPr>
        <w:t>结论。 小样本折下留一被试验证是唯一可信结果；提交决策依据验证集支撑范围而非点估计。指定集算法线就此冻结。</w:t>
      </w:r>
    </w:p>
    <w:p w14:paraId="0D39FF6E">
      <w:pPr>
        <w:pStyle w:val="4"/>
        <w:spacing w:before="200" w:after="160" w:line="312" w:lineRule="auto"/>
      </w:pPr>
      <w:bookmarkStart w:id="24" w:name="_Toc6267"/>
      <w:r>
        <w:rPr>
          <w:rFonts w:ascii="Times New Roman" w:hAnsi="Times New Roman" w:eastAsia="黑体"/>
          <w:b/>
          <w:color w:val="000000"/>
          <w:sz w:val="30"/>
        </w:rPr>
        <w:t>3.5 少样本个体适配方法学</w:t>
      </w:r>
      <w:bookmarkEnd w:id="24"/>
    </w:p>
    <w:p w14:paraId="4060B87B">
      <w:pPr>
        <w:spacing w:before="0" w:after="120" w:line="312" w:lineRule="auto"/>
        <w:ind w:firstLine="480"/>
        <w:jc w:val="both"/>
      </w:pPr>
      <w:r>
        <w:rPr>
          <w:rFonts w:ascii="Times New Roman" w:hAnsi="Times New Roman" w:eastAsia="宋体"/>
          <w:b w:val="0"/>
          <w:color w:val="000000"/>
          <w:sz w:val="24"/>
        </w:rPr>
        <w:t>研究问题：零样本底座对新用户是否足够；若不足，哪一类适配方法有效；微调方案应当如何设计、在两个公开库上采用的两种微调方式孰优。</w:t>
      </w:r>
    </w:p>
    <w:p w14:paraId="12358B7D">
      <w:pPr>
        <w:spacing w:before="0" w:after="120" w:line="312" w:lineRule="auto"/>
        <w:ind w:firstLine="480"/>
        <w:jc w:val="both"/>
      </w:pPr>
      <w:r>
        <w:rPr>
          <w:rFonts w:ascii="Times New Roman" w:hAnsi="Times New Roman" w:eastAsia="宋体"/>
          <w:b w:val="0"/>
          <w:color w:val="000000"/>
          <w:sz w:val="24"/>
        </w:rPr>
        <w:t>数据集选择与范式差异。 两个公开库在适配实验中角色不同。BCI2a（A01–A09 Training 集）为纯 Cue 运动想象、想象窗固定 4 s，与本研究范式及 OpenBMI 底座一致，因此是微调方案对比与适配演化分析的主载体；本项目在其上只采用逐场次（Leave-Next）方案，未做前半/后半切分，同库头对头对照留作后续（见 4 讨论）。Stieger2021 为闭环光标反馈范式：受试者以左右手运动想象控制光标左右移动、双手想象控制光标上移、主动静息对应光标下移，反馈/想象段时长可变（约 0.04–6.04 s，分类窗取该段末 2 s、不足 2 s 丢弃），与主线的 Cue 固定范式不同。因此 Stieger 只承担两项任务：跨库微调必要性的机制验证与生理门控的否决证据，不用于方案对比。</w:t>
      </w:r>
    </w:p>
    <w:p w14:paraId="4FBD5D0E">
      <w:pPr>
        <w:spacing w:before="0" w:after="120" w:line="312" w:lineRule="auto"/>
        <w:ind w:firstLine="480"/>
        <w:jc w:val="both"/>
      </w:pPr>
      <w:r>
        <w:rPr>
          <w:rFonts w:ascii="Times New Roman" w:hAnsi="Times New Roman" w:eastAsia="宋体"/>
          <w:b w:val="0"/>
          <w:color w:val="000000"/>
          <w:sz w:val="24"/>
        </w:rPr>
        <w:t>适配必要性（两库零样本均不足）。 OpenBMI 底座跨库直接使用时：BCI2a 上零样本仅 33.80%（见下文 Leave-Next 曲线 R0）；Stieger（24 人子集）上零样本 41.98%±5.85%，前半会话微调后升至 65.90%±9.29%（24 名被试全部提升 3 个百分点以上），叠加生理门控后达 70.03%±8.69%，但弃权率 59.3%（门控不进入在线方案的理由见 2.6 节）。两库一致表明：跨库部署零样本不可用，个体化微调是必要环节。</w:t>
      </w:r>
    </w:p>
    <w:p w14:paraId="21230118">
      <w:pPr>
        <w:spacing w:before="120" w:after="80"/>
        <w:jc w:val="center"/>
      </w:pPr>
      <w:r>
        <w:drawing>
          <wp:inline distT="0" distB="0" distL="114300" distR="114300">
            <wp:extent cx="5219700" cy="3783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20000" cy="3783488"/>
                    </a:xfrm>
                    <a:prstGeom prst="rect">
                      <a:avLst/>
                    </a:prstGeom>
                  </pic:spPr>
                </pic:pic>
              </a:graphicData>
            </a:graphic>
          </wp:inline>
        </w:drawing>
      </w:r>
    </w:p>
    <w:p w14:paraId="31FBAB8B">
      <w:pPr>
        <w:spacing w:before="40" w:after="160" w:line="312" w:lineRule="auto"/>
        <w:jc w:val="center"/>
      </w:pPr>
      <w:r>
        <w:rPr>
          <w:rFonts w:ascii="Times New Roman" w:hAnsi="Times New Roman" w:eastAsia="宋体"/>
          <w:b w:val="0"/>
          <w:color w:val="000000"/>
          <w:sz w:val="21"/>
        </w:rPr>
        <w:t>图 12　Stieger 跨库伪在线（24 人子集）。 前半会话训练、后半评测。生理门控为离线旁路（弃权 59.3%），不进入正式在线方案。</w:t>
      </w:r>
    </w:p>
    <w:p w14:paraId="5E7CB30C">
      <w:pPr>
        <w:spacing w:before="0" w:after="120" w:line="312" w:lineRule="auto"/>
        <w:ind w:firstLine="480"/>
        <w:jc w:val="both"/>
      </w:pPr>
      <w:r>
        <w:rPr>
          <w:rFonts w:ascii="Times New Roman" w:hAnsi="Times New Roman" w:eastAsia="宋体"/>
          <w:b w:val="0"/>
          <w:color w:val="000000"/>
          <w:sz w:val="24"/>
        </w:rPr>
        <w:t>微调方式对比。 部署采用逐场次采后微调（Leave-Next）：每完成一场即以该场训练、下一场保留评测；跨库机制验证保留前半/后半切分。Leave-Next 能跟踪场间漂移、给出完整适配曲线并与真实逐场晋升一致，故作部署主口径；前半/后半仅用于跨库机制检查。BCI2a 仿真末档四成员微调 66.30%±6.70%，较仅微调浅层单成员 45.20% 高 21.1 个百分点。</w:t>
      </w:r>
    </w:p>
    <w:p w14:paraId="4C16C8BE">
      <w:pPr>
        <w:spacing w:before="120" w:after="80"/>
        <w:jc w:val="center"/>
      </w:pPr>
      <w:r>
        <w:drawing>
          <wp:inline distT="0" distB="0" distL="114300" distR="114300">
            <wp:extent cx="5219700" cy="2844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20000" cy="2844291"/>
                    </a:xfrm>
                    <a:prstGeom prst="rect">
                      <a:avLst/>
                    </a:prstGeom>
                  </pic:spPr>
                </pic:pic>
              </a:graphicData>
            </a:graphic>
          </wp:inline>
        </w:drawing>
      </w:r>
    </w:p>
    <w:p w14:paraId="06B30221">
      <w:pPr>
        <w:spacing w:before="40" w:after="160" w:line="312" w:lineRule="auto"/>
        <w:jc w:val="center"/>
      </w:pPr>
      <w:r>
        <w:rPr>
          <w:rFonts w:ascii="Times New Roman" w:hAnsi="Times New Roman" w:eastAsia="宋体"/>
          <w:b w:val="0"/>
          <w:color w:val="000000"/>
          <w:sz w:val="21"/>
        </w:rPr>
        <w:t>图 13　Leave-Next（逐场次采后微调）方案示意。 第 r 轮以已完成场次为训练集、紧邻下一场为保留评测；R0（第 0 轮）为零样本底座直接推断。训练永远先于评测，与真实部署的逐场晋升一致，并可得到完整适配曲线（相对前半/后半单点切分）。</w:t>
      </w:r>
    </w:p>
    <w:p w14:paraId="44CCD687">
      <w:pPr>
        <w:spacing w:before="120" w:after="80"/>
        <w:jc w:val="center"/>
      </w:pPr>
      <w:r>
        <w:drawing>
          <wp:inline distT="0" distB="0" distL="114300" distR="114300">
            <wp:extent cx="5219700" cy="3974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20000" cy="3974633"/>
                    </a:xfrm>
                    <a:prstGeom prst="rect">
                      <a:avLst/>
                    </a:prstGeom>
                  </pic:spPr>
                </pic:pic>
              </a:graphicData>
            </a:graphic>
          </wp:inline>
        </w:drawing>
      </w:r>
    </w:p>
    <w:p w14:paraId="25CF7368">
      <w:pPr>
        <w:spacing w:before="40" w:after="160" w:line="312" w:lineRule="auto"/>
        <w:jc w:val="center"/>
      </w:pPr>
      <w:r>
        <w:rPr>
          <w:rFonts w:ascii="Times New Roman" w:hAnsi="Times New Roman" w:eastAsia="宋体"/>
          <w:b w:val="0"/>
          <w:color w:val="000000"/>
          <w:sz w:val="21"/>
        </w:rPr>
        <w:t>图 14　BCI2a（A01–A09）Leave-Next 仿真的逐被试适配轨迹（源域回放 10%）。 实线 = 四成员全量微调（CausalFuse-8FT）；虚线 = 仅微调浅层成员、其余成员冻结后再融合；点线 = 浅层单模型直接微调基线。末轮（第 6 轮）：四成员全量微调 66.30%±6.70%，对仅微调浅层单成员 45.20%±4.70%（Δ=+21.1 个百分点，配对显著）；浅层单模型基线 67.10%±6.70%（与四成员同量级）。曲线随轮次上升支撑 Leave-Next 方案；四成员全量微调相对仅微调浅层单成员的大幅提升支撑全成员微调范围。</w:t>
      </w:r>
    </w:p>
    <w:p w14:paraId="14FBF1C5">
      <w:pPr>
        <w:spacing w:before="0" w:after="120" w:line="312" w:lineRule="auto"/>
        <w:ind w:firstLine="480"/>
        <w:jc w:val="both"/>
      </w:pPr>
      <w:r>
        <w:rPr>
          <w:rFonts w:ascii="Times New Roman" w:hAnsi="Times New Roman" w:eastAsia="宋体"/>
          <w:b w:val="0"/>
          <w:color w:val="000000"/>
          <w:sz w:val="24"/>
        </w:rPr>
        <w:t>四成员集成相对「浅层单模型直接微调」的定位。 图 14 末轮浅层单模型直接微调基线 67.10%±6.70% 与四成员全量微调 66.30%±6.70% 同量级，说明在 BCI2a 仿真末档上，单模型直接微调已能达到接近的点估计。摘要所称「四成员较单成员 +21.1 个百分点」对照的是「仅微调浅层成员、其余冻结再融合」的 45.20%，而非上述单模型基线——二者不宜对照混淆。保留四成员复杂度的理由主要在部署侧而非该仿真末档：（1）零样本/早期轮次与公开库主要读数上，集成底座提供更高起点（OpenBMI 窗级主要读数 61.88% 对浅层单模约 58%）；（2）真人队列强受益个体的大幅增益来自全历史增量链（3.7 节），当前未完成「单模型逐场次链」的同口径真人重放，故不声称集成在真人末档上必然优于单模型直接微调，将该对照列为局限与后续实验位。</w:t>
      </w:r>
    </w:p>
    <w:p w14:paraId="09B9C05F">
      <w:pPr>
        <w:spacing w:before="0" w:after="120" w:line="312" w:lineRule="auto"/>
        <w:ind w:firstLine="480"/>
        <w:jc w:val="both"/>
      </w:pPr>
      <w:r>
        <w:rPr>
          <w:rFonts w:ascii="Times New Roman" w:hAnsi="Times New Roman" w:eastAsia="宋体"/>
          <w:b w:val="0"/>
          <w:color w:val="000000"/>
          <w:sz w:val="24"/>
        </w:rPr>
        <w:t>BCI2a 仿真与真人队列的形态对照。 同一方案下，BCI2a 九人末档全部落入 55.60%–75.60% 窄带（均值 66.30%，7/9 ≥ 62.00%），逐轮曲线以单调爬坡为主；真人 20 人末档窗级散布于 33.30%–92.40%（均值 47.60%，12/20 过门控）。两者的反差本身是信息：仿真无疲劳、无电极阻抗漂移、电极位置理想，而真人队列的方差主要来自会话状态与数据质量——增益分布对照见图 16，定量分解见 3.7 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1741"/>
        <w:gridCol w:w="1741"/>
        <w:gridCol w:w="1741"/>
        <w:gridCol w:w="1741"/>
        <w:gridCol w:w="1741"/>
      </w:tblGrid>
      <w:tr w14:paraId="641A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741" w:type="dxa"/>
            <w:shd w:val="clear" w:color="auto" w:fill="D9E2F3"/>
          </w:tcPr>
          <w:p w14:paraId="3DFC328B">
            <w:pPr>
              <w:spacing w:after="0" w:line="276" w:lineRule="auto"/>
              <w:jc w:val="center"/>
            </w:pPr>
            <w:r>
              <w:rPr>
                <w:rFonts w:ascii="Times New Roman" w:hAnsi="Times New Roman" w:eastAsia="宋体"/>
                <w:b w:val="0"/>
                <w:color w:val="000000"/>
                <w:sz w:val="21"/>
              </w:rPr>
              <w:t>队列</w:t>
            </w:r>
          </w:p>
        </w:tc>
        <w:tc>
          <w:tcPr>
            <w:tcW w:w="1741" w:type="dxa"/>
            <w:shd w:val="clear" w:color="auto" w:fill="D9E2F3"/>
          </w:tcPr>
          <w:p w14:paraId="5CA49EF3">
            <w:pPr>
              <w:spacing w:after="0" w:line="276" w:lineRule="auto"/>
              <w:jc w:val="center"/>
            </w:pPr>
            <w:r>
              <w:rPr>
                <w:rFonts w:ascii="Times New Roman" w:hAnsi="Times New Roman" w:eastAsia="宋体"/>
                <w:b w:val="0"/>
                <w:color w:val="000000"/>
                <w:sz w:val="21"/>
              </w:rPr>
              <w:t>人数</w:t>
            </w:r>
          </w:p>
        </w:tc>
        <w:tc>
          <w:tcPr>
            <w:tcW w:w="1741" w:type="dxa"/>
            <w:shd w:val="clear" w:color="auto" w:fill="D9E2F3"/>
          </w:tcPr>
          <w:p w14:paraId="65E370E7">
            <w:pPr>
              <w:spacing w:after="0" w:line="276" w:lineRule="auto"/>
              <w:jc w:val="center"/>
            </w:pPr>
            <w:r>
              <w:rPr>
                <w:rFonts w:ascii="Times New Roman" w:hAnsi="Times New Roman" w:eastAsia="宋体"/>
                <w:b w:val="0"/>
                <w:color w:val="000000"/>
                <w:sz w:val="21"/>
              </w:rPr>
              <w:t>末档均值</w:t>
            </w:r>
          </w:p>
        </w:tc>
        <w:tc>
          <w:tcPr>
            <w:tcW w:w="1741" w:type="dxa"/>
            <w:shd w:val="clear" w:color="auto" w:fill="D9E2F3"/>
          </w:tcPr>
          <w:p w14:paraId="25777914">
            <w:pPr>
              <w:spacing w:after="0" w:line="276" w:lineRule="auto"/>
              <w:jc w:val="center"/>
            </w:pPr>
            <w:r>
              <w:rPr>
                <w:rFonts w:ascii="Times New Roman" w:hAnsi="Times New Roman" w:eastAsia="宋体"/>
                <w:b w:val="0"/>
                <w:color w:val="000000"/>
                <w:sz w:val="21"/>
              </w:rPr>
              <w:t>范围</w:t>
            </w:r>
          </w:p>
        </w:tc>
        <w:tc>
          <w:tcPr>
            <w:tcW w:w="1741" w:type="dxa"/>
            <w:shd w:val="clear" w:color="auto" w:fill="D9E2F3"/>
          </w:tcPr>
          <w:p w14:paraId="6D45093D">
            <w:pPr>
              <w:spacing w:after="0" w:line="276" w:lineRule="auto"/>
              <w:jc w:val="center"/>
            </w:pPr>
            <w:r>
              <w:rPr>
                <w:rFonts w:ascii="Times New Roman" w:hAnsi="Times New Roman" w:eastAsia="宋体"/>
                <w:b w:val="0"/>
                <w:color w:val="000000"/>
                <w:sz w:val="21"/>
              </w:rPr>
              <w:t>形态</w:t>
            </w:r>
          </w:p>
        </w:tc>
      </w:tr>
      <w:tr w14:paraId="2328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22248F61">
            <w:pPr>
              <w:spacing w:after="0" w:line="276" w:lineRule="auto"/>
              <w:jc w:val="left"/>
            </w:pPr>
            <w:r>
              <w:rPr>
                <w:rFonts w:ascii="Times New Roman" w:hAnsi="Times New Roman" w:eastAsia="宋体"/>
                <w:b w:val="0"/>
                <w:color w:val="000000"/>
                <w:sz w:val="21"/>
              </w:rPr>
              <w:t>BCI2a 仿真（同范式，无疲劳/漂移）</w:t>
            </w:r>
          </w:p>
        </w:tc>
        <w:tc>
          <w:tcPr>
            <w:tcW w:w="1741" w:type="dxa"/>
          </w:tcPr>
          <w:p w14:paraId="1EFD0509">
            <w:pPr>
              <w:spacing w:after="0" w:line="276" w:lineRule="auto"/>
              <w:jc w:val="left"/>
            </w:pPr>
            <w:r>
              <w:rPr>
                <w:rFonts w:ascii="Times New Roman" w:hAnsi="Times New Roman" w:eastAsia="宋体"/>
                <w:b w:val="0"/>
                <w:color w:val="000000"/>
                <w:sz w:val="21"/>
              </w:rPr>
              <w:t>9</w:t>
            </w:r>
          </w:p>
        </w:tc>
        <w:tc>
          <w:tcPr>
            <w:tcW w:w="1741" w:type="dxa"/>
          </w:tcPr>
          <w:p w14:paraId="16E67211">
            <w:pPr>
              <w:spacing w:after="0" w:line="276" w:lineRule="auto"/>
              <w:jc w:val="left"/>
            </w:pPr>
            <w:r>
              <w:rPr>
                <w:rFonts w:ascii="Times New Roman" w:hAnsi="Times New Roman" w:eastAsia="宋体"/>
                <w:b w:val="0"/>
                <w:color w:val="000000"/>
                <w:sz w:val="21"/>
              </w:rPr>
              <w:t>66.30%</w:t>
            </w:r>
          </w:p>
        </w:tc>
        <w:tc>
          <w:tcPr>
            <w:tcW w:w="1741" w:type="dxa"/>
          </w:tcPr>
          <w:p w14:paraId="0447B3F4">
            <w:pPr>
              <w:spacing w:after="0" w:line="276" w:lineRule="auto"/>
              <w:jc w:val="left"/>
            </w:pPr>
            <w:r>
              <w:rPr>
                <w:rFonts w:ascii="Times New Roman" w:hAnsi="Times New Roman" w:eastAsia="宋体"/>
                <w:b w:val="0"/>
                <w:color w:val="000000"/>
                <w:sz w:val="21"/>
              </w:rPr>
              <w:t>55.60%–75.60%</w:t>
            </w:r>
          </w:p>
        </w:tc>
        <w:tc>
          <w:tcPr>
            <w:tcW w:w="1741" w:type="dxa"/>
          </w:tcPr>
          <w:p w14:paraId="193FF942">
            <w:pPr>
              <w:spacing w:after="0" w:line="276" w:lineRule="auto"/>
              <w:jc w:val="left"/>
            </w:pPr>
            <w:r>
              <w:rPr>
                <w:rFonts w:ascii="Times New Roman" w:hAnsi="Times New Roman" w:eastAsia="宋体"/>
                <w:b w:val="0"/>
                <w:color w:val="000000"/>
                <w:sz w:val="21"/>
              </w:rPr>
              <w:t>单调爬坡为主（7/9 ≥ 62.00%）</w:t>
            </w:r>
          </w:p>
        </w:tc>
      </w:tr>
      <w:tr w14:paraId="155B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1AFF2FA8">
            <w:pPr>
              <w:spacing w:after="0" w:line="276" w:lineRule="auto"/>
              <w:jc w:val="left"/>
            </w:pPr>
            <w:r>
              <w:rPr>
                <w:rFonts w:ascii="Times New Roman" w:hAnsi="Times New Roman" w:eastAsia="宋体"/>
                <w:b w:val="0"/>
                <w:color w:val="000000"/>
                <w:sz w:val="21"/>
              </w:rPr>
              <w:t>真人（逐场次采后微调，三分类窗级）</w:t>
            </w:r>
          </w:p>
        </w:tc>
        <w:tc>
          <w:tcPr>
            <w:tcW w:w="1741" w:type="dxa"/>
          </w:tcPr>
          <w:p w14:paraId="1C735767">
            <w:pPr>
              <w:spacing w:after="0" w:line="276" w:lineRule="auto"/>
              <w:jc w:val="left"/>
            </w:pPr>
            <w:r>
              <w:rPr>
                <w:rFonts w:ascii="Times New Roman" w:hAnsi="Times New Roman" w:eastAsia="宋体"/>
                <w:b w:val="0"/>
                <w:color w:val="000000"/>
                <w:sz w:val="21"/>
              </w:rPr>
              <w:t>20</w:t>
            </w:r>
          </w:p>
        </w:tc>
        <w:tc>
          <w:tcPr>
            <w:tcW w:w="1741" w:type="dxa"/>
          </w:tcPr>
          <w:p w14:paraId="238F8586">
            <w:pPr>
              <w:spacing w:after="0" w:line="276" w:lineRule="auto"/>
              <w:jc w:val="left"/>
            </w:pPr>
            <w:r>
              <w:rPr>
                <w:rFonts w:ascii="Times New Roman" w:hAnsi="Times New Roman" w:eastAsia="宋体"/>
                <w:b w:val="0"/>
                <w:color w:val="000000"/>
                <w:sz w:val="21"/>
              </w:rPr>
              <w:t>47.60%</w:t>
            </w:r>
          </w:p>
        </w:tc>
        <w:tc>
          <w:tcPr>
            <w:tcW w:w="1741" w:type="dxa"/>
          </w:tcPr>
          <w:p w14:paraId="646E6265">
            <w:pPr>
              <w:spacing w:after="0" w:line="276" w:lineRule="auto"/>
              <w:jc w:val="left"/>
            </w:pPr>
            <w:r>
              <w:rPr>
                <w:rFonts w:ascii="Times New Roman" w:hAnsi="Times New Roman" w:eastAsia="宋体"/>
                <w:b w:val="0"/>
                <w:color w:val="000000"/>
                <w:sz w:val="21"/>
              </w:rPr>
              <w:t>33.30%–92.40%</w:t>
            </w:r>
          </w:p>
        </w:tc>
        <w:tc>
          <w:tcPr>
            <w:tcW w:w="1741" w:type="dxa"/>
          </w:tcPr>
          <w:p w14:paraId="05628007">
            <w:pPr>
              <w:spacing w:after="0" w:line="276" w:lineRule="auto"/>
              <w:jc w:val="left"/>
            </w:pPr>
            <w:r>
              <w:rPr>
                <w:rFonts w:ascii="Times New Roman" w:hAnsi="Times New Roman" w:eastAsia="宋体"/>
                <w:b w:val="0"/>
                <w:color w:val="000000"/>
                <w:sz w:val="21"/>
              </w:rPr>
              <w:t>显著分化（12/20 过门控）</w:t>
            </w:r>
          </w:p>
        </w:tc>
      </w:tr>
    </w:tbl>
    <w:p w14:paraId="5255FF6A">
      <w:pPr>
        <w:spacing w:after="60"/>
      </w:pPr>
    </w:p>
    <w:p w14:paraId="731E2026">
      <w:pPr>
        <w:spacing w:before="0" w:after="120" w:line="312" w:lineRule="auto"/>
        <w:ind w:firstLine="480"/>
        <w:jc w:val="both"/>
      </w:pPr>
      <w:r>
        <w:rPr>
          <w:rFonts w:ascii="Times New Roman" w:hAnsi="Times New Roman" w:eastAsia="宋体"/>
          <w:b w:val="0"/>
          <w:color w:val="000000"/>
          <w:sz w:val="24"/>
        </w:rPr>
        <w:t>微调配方与安全网。 冻结配方、损失形式（式 (2.2)）、PASS 阈值与「FAIL 默认强制晋升」策略见 2.5 节；本节只给两种方案下的实验证据。实验中每轮微调前自动存档权重；门控结果落盘，FAIL 时按默认策略告警并强制晋升。</w:t>
      </w:r>
    </w:p>
    <w:p w14:paraId="0813E509">
      <w:pPr>
        <w:spacing w:before="0" w:after="120" w:line="312" w:lineRule="auto"/>
        <w:ind w:firstLine="480"/>
        <w:jc w:val="both"/>
      </w:pPr>
      <w:r>
        <w:rPr>
          <w:rFonts w:ascii="Times New Roman" w:hAnsi="Times New Roman" w:eastAsia="宋体"/>
          <w:b w:val="0"/>
          <w:color w:val="000000"/>
          <w:sz w:val="24"/>
        </w:rPr>
        <w:t>结论。 在本文测试的适配方法族内（统计量对齐类已证阴性），权重级增量微调是唯一产生稳定增益的个体适配来源，逐场次采后微调为最优方案，前半/后半切分保留用于跨库机制验证。</w:t>
      </w:r>
    </w:p>
    <w:p w14:paraId="2A16EC48">
      <w:pPr>
        <w:pStyle w:val="4"/>
        <w:spacing w:before="200" w:after="160" w:line="312" w:lineRule="auto"/>
      </w:pPr>
      <w:bookmarkStart w:id="25" w:name="_Toc6144"/>
      <w:r>
        <w:rPr>
          <w:rFonts w:ascii="Times New Roman" w:hAnsi="Times New Roman" w:eastAsia="黑体"/>
          <w:b/>
          <w:color w:val="000000"/>
          <w:sz w:val="30"/>
        </w:rPr>
        <w:t>3.6 真人被试全队列验证</w:t>
      </w:r>
      <w:bookmarkEnd w:id="25"/>
    </w:p>
    <w:p w14:paraId="2B28D4A5">
      <w:pPr>
        <w:spacing w:before="0" w:after="120" w:line="312" w:lineRule="auto"/>
        <w:ind w:firstLine="480"/>
        <w:jc w:val="both"/>
      </w:pPr>
      <w:r>
        <w:rPr>
          <w:rFonts w:ascii="Times New Roman" w:hAnsi="Times New Roman" w:eastAsia="宋体"/>
          <w:b w:val="0"/>
          <w:color w:val="000000"/>
          <w:sz w:val="24"/>
        </w:rPr>
        <w:t>研究问题：采后逐场次微调闭环在全部真实被试上的整体表现与个体差异。</w:t>
      </w:r>
    </w:p>
    <w:p w14:paraId="33534CA3">
      <w:pPr>
        <w:spacing w:before="0" w:after="120" w:line="312" w:lineRule="auto"/>
        <w:ind w:firstLine="480"/>
        <w:jc w:val="both"/>
      </w:pPr>
      <w:r>
        <w:rPr>
          <w:rFonts w:ascii="Times New Roman" w:hAnsi="Times New Roman" w:eastAsia="宋体"/>
          <w:b w:val="0"/>
          <w:color w:val="000000"/>
          <w:sz w:val="24"/>
        </w:rPr>
        <w:t>真人被试全队列验证（2026-09-06 更新）将落盘的全部 20 名被试的会话结构、逐场次微调爬坡记录与最新的四成员全量微调加冻结读出的回放结果统一为同一套账（较 09-05 登记新增 djy0906、wyf0906、zyn0906）。纳入规则：排除旧范式会话；电极中线两通道饱和不排除（按最新规则强制纳入）；仍排除无脑电记录的会话；个别被试存在合并场次或跳过缺失场次的结构特例，均已登记（lmy0904 跳过了两个无脑电记录的早期会话；zyn0906 含完整 w01–w07 六档爬坡）。</w:t>
      </w:r>
    </w:p>
    <w:p w14:paraId="03DECD38">
      <w:pPr>
        <w:spacing w:before="0" w:after="120" w:line="312" w:lineRule="auto"/>
        <w:ind w:firstLine="480"/>
        <w:jc w:val="both"/>
      </w:pPr>
      <w:r>
        <w:rPr>
          <w:rFonts w:ascii="Times New Roman" w:hAnsi="Times New Roman" w:eastAsia="宋体"/>
          <w:b w:val="0"/>
          <w:color w:val="000000"/>
          <w:sz w:val="24"/>
        </w:rPr>
        <w:t>末档（每人最后一轮保留评测）结果，按微调后三分类窗级（因果平滑）降序；「各轮最高」为同一 Leave-Next 爬坡中各保留场窗级的最大值（多数 5 轮，个别 6 轮）；零样本列为同口径 CausalFuse-8 底座窗级：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1741"/>
        <w:gridCol w:w="1741"/>
        <w:gridCol w:w="1741"/>
        <w:gridCol w:w="1741"/>
        <w:gridCol w:w="1741"/>
      </w:tblGrid>
      <w:tr w14:paraId="265E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741" w:type="dxa"/>
            <w:shd w:val="clear" w:color="auto" w:fill="D9E2F3"/>
          </w:tcPr>
          <w:p w14:paraId="19FFF42F">
            <w:pPr>
              <w:spacing w:after="0" w:line="276" w:lineRule="auto"/>
              <w:jc w:val="center"/>
            </w:pPr>
            <w:r>
              <w:rPr>
                <w:rFonts w:ascii="Times New Roman" w:hAnsi="Times New Roman" w:eastAsia="宋体"/>
                <w:b w:val="0"/>
                <w:color w:val="000000"/>
                <w:sz w:val="21"/>
              </w:rPr>
              <w:t>被试</w:t>
            </w:r>
          </w:p>
        </w:tc>
        <w:tc>
          <w:tcPr>
            <w:tcW w:w="1741" w:type="dxa"/>
            <w:shd w:val="clear" w:color="auto" w:fill="D9E2F3"/>
          </w:tcPr>
          <w:p w14:paraId="6B0D626B">
            <w:pPr>
              <w:spacing w:after="0" w:line="276" w:lineRule="auto"/>
              <w:jc w:val="center"/>
            </w:pPr>
            <w:r>
              <w:rPr>
                <w:rFonts w:ascii="Times New Roman" w:hAnsi="Times New Roman" w:eastAsia="宋体"/>
                <w:b w:val="0"/>
                <w:color w:val="000000"/>
                <w:sz w:val="21"/>
              </w:rPr>
              <w:t>微调三分类窗级（%）</w:t>
            </w:r>
          </w:p>
        </w:tc>
        <w:tc>
          <w:tcPr>
            <w:tcW w:w="1741" w:type="dxa"/>
            <w:shd w:val="clear" w:color="auto" w:fill="D9E2F3"/>
          </w:tcPr>
          <w:p w14:paraId="3D970354">
            <w:pPr>
              <w:spacing w:after="0" w:line="276" w:lineRule="auto"/>
              <w:jc w:val="center"/>
            </w:pPr>
            <w:r>
              <w:rPr>
                <w:rFonts w:ascii="Times New Roman" w:hAnsi="Times New Roman" w:eastAsia="宋体"/>
                <w:b w:val="0"/>
                <w:color w:val="000000"/>
                <w:sz w:val="21"/>
              </w:rPr>
              <w:t>各轮最高窗级（%）</w:t>
            </w:r>
          </w:p>
        </w:tc>
        <w:tc>
          <w:tcPr>
            <w:tcW w:w="1741" w:type="dxa"/>
            <w:shd w:val="clear" w:color="auto" w:fill="D9E2F3"/>
          </w:tcPr>
          <w:p w14:paraId="01E19F1B">
            <w:pPr>
              <w:spacing w:after="0" w:line="276" w:lineRule="auto"/>
              <w:jc w:val="center"/>
            </w:pPr>
            <w:r>
              <w:rPr>
                <w:rFonts w:ascii="Times New Roman" w:hAnsi="Times New Roman" w:eastAsia="宋体"/>
                <w:b w:val="0"/>
                <w:color w:val="000000"/>
                <w:sz w:val="21"/>
              </w:rPr>
              <w:t>零样本三分类窗级（%）</w:t>
            </w:r>
          </w:p>
        </w:tc>
        <w:tc>
          <w:tcPr>
            <w:tcW w:w="1741" w:type="dxa"/>
            <w:shd w:val="clear" w:color="auto" w:fill="D9E2F3"/>
          </w:tcPr>
          <w:p w14:paraId="08D26086">
            <w:pPr>
              <w:spacing w:after="0" w:line="276" w:lineRule="auto"/>
              <w:jc w:val="center"/>
            </w:pPr>
            <w:r>
              <w:rPr>
                <w:rFonts w:ascii="Times New Roman" w:hAnsi="Times New Roman" w:eastAsia="宋体"/>
                <w:b w:val="0"/>
                <w:color w:val="000000"/>
                <w:sz w:val="21"/>
              </w:rPr>
              <w:t>场次门控</w:t>
            </w:r>
          </w:p>
        </w:tc>
      </w:tr>
      <w:tr w14:paraId="14C9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6C5F8D62">
            <w:pPr>
              <w:spacing w:after="0" w:line="276" w:lineRule="auto"/>
              <w:jc w:val="left"/>
            </w:pPr>
            <w:r>
              <w:rPr>
                <w:rFonts w:ascii="Times New Roman" w:hAnsi="Times New Roman" w:eastAsia="宋体"/>
                <w:b w:val="0"/>
                <w:color w:val="000000"/>
                <w:sz w:val="21"/>
              </w:rPr>
              <w:t>syj0828</w:t>
            </w:r>
          </w:p>
        </w:tc>
        <w:tc>
          <w:tcPr>
            <w:tcW w:w="1741" w:type="dxa"/>
          </w:tcPr>
          <w:p w14:paraId="1E7917F2">
            <w:pPr>
              <w:spacing w:after="0" w:line="276" w:lineRule="auto"/>
              <w:jc w:val="left"/>
            </w:pPr>
            <w:r>
              <w:rPr>
                <w:rFonts w:ascii="Times New Roman" w:hAnsi="Times New Roman" w:eastAsia="宋体"/>
                <w:b w:val="0"/>
                <w:color w:val="000000"/>
                <w:sz w:val="21"/>
              </w:rPr>
              <w:t>92.40</w:t>
            </w:r>
          </w:p>
        </w:tc>
        <w:tc>
          <w:tcPr>
            <w:tcW w:w="1741" w:type="dxa"/>
          </w:tcPr>
          <w:p w14:paraId="449BC776">
            <w:pPr>
              <w:spacing w:after="0" w:line="276" w:lineRule="auto"/>
              <w:jc w:val="left"/>
            </w:pPr>
            <w:r>
              <w:rPr>
                <w:rFonts w:ascii="Times New Roman" w:hAnsi="Times New Roman" w:eastAsia="宋体"/>
                <w:b w:val="0"/>
                <w:color w:val="000000"/>
                <w:sz w:val="21"/>
              </w:rPr>
              <w:t>92.40</w:t>
            </w:r>
          </w:p>
        </w:tc>
        <w:tc>
          <w:tcPr>
            <w:tcW w:w="1741" w:type="dxa"/>
          </w:tcPr>
          <w:p w14:paraId="7D260AB7">
            <w:pPr>
              <w:spacing w:after="0" w:line="276" w:lineRule="auto"/>
              <w:jc w:val="left"/>
            </w:pPr>
            <w:r>
              <w:rPr>
                <w:rFonts w:ascii="Times New Roman" w:hAnsi="Times New Roman" w:eastAsia="宋体"/>
                <w:b w:val="0"/>
                <w:color w:val="000000"/>
                <w:sz w:val="21"/>
              </w:rPr>
              <w:t>41.40</w:t>
            </w:r>
          </w:p>
        </w:tc>
        <w:tc>
          <w:tcPr>
            <w:tcW w:w="1741" w:type="dxa"/>
          </w:tcPr>
          <w:p w14:paraId="5CAB1394">
            <w:pPr>
              <w:spacing w:after="0" w:line="276" w:lineRule="auto"/>
              <w:jc w:val="left"/>
            </w:pPr>
            <w:r>
              <w:rPr>
                <w:rFonts w:ascii="Times New Roman" w:hAnsi="Times New Roman" w:eastAsia="宋体"/>
                <w:b w:val="0"/>
                <w:color w:val="000000"/>
                <w:sz w:val="21"/>
              </w:rPr>
              <w:t>PASS</w:t>
            </w:r>
          </w:p>
        </w:tc>
      </w:tr>
      <w:tr w14:paraId="44C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1D85D7C7">
            <w:pPr>
              <w:spacing w:after="0" w:line="276" w:lineRule="auto"/>
              <w:jc w:val="left"/>
            </w:pPr>
            <w:r>
              <w:rPr>
                <w:rFonts w:ascii="Times New Roman" w:hAnsi="Times New Roman" w:eastAsia="宋体"/>
                <w:b w:val="0"/>
                <w:color w:val="000000"/>
                <w:sz w:val="21"/>
              </w:rPr>
              <w:t>lsy0903</w:t>
            </w:r>
          </w:p>
        </w:tc>
        <w:tc>
          <w:tcPr>
            <w:tcW w:w="1741" w:type="dxa"/>
          </w:tcPr>
          <w:p w14:paraId="264F3CE0">
            <w:pPr>
              <w:spacing w:after="0" w:line="276" w:lineRule="auto"/>
              <w:jc w:val="left"/>
            </w:pPr>
            <w:r>
              <w:rPr>
                <w:rFonts w:ascii="Times New Roman" w:hAnsi="Times New Roman" w:eastAsia="宋体"/>
                <w:b w:val="0"/>
                <w:color w:val="000000"/>
                <w:sz w:val="21"/>
              </w:rPr>
              <w:t>58.80</w:t>
            </w:r>
          </w:p>
        </w:tc>
        <w:tc>
          <w:tcPr>
            <w:tcW w:w="1741" w:type="dxa"/>
          </w:tcPr>
          <w:p w14:paraId="3879CC39">
            <w:pPr>
              <w:spacing w:after="0" w:line="276" w:lineRule="auto"/>
              <w:jc w:val="left"/>
            </w:pPr>
            <w:r>
              <w:rPr>
                <w:rFonts w:ascii="Times New Roman" w:hAnsi="Times New Roman" w:eastAsia="宋体"/>
                <w:b w:val="0"/>
                <w:color w:val="000000"/>
                <w:sz w:val="21"/>
              </w:rPr>
              <w:t>58.80</w:t>
            </w:r>
          </w:p>
        </w:tc>
        <w:tc>
          <w:tcPr>
            <w:tcW w:w="1741" w:type="dxa"/>
          </w:tcPr>
          <w:p w14:paraId="590259F7">
            <w:pPr>
              <w:spacing w:after="0" w:line="276" w:lineRule="auto"/>
              <w:jc w:val="left"/>
            </w:pPr>
            <w:r>
              <w:rPr>
                <w:rFonts w:ascii="Times New Roman" w:hAnsi="Times New Roman" w:eastAsia="宋体"/>
                <w:b w:val="0"/>
                <w:color w:val="000000"/>
                <w:sz w:val="21"/>
              </w:rPr>
              <w:t>30.00</w:t>
            </w:r>
          </w:p>
        </w:tc>
        <w:tc>
          <w:tcPr>
            <w:tcW w:w="1741" w:type="dxa"/>
          </w:tcPr>
          <w:p w14:paraId="391D388A">
            <w:pPr>
              <w:spacing w:after="0" w:line="276" w:lineRule="auto"/>
              <w:jc w:val="left"/>
            </w:pPr>
            <w:r>
              <w:rPr>
                <w:rFonts w:ascii="Times New Roman" w:hAnsi="Times New Roman" w:eastAsia="宋体"/>
                <w:b w:val="0"/>
                <w:color w:val="000000"/>
                <w:sz w:val="21"/>
              </w:rPr>
              <w:t>PASS</w:t>
            </w:r>
          </w:p>
        </w:tc>
      </w:tr>
      <w:tr w14:paraId="2CEF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28157E5A">
            <w:pPr>
              <w:spacing w:after="0" w:line="276" w:lineRule="auto"/>
              <w:jc w:val="left"/>
            </w:pPr>
            <w:r>
              <w:rPr>
                <w:rFonts w:ascii="Times New Roman" w:hAnsi="Times New Roman" w:eastAsia="宋体"/>
                <w:b w:val="0"/>
                <w:color w:val="000000"/>
                <w:sz w:val="21"/>
              </w:rPr>
              <w:t>npl0831</w:t>
            </w:r>
          </w:p>
        </w:tc>
        <w:tc>
          <w:tcPr>
            <w:tcW w:w="1741" w:type="dxa"/>
          </w:tcPr>
          <w:p w14:paraId="2C9B7662">
            <w:pPr>
              <w:spacing w:after="0" w:line="276" w:lineRule="auto"/>
              <w:jc w:val="left"/>
            </w:pPr>
            <w:r>
              <w:rPr>
                <w:rFonts w:ascii="Times New Roman" w:hAnsi="Times New Roman" w:eastAsia="宋体"/>
                <w:b w:val="0"/>
                <w:color w:val="000000"/>
                <w:sz w:val="21"/>
              </w:rPr>
              <w:t>54.20</w:t>
            </w:r>
          </w:p>
        </w:tc>
        <w:tc>
          <w:tcPr>
            <w:tcW w:w="1741" w:type="dxa"/>
          </w:tcPr>
          <w:p w14:paraId="5E43370F">
            <w:pPr>
              <w:spacing w:after="0" w:line="276" w:lineRule="auto"/>
              <w:jc w:val="left"/>
            </w:pPr>
            <w:r>
              <w:rPr>
                <w:rFonts w:ascii="Times New Roman" w:hAnsi="Times New Roman" w:eastAsia="宋体"/>
                <w:b w:val="0"/>
                <w:color w:val="000000"/>
                <w:sz w:val="21"/>
              </w:rPr>
              <w:t>56.10</w:t>
            </w:r>
          </w:p>
        </w:tc>
        <w:tc>
          <w:tcPr>
            <w:tcW w:w="1741" w:type="dxa"/>
          </w:tcPr>
          <w:p w14:paraId="5B90F2A2">
            <w:pPr>
              <w:spacing w:after="0" w:line="276" w:lineRule="auto"/>
              <w:jc w:val="left"/>
            </w:pPr>
            <w:r>
              <w:rPr>
                <w:rFonts w:ascii="Times New Roman" w:hAnsi="Times New Roman" w:eastAsia="宋体"/>
                <w:b w:val="0"/>
                <w:color w:val="000000"/>
                <w:sz w:val="21"/>
              </w:rPr>
              <w:t>40.90</w:t>
            </w:r>
          </w:p>
        </w:tc>
        <w:tc>
          <w:tcPr>
            <w:tcW w:w="1741" w:type="dxa"/>
          </w:tcPr>
          <w:p w14:paraId="016CA195">
            <w:pPr>
              <w:spacing w:after="0" w:line="276" w:lineRule="auto"/>
              <w:jc w:val="left"/>
            </w:pPr>
            <w:r>
              <w:rPr>
                <w:rFonts w:ascii="Times New Roman" w:hAnsi="Times New Roman" w:eastAsia="宋体"/>
                <w:b w:val="0"/>
                <w:color w:val="000000"/>
                <w:sz w:val="21"/>
              </w:rPr>
              <w:t>PASS</w:t>
            </w:r>
          </w:p>
        </w:tc>
      </w:tr>
      <w:tr w14:paraId="218C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20A63A6E">
            <w:pPr>
              <w:spacing w:after="0" w:line="276" w:lineRule="auto"/>
              <w:jc w:val="left"/>
            </w:pPr>
            <w:r>
              <w:rPr>
                <w:rFonts w:ascii="Times New Roman" w:hAnsi="Times New Roman" w:eastAsia="宋体"/>
                <w:b w:val="0"/>
                <w:color w:val="000000"/>
                <w:sz w:val="21"/>
              </w:rPr>
              <w:t>lsm0903</w:t>
            </w:r>
          </w:p>
        </w:tc>
        <w:tc>
          <w:tcPr>
            <w:tcW w:w="1741" w:type="dxa"/>
          </w:tcPr>
          <w:p w14:paraId="082C2501">
            <w:pPr>
              <w:spacing w:after="0" w:line="276" w:lineRule="auto"/>
              <w:jc w:val="left"/>
            </w:pPr>
            <w:r>
              <w:rPr>
                <w:rFonts w:ascii="Times New Roman" w:hAnsi="Times New Roman" w:eastAsia="宋体"/>
                <w:b w:val="0"/>
                <w:color w:val="000000"/>
                <w:sz w:val="21"/>
              </w:rPr>
              <w:t>53.60</w:t>
            </w:r>
          </w:p>
        </w:tc>
        <w:tc>
          <w:tcPr>
            <w:tcW w:w="1741" w:type="dxa"/>
          </w:tcPr>
          <w:p w14:paraId="2A7AEAC1">
            <w:pPr>
              <w:spacing w:after="0" w:line="276" w:lineRule="auto"/>
              <w:jc w:val="left"/>
            </w:pPr>
            <w:r>
              <w:rPr>
                <w:rFonts w:ascii="Times New Roman" w:hAnsi="Times New Roman" w:eastAsia="宋体"/>
                <w:b w:val="0"/>
                <w:color w:val="000000"/>
                <w:sz w:val="21"/>
              </w:rPr>
              <w:t>60.00</w:t>
            </w:r>
          </w:p>
        </w:tc>
        <w:tc>
          <w:tcPr>
            <w:tcW w:w="1741" w:type="dxa"/>
          </w:tcPr>
          <w:p w14:paraId="355F75AF">
            <w:pPr>
              <w:spacing w:after="0" w:line="276" w:lineRule="auto"/>
              <w:jc w:val="left"/>
            </w:pPr>
            <w:r>
              <w:rPr>
                <w:rFonts w:ascii="Times New Roman" w:hAnsi="Times New Roman" w:eastAsia="宋体"/>
                <w:b w:val="0"/>
                <w:color w:val="000000"/>
                <w:sz w:val="21"/>
              </w:rPr>
              <w:t>42.40</w:t>
            </w:r>
          </w:p>
        </w:tc>
        <w:tc>
          <w:tcPr>
            <w:tcW w:w="1741" w:type="dxa"/>
          </w:tcPr>
          <w:p w14:paraId="2E64BDEF">
            <w:pPr>
              <w:spacing w:after="0" w:line="276" w:lineRule="auto"/>
              <w:jc w:val="left"/>
            </w:pPr>
            <w:r>
              <w:rPr>
                <w:rFonts w:ascii="Times New Roman" w:hAnsi="Times New Roman" w:eastAsia="宋体"/>
                <w:b w:val="0"/>
                <w:color w:val="000000"/>
                <w:sz w:val="21"/>
              </w:rPr>
              <w:t>FAIL</w:t>
            </w:r>
          </w:p>
        </w:tc>
      </w:tr>
      <w:tr w14:paraId="0B60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7B788F04">
            <w:pPr>
              <w:spacing w:after="0" w:line="276" w:lineRule="auto"/>
              <w:jc w:val="left"/>
            </w:pPr>
            <w:r>
              <w:rPr>
                <w:rFonts w:ascii="Times New Roman" w:hAnsi="Times New Roman" w:eastAsia="宋体"/>
                <w:b w:val="0"/>
                <w:color w:val="000000"/>
                <w:sz w:val="21"/>
              </w:rPr>
              <w:t>lmh0904</w:t>
            </w:r>
          </w:p>
        </w:tc>
        <w:tc>
          <w:tcPr>
            <w:tcW w:w="1741" w:type="dxa"/>
          </w:tcPr>
          <w:p w14:paraId="59EA411C">
            <w:pPr>
              <w:spacing w:after="0" w:line="276" w:lineRule="auto"/>
              <w:jc w:val="left"/>
            </w:pPr>
            <w:r>
              <w:rPr>
                <w:rFonts w:ascii="Times New Roman" w:hAnsi="Times New Roman" w:eastAsia="宋体"/>
                <w:b w:val="0"/>
                <w:color w:val="000000"/>
                <w:sz w:val="21"/>
              </w:rPr>
              <w:t>52.90</w:t>
            </w:r>
          </w:p>
        </w:tc>
        <w:tc>
          <w:tcPr>
            <w:tcW w:w="1741" w:type="dxa"/>
          </w:tcPr>
          <w:p w14:paraId="5FBC156D">
            <w:pPr>
              <w:spacing w:after="0" w:line="276" w:lineRule="auto"/>
              <w:jc w:val="left"/>
            </w:pPr>
            <w:r>
              <w:rPr>
                <w:rFonts w:ascii="Times New Roman" w:hAnsi="Times New Roman" w:eastAsia="宋体"/>
                <w:b w:val="0"/>
                <w:color w:val="000000"/>
                <w:sz w:val="21"/>
              </w:rPr>
              <w:t>58.60</w:t>
            </w:r>
          </w:p>
        </w:tc>
        <w:tc>
          <w:tcPr>
            <w:tcW w:w="1741" w:type="dxa"/>
          </w:tcPr>
          <w:p w14:paraId="3F21556C">
            <w:pPr>
              <w:spacing w:after="0" w:line="276" w:lineRule="auto"/>
              <w:jc w:val="left"/>
            </w:pPr>
            <w:r>
              <w:rPr>
                <w:rFonts w:ascii="Times New Roman" w:hAnsi="Times New Roman" w:eastAsia="宋体"/>
                <w:b w:val="0"/>
                <w:color w:val="000000"/>
                <w:sz w:val="21"/>
              </w:rPr>
              <w:t>37.30</w:t>
            </w:r>
          </w:p>
        </w:tc>
        <w:tc>
          <w:tcPr>
            <w:tcW w:w="1741" w:type="dxa"/>
          </w:tcPr>
          <w:p w14:paraId="1FE2BD87">
            <w:pPr>
              <w:spacing w:after="0" w:line="276" w:lineRule="auto"/>
              <w:jc w:val="left"/>
            </w:pPr>
            <w:r>
              <w:rPr>
                <w:rFonts w:ascii="Times New Roman" w:hAnsi="Times New Roman" w:eastAsia="宋体"/>
                <w:b w:val="0"/>
                <w:color w:val="000000"/>
                <w:sz w:val="21"/>
              </w:rPr>
              <w:t>PASS</w:t>
            </w:r>
          </w:p>
        </w:tc>
      </w:tr>
      <w:tr w14:paraId="377E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4266FBD0">
            <w:pPr>
              <w:spacing w:after="0" w:line="276" w:lineRule="auto"/>
              <w:jc w:val="left"/>
            </w:pPr>
            <w:r>
              <w:rPr>
                <w:rFonts w:ascii="Times New Roman" w:hAnsi="Times New Roman" w:eastAsia="宋体"/>
                <w:b w:val="0"/>
                <w:color w:val="000000"/>
                <w:sz w:val="21"/>
              </w:rPr>
              <w:t>xj0830</w:t>
            </w:r>
          </w:p>
        </w:tc>
        <w:tc>
          <w:tcPr>
            <w:tcW w:w="1741" w:type="dxa"/>
          </w:tcPr>
          <w:p w14:paraId="76C92443">
            <w:pPr>
              <w:spacing w:after="0" w:line="276" w:lineRule="auto"/>
              <w:jc w:val="left"/>
            </w:pPr>
            <w:r>
              <w:rPr>
                <w:rFonts w:ascii="Times New Roman" w:hAnsi="Times New Roman" w:eastAsia="宋体"/>
                <w:b w:val="0"/>
                <w:color w:val="000000"/>
                <w:sz w:val="21"/>
              </w:rPr>
              <w:t>48.30</w:t>
            </w:r>
          </w:p>
        </w:tc>
        <w:tc>
          <w:tcPr>
            <w:tcW w:w="1741" w:type="dxa"/>
          </w:tcPr>
          <w:p w14:paraId="78ECA2DD">
            <w:pPr>
              <w:spacing w:after="0" w:line="276" w:lineRule="auto"/>
              <w:jc w:val="left"/>
            </w:pPr>
            <w:r>
              <w:rPr>
                <w:rFonts w:ascii="Times New Roman" w:hAnsi="Times New Roman" w:eastAsia="宋体"/>
                <w:b w:val="0"/>
                <w:color w:val="000000"/>
                <w:sz w:val="21"/>
              </w:rPr>
              <w:t>48.30</w:t>
            </w:r>
          </w:p>
        </w:tc>
        <w:tc>
          <w:tcPr>
            <w:tcW w:w="1741" w:type="dxa"/>
          </w:tcPr>
          <w:p w14:paraId="5D3A28E8">
            <w:pPr>
              <w:spacing w:after="0" w:line="276" w:lineRule="auto"/>
              <w:jc w:val="left"/>
            </w:pPr>
            <w:r>
              <w:rPr>
                <w:rFonts w:ascii="Times New Roman" w:hAnsi="Times New Roman" w:eastAsia="宋体"/>
                <w:b w:val="0"/>
                <w:color w:val="000000"/>
                <w:sz w:val="21"/>
              </w:rPr>
              <w:t>46.50</w:t>
            </w:r>
          </w:p>
        </w:tc>
        <w:tc>
          <w:tcPr>
            <w:tcW w:w="1741" w:type="dxa"/>
          </w:tcPr>
          <w:p w14:paraId="5A51E8BA">
            <w:pPr>
              <w:spacing w:after="0" w:line="276" w:lineRule="auto"/>
              <w:jc w:val="left"/>
            </w:pPr>
            <w:r>
              <w:rPr>
                <w:rFonts w:ascii="Times New Roman" w:hAnsi="Times New Roman" w:eastAsia="宋体"/>
                <w:b w:val="0"/>
                <w:color w:val="000000"/>
                <w:sz w:val="21"/>
              </w:rPr>
              <w:t>PASS</w:t>
            </w:r>
          </w:p>
        </w:tc>
      </w:tr>
      <w:tr w14:paraId="2860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766BDFF3">
            <w:pPr>
              <w:spacing w:after="0" w:line="276" w:lineRule="auto"/>
              <w:jc w:val="left"/>
            </w:pPr>
            <w:r>
              <w:rPr>
                <w:rFonts w:ascii="Times New Roman" w:hAnsi="Times New Roman" w:eastAsia="宋体"/>
                <w:b w:val="0"/>
                <w:color w:val="000000"/>
                <w:sz w:val="21"/>
              </w:rPr>
              <w:t>zyn0906</w:t>
            </w:r>
          </w:p>
        </w:tc>
        <w:tc>
          <w:tcPr>
            <w:tcW w:w="1741" w:type="dxa"/>
          </w:tcPr>
          <w:p w14:paraId="068DABCD">
            <w:pPr>
              <w:spacing w:after="0" w:line="276" w:lineRule="auto"/>
              <w:jc w:val="left"/>
            </w:pPr>
            <w:r>
              <w:rPr>
                <w:rFonts w:ascii="Times New Roman" w:hAnsi="Times New Roman" w:eastAsia="宋体"/>
                <w:b w:val="0"/>
                <w:color w:val="000000"/>
                <w:sz w:val="21"/>
              </w:rPr>
              <w:t>48.30</w:t>
            </w:r>
          </w:p>
        </w:tc>
        <w:tc>
          <w:tcPr>
            <w:tcW w:w="1741" w:type="dxa"/>
          </w:tcPr>
          <w:p w14:paraId="52FD46B7">
            <w:pPr>
              <w:spacing w:after="0" w:line="276" w:lineRule="auto"/>
              <w:jc w:val="left"/>
            </w:pPr>
            <w:r>
              <w:rPr>
                <w:rFonts w:ascii="Times New Roman" w:hAnsi="Times New Roman" w:eastAsia="宋体"/>
                <w:b w:val="0"/>
                <w:color w:val="000000"/>
                <w:sz w:val="21"/>
              </w:rPr>
              <w:t>57.20</w:t>
            </w:r>
          </w:p>
        </w:tc>
        <w:tc>
          <w:tcPr>
            <w:tcW w:w="1741" w:type="dxa"/>
          </w:tcPr>
          <w:p w14:paraId="7B040349">
            <w:pPr>
              <w:spacing w:after="0" w:line="276" w:lineRule="auto"/>
              <w:jc w:val="left"/>
            </w:pPr>
            <w:r>
              <w:rPr>
                <w:rFonts w:ascii="Times New Roman" w:hAnsi="Times New Roman" w:eastAsia="宋体"/>
                <w:b w:val="0"/>
                <w:color w:val="000000"/>
                <w:sz w:val="21"/>
              </w:rPr>
              <w:t>46.10</w:t>
            </w:r>
          </w:p>
        </w:tc>
        <w:tc>
          <w:tcPr>
            <w:tcW w:w="1741" w:type="dxa"/>
          </w:tcPr>
          <w:p w14:paraId="0F3BBD37">
            <w:pPr>
              <w:spacing w:after="0" w:line="276" w:lineRule="auto"/>
              <w:jc w:val="left"/>
            </w:pPr>
            <w:r>
              <w:rPr>
                <w:rFonts w:ascii="Times New Roman" w:hAnsi="Times New Roman" w:eastAsia="宋体"/>
                <w:b w:val="0"/>
                <w:color w:val="000000"/>
                <w:sz w:val="21"/>
              </w:rPr>
              <w:t>PASS</w:t>
            </w:r>
          </w:p>
        </w:tc>
      </w:tr>
      <w:tr w14:paraId="7212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34A401A5">
            <w:pPr>
              <w:spacing w:after="0" w:line="276" w:lineRule="auto"/>
              <w:jc w:val="left"/>
            </w:pPr>
            <w:r>
              <w:rPr>
                <w:rFonts w:ascii="Times New Roman" w:hAnsi="Times New Roman" w:eastAsia="宋体"/>
                <w:b w:val="0"/>
                <w:color w:val="000000"/>
                <w:sz w:val="21"/>
              </w:rPr>
              <w:t>cjf0831</w:t>
            </w:r>
          </w:p>
        </w:tc>
        <w:tc>
          <w:tcPr>
            <w:tcW w:w="1741" w:type="dxa"/>
          </w:tcPr>
          <w:p w14:paraId="76212021">
            <w:pPr>
              <w:spacing w:after="0" w:line="276" w:lineRule="auto"/>
              <w:jc w:val="left"/>
            </w:pPr>
            <w:r>
              <w:rPr>
                <w:rFonts w:ascii="Times New Roman" w:hAnsi="Times New Roman" w:eastAsia="宋体"/>
                <w:b w:val="0"/>
                <w:color w:val="000000"/>
                <w:sz w:val="21"/>
              </w:rPr>
              <w:t>46.80</w:t>
            </w:r>
          </w:p>
        </w:tc>
        <w:tc>
          <w:tcPr>
            <w:tcW w:w="1741" w:type="dxa"/>
          </w:tcPr>
          <w:p w14:paraId="263F5C09">
            <w:pPr>
              <w:spacing w:after="0" w:line="276" w:lineRule="auto"/>
              <w:jc w:val="left"/>
            </w:pPr>
            <w:r>
              <w:rPr>
                <w:rFonts w:ascii="Times New Roman" w:hAnsi="Times New Roman" w:eastAsia="宋体"/>
                <w:b w:val="0"/>
                <w:color w:val="000000"/>
                <w:sz w:val="21"/>
              </w:rPr>
              <w:t>49.20</w:t>
            </w:r>
          </w:p>
        </w:tc>
        <w:tc>
          <w:tcPr>
            <w:tcW w:w="1741" w:type="dxa"/>
          </w:tcPr>
          <w:p w14:paraId="1074C876">
            <w:pPr>
              <w:spacing w:after="0" w:line="276" w:lineRule="auto"/>
              <w:jc w:val="left"/>
            </w:pPr>
            <w:r>
              <w:rPr>
                <w:rFonts w:ascii="Times New Roman" w:hAnsi="Times New Roman" w:eastAsia="宋体"/>
                <w:b w:val="0"/>
                <w:color w:val="000000"/>
                <w:sz w:val="21"/>
              </w:rPr>
              <w:t>43.90</w:t>
            </w:r>
          </w:p>
        </w:tc>
        <w:tc>
          <w:tcPr>
            <w:tcW w:w="1741" w:type="dxa"/>
          </w:tcPr>
          <w:p w14:paraId="157732F2">
            <w:pPr>
              <w:spacing w:after="0" w:line="276" w:lineRule="auto"/>
              <w:jc w:val="left"/>
            </w:pPr>
            <w:r>
              <w:rPr>
                <w:rFonts w:ascii="Times New Roman" w:hAnsi="Times New Roman" w:eastAsia="宋体"/>
                <w:b w:val="0"/>
                <w:color w:val="000000"/>
                <w:sz w:val="21"/>
              </w:rPr>
              <w:t>PASS</w:t>
            </w:r>
          </w:p>
        </w:tc>
      </w:tr>
      <w:tr w14:paraId="28E6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3E889B2D">
            <w:pPr>
              <w:spacing w:after="0" w:line="276" w:lineRule="auto"/>
              <w:jc w:val="left"/>
            </w:pPr>
            <w:r>
              <w:rPr>
                <w:rFonts w:ascii="Times New Roman" w:hAnsi="Times New Roman" w:eastAsia="宋体"/>
                <w:b w:val="0"/>
                <w:color w:val="000000"/>
                <w:sz w:val="21"/>
              </w:rPr>
              <w:t>ytl0901</w:t>
            </w:r>
          </w:p>
        </w:tc>
        <w:tc>
          <w:tcPr>
            <w:tcW w:w="1741" w:type="dxa"/>
          </w:tcPr>
          <w:p w14:paraId="28E7CBEA">
            <w:pPr>
              <w:spacing w:after="0" w:line="276" w:lineRule="auto"/>
              <w:jc w:val="left"/>
            </w:pPr>
            <w:r>
              <w:rPr>
                <w:rFonts w:ascii="Times New Roman" w:hAnsi="Times New Roman" w:eastAsia="宋体"/>
                <w:b w:val="0"/>
                <w:color w:val="000000"/>
                <w:sz w:val="21"/>
              </w:rPr>
              <w:t>46.10</w:t>
            </w:r>
          </w:p>
        </w:tc>
        <w:tc>
          <w:tcPr>
            <w:tcW w:w="1741" w:type="dxa"/>
          </w:tcPr>
          <w:p w14:paraId="666C60DD">
            <w:pPr>
              <w:spacing w:after="0" w:line="276" w:lineRule="auto"/>
              <w:jc w:val="left"/>
            </w:pPr>
            <w:r>
              <w:rPr>
                <w:rFonts w:ascii="Times New Roman" w:hAnsi="Times New Roman" w:eastAsia="宋体"/>
                <w:b w:val="0"/>
                <w:color w:val="000000"/>
                <w:sz w:val="21"/>
              </w:rPr>
              <w:t>53.50</w:t>
            </w:r>
          </w:p>
        </w:tc>
        <w:tc>
          <w:tcPr>
            <w:tcW w:w="1741" w:type="dxa"/>
          </w:tcPr>
          <w:p w14:paraId="2CE2E287">
            <w:pPr>
              <w:spacing w:after="0" w:line="276" w:lineRule="auto"/>
              <w:jc w:val="left"/>
            </w:pPr>
            <w:r>
              <w:rPr>
                <w:rFonts w:ascii="Times New Roman" w:hAnsi="Times New Roman" w:eastAsia="宋体"/>
                <w:b w:val="0"/>
                <w:color w:val="000000"/>
                <w:sz w:val="21"/>
              </w:rPr>
              <w:t>44.40</w:t>
            </w:r>
          </w:p>
        </w:tc>
        <w:tc>
          <w:tcPr>
            <w:tcW w:w="1741" w:type="dxa"/>
          </w:tcPr>
          <w:p w14:paraId="37F88F8B">
            <w:pPr>
              <w:spacing w:after="0" w:line="276" w:lineRule="auto"/>
              <w:jc w:val="left"/>
            </w:pPr>
            <w:r>
              <w:rPr>
                <w:rFonts w:ascii="Times New Roman" w:hAnsi="Times New Roman" w:eastAsia="宋体"/>
                <w:b w:val="0"/>
                <w:color w:val="000000"/>
                <w:sz w:val="21"/>
              </w:rPr>
              <w:t>PASS</w:t>
            </w:r>
          </w:p>
        </w:tc>
      </w:tr>
      <w:tr w14:paraId="6603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1732DF9A">
            <w:pPr>
              <w:spacing w:after="0" w:line="276" w:lineRule="auto"/>
              <w:jc w:val="left"/>
            </w:pPr>
            <w:r>
              <w:rPr>
                <w:rFonts w:ascii="Times New Roman" w:hAnsi="Times New Roman" w:eastAsia="宋体"/>
                <w:b w:val="0"/>
                <w:color w:val="000000"/>
                <w:sz w:val="21"/>
              </w:rPr>
              <w:t>zyj0902</w:t>
            </w:r>
          </w:p>
        </w:tc>
        <w:tc>
          <w:tcPr>
            <w:tcW w:w="1741" w:type="dxa"/>
          </w:tcPr>
          <w:p w14:paraId="545A49BB">
            <w:pPr>
              <w:spacing w:after="0" w:line="276" w:lineRule="auto"/>
              <w:jc w:val="left"/>
            </w:pPr>
            <w:r>
              <w:rPr>
                <w:rFonts w:ascii="Times New Roman" w:hAnsi="Times New Roman" w:eastAsia="宋体"/>
                <w:b w:val="0"/>
                <w:color w:val="000000"/>
                <w:sz w:val="21"/>
              </w:rPr>
              <w:t>45.80</w:t>
            </w:r>
          </w:p>
        </w:tc>
        <w:tc>
          <w:tcPr>
            <w:tcW w:w="1741" w:type="dxa"/>
          </w:tcPr>
          <w:p w14:paraId="0580EC11">
            <w:pPr>
              <w:spacing w:after="0" w:line="276" w:lineRule="auto"/>
              <w:jc w:val="left"/>
            </w:pPr>
            <w:r>
              <w:rPr>
                <w:rFonts w:ascii="Times New Roman" w:hAnsi="Times New Roman" w:eastAsia="宋体"/>
                <w:b w:val="0"/>
                <w:color w:val="000000"/>
                <w:sz w:val="21"/>
              </w:rPr>
              <w:t>49.80</w:t>
            </w:r>
          </w:p>
        </w:tc>
        <w:tc>
          <w:tcPr>
            <w:tcW w:w="1741" w:type="dxa"/>
          </w:tcPr>
          <w:p w14:paraId="6AF4BA41">
            <w:pPr>
              <w:spacing w:after="0" w:line="276" w:lineRule="auto"/>
              <w:jc w:val="left"/>
            </w:pPr>
            <w:r>
              <w:rPr>
                <w:rFonts w:ascii="Times New Roman" w:hAnsi="Times New Roman" w:eastAsia="宋体"/>
                <w:b w:val="0"/>
                <w:color w:val="000000"/>
                <w:sz w:val="21"/>
              </w:rPr>
              <w:t>40.10</w:t>
            </w:r>
          </w:p>
        </w:tc>
        <w:tc>
          <w:tcPr>
            <w:tcW w:w="1741" w:type="dxa"/>
          </w:tcPr>
          <w:p w14:paraId="09A5AE9B">
            <w:pPr>
              <w:spacing w:after="0" w:line="276" w:lineRule="auto"/>
              <w:jc w:val="left"/>
            </w:pPr>
            <w:r>
              <w:rPr>
                <w:rFonts w:ascii="Times New Roman" w:hAnsi="Times New Roman" w:eastAsia="宋体"/>
                <w:b w:val="0"/>
                <w:color w:val="000000"/>
                <w:sz w:val="21"/>
              </w:rPr>
              <w:t>FAIL</w:t>
            </w:r>
          </w:p>
        </w:tc>
      </w:tr>
      <w:tr w14:paraId="4815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37328CF5">
            <w:pPr>
              <w:spacing w:after="0" w:line="276" w:lineRule="auto"/>
              <w:jc w:val="left"/>
            </w:pPr>
            <w:r>
              <w:rPr>
                <w:rFonts w:ascii="Times New Roman" w:hAnsi="Times New Roman" w:eastAsia="宋体"/>
                <w:b w:val="0"/>
                <w:color w:val="000000"/>
                <w:sz w:val="21"/>
              </w:rPr>
              <w:t>xjh0828</w:t>
            </w:r>
          </w:p>
        </w:tc>
        <w:tc>
          <w:tcPr>
            <w:tcW w:w="1741" w:type="dxa"/>
          </w:tcPr>
          <w:p w14:paraId="72773291">
            <w:pPr>
              <w:spacing w:after="0" w:line="276" w:lineRule="auto"/>
              <w:jc w:val="left"/>
            </w:pPr>
            <w:r>
              <w:rPr>
                <w:rFonts w:ascii="Times New Roman" w:hAnsi="Times New Roman" w:eastAsia="宋体"/>
                <w:b w:val="0"/>
                <w:color w:val="000000"/>
                <w:sz w:val="21"/>
              </w:rPr>
              <w:t>45.30</w:t>
            </w:r>
          </w:p>
        </w:tc>
        <w:tc>
          <w:tcPr>
            <w:tcW w:w="1741" w:type="dxa"/>
          </w:tcPr>
          <w:p w14:paraId="35FB6CED">
            <w:pPr>
              <w:spacing w:after="0" w:line="276" w:lineRule="auto"/>
              <w:jc w:val="left"/>
            </w:pPr>
            <w:r>
              <w:rPr>
                <w:rFonts w:ascii="Times New Roman" w:hAnsi="Times New Roman" w:eastAsia="宋体"/>
                <w:b w:val="0"/>
                <w:color w:val="000000"/>
                <w:sz w:val="21"/>
              </w:rPr>
              <w:t>56.90</w:t>
            </w:r>
          </w:p>
        </w:tc>
        <w:tc>
          <w:tcPr>
            <w:tcW w:w="1741" w:type="dxa"/>
          </w:tcPr>
          <w:p w14:paraId="605DD617">
            <w:pPr>
              <w:spacing w:after="0" w:line="276" w:lineRule="auto"/>
              <w:jc w:val="left"/>
            </w:pPr>
            <w:r>
              <w:rPr>
                <w:rFonts w:ascii="Times New Roman" w:hAnsi="Times New Roman" w:eastAsia="宋体"/>
                <w:b w:val="0"/>
                <w:color w:val="000000"/>
                <w:sz w:val="21"/>
              </w:rPr>
              <w:t>35.40</w:t>
            </w:r>
          </w:p>
        </w:tc>
        <w:tc>
          <w:tcPr>
            <w:tcW w:w="1741" w:type="dxa"/>
          </w:tcPr>
          <w:p w14:paraId="2178980A">
            <w:pPr>
              <w:spacing w:after="0" w:line="276" w:lineRule="auto"/>
              <w:jc w:val="left"/>
            </w:pPr>
            <w:r>
              <w:rPr>
                <w:rFonts w:ascii="Times New Roman" w:hAnsi="Times New Roman" w:eastAsia="宋体"/>
                <w:b w:val="0"/>
                <w:color w:val="000000"/>
                <w:sz w:val="21"/>
              </w:rPr>
              <w:t>PASS</w:t>
            </w:r>
          </w:p>
        </w:tc>
      </w:tr>
      <w:tr w14:paraId="29BB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75A55FDA">
            <w:pPr>
              <w:spacing w:after="0" w:line="276" w:lineRule="auto"/>
              <w:jc w:val="left"/>
            </w:pPr>
            <w:r>
              <w:rPr>
                <w:rFonts w:ascii="Times New Roman" w:hAnsi="Times New Roman" w:eastAsia="宋体"/>
                <w:b w:val="0"/>
                <w:color w:val="000000"/>
                <w:sz w:val="21"/>
              </w:rPr>
              <w:t>djh0902</w:t>
            </w:r>
          </w:p>
        </w:tc>
        <w:tc>
          <w:tcPr>
            <w:tcW w:w="1741" w:type="dxa"/>
          </w:tcPr>
          <w:p w14:paraId="55EEB256">
            <w:pPr>
              <w:spacing w:after="0" w:line="276" w:lineRule="auto"/>
              <w:jc w:val="left"/>
            </w:pPr>
            <w:r>
              <w:rPr>
                <w:rFonts w:ascii="Times New Roman" w:hAnsi="Times New Roman" w:eastAsia="宋体"/>
                <w:b w:val="0"/>
                <w:color w:val="000000"/>
                <w:sz w:val="21"/>
              </w:rPr>
              <w:t>43.40</w:t>
            </w:r>
          </w:p>
        </w:tc>
        <w:tc>
          <w:tcPr>
            <w:tcW w:w="1741" w:type="dxa"/>
          </w:tcPr>
          <w:p w14:paraId="00159DC0">
            <w:pPr>
              <w:spacing w:after="0" w:line="276" w:lineRule="auto"/>
              <w:jc w:val="left"/>
            </w:pPr>
            <w:r>
              <w:rPr>
                <w:rFonts w:ascii="Times New Roman" w:hAnsi="Times New Roman" w:eastAsia="宋体"/>
                <w:b w:val="0"/>
                <w:color w:val="000000"/>
                <w:sz w:val="21"/>
              </w:rPr>
              <w:t>43.40</w:t>
            </w:r>
          </w:p>
        </w:tc>
        <w:tc>
          <w:tcPr>
            <w:tcW w:w="1741" w:type="dxa"/>
          </w:tcPr>
          <w:p w14:paraId="104BEF58">
            <w:pPr>
              <w:spacing w:after="0" w:line="276" w:lineRule="auto"/>
              <w:jc w:val="left"/>
            </w:pPr>
            <w:r>
              <w:rPr>
                <w:rFonts w:ascii="Times New Roman" w:hAnsi="Times New Roman" w:eastAsia="宋体"/>
                <w:b w:val="0"/>
                <w:color w:val="000000"/>
                <w:sz w:val="21"/>
              </w:rPr>
              <w:t>31.30</w:t>
            </w:r>
          </w:p>
        </w:tc>
        <w:tc>
          <w:tcPr>
            <w:tcW w:w="1741" w:type="dxa"/>
          </w:tcPr>
          <w:p w14:paraId="6D64C76C">
            <w:pPr>
              <w:spacing w:after="0" w:line="276" w:lineRule="auto"/>
              <w:jc w:val="left"/>
            </w:pPr>
            <w:r>
              <w:rPr>
                <w:rFonts w:ascii="Times New Roman" w:hAnsi="Times New Roman" w:eastAsia="宋体"/>
                <w:b w:val="0"/>
                <w:color w:val="000000"/>
                <w:sz w:val="21"/>
              </w:rPr>
              <w:t>PASS</w:t>
            </w:r>
          </w:p>
        </w:tc>
      </w:tr>
      <w:tr w14:paraId="4AEB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1B875CFE">
            <w:pPr>
              <w:spacing w:after="0" w:line="276" w:lineRule="auto"/>
              <w:jc w:val="left"/>
            </w:pPr>
            <w:r>
              <w:rPr>
                <w:rFonts w:ascii="Times New Roman" w:hAnsi="Times New Roman" w:eastAsia="宋体"/>
                <w:b w:val="0"/>
                <w:color w:val="000000"/>
                <w:sz w:val="21"/>
              </w:rPr>
              <w:t>wyf0906</w:t>
            </w:r>
          </w:p>
        </w:tc>
        <w:tc>
          <w:tcPr>
            <w:tcW w:w="1741" w:type="dxa"/>
          </w:tcPr>
          <w:p w14:paraId="788EE2F6">
            <w:pPr>
              <w:spacing w:after="0" w:line="276" w:lineRule="auto"/>
              <w:jc w:val="left"/>
            </w:pPr>
            <w:r>
              <w:rPr>
                <w:rFonts w:ascii="Times New Roman" w:hAnsi="Times New Roman" w:eastAsia="宋体"/>
                <w:b w:val="0"/>
                <w:color w:val="000000"/>
                <w:sz w:val="21"/>
              </w:rPr>
              <w:t>42.50</w:t>
            </w:r>
          </w:p>
        </w:tc>
        <w:tc>
          <w:tcPr>
            <w:tcW w:w="1741" w:type="dxa"/>
          </w:tcPr>
          <w:p w14:paraId="3ACFD1B7">
            <w:pPr>
              <w:spacing w:after="0" w:line="276" w:lineRule="auto"/>
              <w:jc w:val="left"/>
            </w:pPr>
            <w:r>
              <w:rPr>
                <w:rFonts w:ascii="Times New Roman" w:hAnsi="Times New Roman" w:eastAsia="宋体"/>
                <w:b w:val="0"/>
                <w:color w:val="000000"/>
                <w:sz w:val="21"/>
              </w:rPr>
              <w:t>45.80</w:t>
            </w:r>
          </w:p>
        </w:tc>
        <w:tc>
          <w:tcPr>
            <w:tcW w:w="1741" w:type="dxa"/>
          </w:tcPr>
          <w:p w14:paraId="4DA5A0EE">
            <w:pPr>
              <w:spacing w:after="0" w:line="276" w:lineRule="auto"/>
              <w:jc w:val="left"/>
            </w:pPr>
            <w:r>
              <w:rPr>
                <w:rFonts w:ascii="Times New Roman" w:hAnsi="Times New Roman" w:eastAsia="宋体"/>
                <w:b w:val="0"/>
                <w:color w:val="000000"/>
                <w:sz w:val="21"/>
              </w:rPr>
              <w:t>26.10</w:t>
            </w:r>
          </w:p>
        </w:tc>
        <w:tc>
          <w:tcPr>
            <w:tcW w:w="1741" w:type="dxa"/>
          </w:tcPr>
          <w:p w14:paraId="68EEBD8F">
            <w:pPr>
              <w:spacing w:after="0" w:line="276" w:lineRule="auto"/>
              <w:jc w:val="left"/>
            </w:pPr>
            <w:r>
              <w:rPr>
                <w:rFonts w:ascii="Times New Roman" w:hAnsi="Times New Roman" w:eastAsia="宋体"/>
                <w:b w:val="0"/>
                <w:color w:val="000000"/>
                <w:sz w:val="21"/>
              </w:rPr>
              <w:t>PASS</w:t>
            </w:r>
          </w:p>
        </w:tc>
      </w:tr>
      <w:tr w14:paraId="3F2F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2F6152E3">
            <w:pPr>
              <w:spacing w:after="0" w:line="276" w:lineRule="auto"/>
              <w:jc w:val="left"/>
            </w:pPr>
            <w:r>
              <w:rPr>
                <w:rFonts w:ascii="Times New Roman" w:hAnsi="Times New Roman" w:eastAsia="宋体"/>
                <w:b w:val="0"/>
                <w:color w:val="000000"/>
                <w:sz w:val="21"/>
              </w:rPr>
              <w:t>wzr0830</w:t>
            </w:r>
          </w:p>
        </w:tc>
        <w:tc>
          <w:tcPr>
            <w:tcW w:w="1741" w:type="dxa"/>
          </w:tcPr>
          <w:p w14:paraId="27193381">
            <w:pPr>
              <w:spacing w:after="0" w:line="276" w:lineRule="auto"/>
              <w:jc w:val="left"/>
            </w:pPr>
            <w:r>
              <w:rPr>
                <w:rFonts w:ascii="Times New Roman" w:hAnsi="Times New Roman" w:eastAsia="宋体"/>
                <w:b w:val="0"/>
                <w:color w:val="000000"/>
                <w:sz w:val="21"/>
              </w:rPr>
              <w:t>42.50</w:t>
            </w:r>
          </w:p>
        </w:tc>
        <w:tc>
          <w:tcPr>
            <w:tcW w:w="1741" w:type="dxa"/>
          </w:tcPr>
          <w:p w14:paraId="177184F4">
            <w:pPr>
              <w:spacing w:after="0" w:line="276" w:lineRule="auto"/>
              <w:jc w:val="left"/>
            </w:pPr>
            <w:r>
              <w:rPr>
                <w:rFonts w:ascii="Times New Roman" w:hAnsi="Times New Roman" w:eastAsia="宋体"/>
                <w:b w:val="0"/>
                <w:color w:val="000000"/>
                <w:sz w:val="21"/>
              </w:rPr>
              <w:t>55.90</w:t>
            </w:r>
          </w:p>
        </w:tc>
        <w:tc>
          <w:tcPr>
            <w:tcW w:w="1741" w:type="dxa"/>
          </w:tcPr>
          <w:p w14:paraId="14C8315D">
            <w:pPr>
              <w:spacing w:after="0" w:line="276" w:lineRule="auto"/>
              <w:jc w:val="left"/>
            </w:pPr>
            <w:r>
              <w:rPr>
                <w:rFonts w:ascii="Times New Roman" w:hAnsi="Times New Roman" w:eastAsia="宋体"/>
                <w:b w:val="0"/>
                <w:color w:val="000000"/>
                <w:sz w:val="21"/>
              </w:rPr>
              <w:t>29.10</w:t>
            </w:r>
          </w:p>
        </w:tc>
        <w:tc>
          <w:tcPr>
            <w:tcW w:w="1741" w:type="dxa"/>
          </w:tcPr>
          <w:p w14:paraId="258612A7">
            <w:pPr>
              <w:spacing w:after="0" w:line="276" w:lineRule="auto"/>
              <w:jc w:val="left"/>
            </w:pPr>
            <w:r>
              <w:rPr>
                <w:rFonts w:ascii="Times New Roman" w:hAnsi="Times New Roman" w:eastAsia="宋体"/>
                <w:b w:val="0"/>
                <w:color w:val="000000"/>
                <w:sz w:val="21"/>
              </w:rPr>
              <w:t>FAIL</w:t>
            </w:r>
          </w:p>
        </w:tc>
      </w:tr>
      <w:tr w14:paraId="5396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046F0615">
            <w:pPr>
              <w:spacing w:after="0" w:line="276" w:lineRule="auto"/>
              <w:jc w:val="left"/>
            </w:pPr>
            <w:r>
              <w:rPr>
                <w:rFonts w:ascii="Times New Roman" w:hAnsi="Times New Roman" w:eastAsia="宋体"/>
                <w:b w:val="0"/>
                <w:color w:val="000000"/>
                <w:sz w:val="21"/>
              </w:rPr>
              <w:t>ycx0831</w:t>
            </w:r>
          </w:p>
        </w:tc>
        <w:tc>
          <w:tcPr>
            <w:tcW w:w="1741" w:type="dxa"/>
          </w:tcPr>
          <w:p w14:paraId="6715A869">
            <w:pPr>
              <w:spacing w:after="0" w:line="276" w:lineRule="auto"/>
              <w:jc w:val="left"/>
            </w:pPr>
            <w:r>
              <w:rPr>
                <w:rFonts w:ascii="Times New Roman" w:hAnsi="Times New Roman" w:eastAsia="宋体"/>
                <w:b w:val="0"/>
                <w:color w:val="000000"/>
                <w:sz w:val="21"/>
              </w:rPr>
              <w:t>41.80</w:t>
            </w:r>
          </w:p>
        </w:tc>
        <w:tc>
          <w:tcPr>
            <w:tcW w:w="1741" w:type="dxa"/>
          </w:tcPr>
          <w:p w14:paraId="00D15275">
            <w:pPr>
              <w:spacing w:after="0" w:line="276" w:lineRule="auto"/>
              <w:jc w:val="left"/>
            </w:pPr>
            <w:r>
              <w:rPr>
                <w:rFonts w:ascii="Times New Roman" w:hAnsi="Times New Roman" w:eastAsia="宋体"/>
                <w:b w:val="0"/>
                <w:color w:val="000000"/>
                <w:sz w:val="21"/>
              </w:rPr>
              <w:t>41.90</w:t>
            </w:r>
          </w:p>
        </w:tc>
        <w:tc>
          <w:tcPr>
            <w:tcW w:w="1741" w:type="dxa"/>
          </w:tcPr>
          <w:p w14:paraId="0AA6EA6B">
            <w:pPr>
              <w:spacing w:after="0" w:line="276" w:lineRule="auto"/>
              <w:jc w:val="left"/>
            </w:pPr>
            <w:r>
              <w:rPr>
                <w:rFonts w:ascii="Times New Roman" w:hAnsi="Times New Roman" w:eastAsia="宋体"/>
                <w:b w:val="0"/>
                <w:color w:val="000000"/>
                <w:sz w:val="21"/>
              </w:rPr>
              <w:t>39.90</w:t>
            </w:r>
          </w:p>
        </w:tc>
        <w:tc>
          <w:tcPr>
            <w:tcW w:w="1741" w:type="dxa"/>
          </w:tcPr>
          <w:p w14:paraId="30C473C8">
            <w:pPr>
              <w:spacing w:after="0" w:line="276" w:lineRule="auto"/>
              <w:jc w:val="left"/>
            </w:pPr>
            <w:r>
              <w:rPr>
                <w:rFonts w:ascii="Times New Roman" w:hAnsi="Times New Roman" w:eastAsia="宋体"/>
                <w:b w:val="0"/>
                <w:color w:val="000000"/>
                <w:sz w:val="21"/>
              </w:rPr>
              <w:t>FAIL</w:t>
            </w:r>
          </w:p>
        </w:tc>
      </w:tr>
      <w:tr w14:paraId="7628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5F239994">
            <w:pPr>
              <w:spacing w:after="0" w:line="276" w:lineRule="auto"/>
              <w:jc w:val="left"/>
            </w:pPr>
            <w:r>
              <w:rPr>
                <w:rFonts w:ascii="Times New Roman" w:hAnsi="Times New Roman" w:eastAsia="宋体"/>
                <w:b w:val="0"/>
                <w:color w:val="000000"/>
                <w:sz w:val="21"/>
              </w:rPr>
              <w:t>cyy0830</w:t>
            </w:r>
          </w:p>
        </w:tc>
        <w:tc>
          <w:tcPr>
            <w:tcW w:w="1741" w:type="dxa"/>
          </w:tcPr>
          <w:p w14:paraId="169AB4C3">
            <w:pPr>
              <w:spacing w:after="0" w:line="276" w:lineRule="auto"/>
              <w:jc w:val="left"/>
            </w:pPr>
            <w:r>
              <w:rPr>
                <w:rFonts w:ascii="Times New Roman" w:hAnsi="Times New Roman" w:eastAsia="宋体"/>
                <w:b w:val="0"/>
                <w:color w:val="000000"/>
                <w:sz w:val="21"/>
              </w:rPr>
              <w:t>40.90</w:t>
            </w:r>
          </w:p>
        </w:tc>
        <w:tc>
          <w:tcPr>
            <w:tcW w:w="1741" w:type="dxa"/>
          </w:tcPr>
          <w:p w14:paraId="20115A05">
            <w:pPr>
              <w:spacing w:after="0" w:line="276" w:lineRule="auto"/>
              <w:jc w:val="left"/>
            </w:pPr>
            <w:r>
              <w:rPr>
                <w:rFonts w:ascii="Times New Roman" w:hAnsi="Times New Roman" w:eastAsia="宋体"/>
                <w:b w:val="0"/>
                <w:color w:val="000000"/>
                <w:sz w:val="21"/>
              </w:rPr>
              <w:t>40.90</w:t>
            </w:r>
          </w:p>
        </w:tc>
        <w:tc>
          <w:tcPr>
            <w:tcW w:w="1741" w:type="dxa"/>
          </w:tcPr>
          <w:p w14:paraId="1D100160">
            <w:pPr>
              <w:spacing w:after="0" w:line="276" w:lineRule="auto"/>
              <w:jc w:val="left"/>
            </w:pPr>
            <w:r>
              <w:rPr>
                <w:rFonts w:ascii="Times New Roman" w:hAnsi="Times New Roman" w:eastAsia="宋体"/>
                <w:b w:val="0"/>
                <w:color w:val="000000"/>
                <w:sz w:val="21"/>
              </w:rPr>
              <w:t>33.30</w:t>
            </w:r>
          </w:p>
        </w:tc>
        <w:tc>
          <w:tcPr>
            <w:tcW w:w="1741" w:type="dxa"/>
          </w:tcPr>
          <w:p w14:paraId="4E744C83">
            <w:pPr>
              <w:spacing w:after="0" w:line="276" w:lineRule="auto"/>
              <w:jc w:val="left"/>
            </w:pPr>
            <w:r>
              <w:rPr>
                <w:rFonts w:ascii="Times New Roman" w:hAnsi="Times New Roman" w:eastAsia="宋体"/>
                <w:b w:val="0"/>
                <w:color w:val="000000"/>
                <w:sz w:val="21"/>
              </w:rPr>
              <w:t>PASS</w:t>
            </w:r>
          </w:p>
        </w:tc>
      </w:tr>
      <w:tr w14:paraId="1C59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1554D7CF">
            <w:pPr>
              <w:spacing w:after="0" w:line="276" w:lineRule="auto"/>
              <w:jc w:val="left"/>
            </w:pPr>
            <w:r>
              <w:rPr>
                <w:rFonts w:ascii="Times New Roman" w:hAnsi="Times New Roman" w:eastAsia="宋体"/>
                <w:b w:val="0"/>
                <w:color w:val="000000"/>
                <w:sz w:val="21"/>
              </w:rPr>
              <w:t>zcy0902</w:t>
            </w:r>
          </w:p>
        </w:tc>
        <w:tc>
          <w:tcPr>
            <w:tcW w:w="1741" w:type="dxa"/>
          </w:tcPr>
          <w:p w14:paraId="4B7A8095">
            <w:pPr>
              <w:spacing w:after="0" w:line="276" w:lineRule="auto"/>
              <w:jc w:val="left"/>
            </w:pPr>
            <w:r>
              <w:rPr>
                <w:rFonts w:ascii="Times New Roman" w:hAnsi="Times New Roman" w:eastAsia="宋体"/>
                <w:b w:val="0"/>
                <w:color w:val="000000"/>
                <w:sz w:val="21"/>
              </w:rPr>
              <w:t>40.30</w:t>
            </w:r>
          </w:p>
        </w:tc>
        <w:tc>
          <w:tcPr>
            <w:tcW w:w="1741" w:type="dxa"/>
          </w:tcPr>
          <w:p w14:paraId="4BAB3B23">
            <w:pPr>
              <w:spacing w:after="0" w:line="276" w:lineRule="auto"/>
              <w:jc w:val="left"/>
            </w:pPr>
            <w:r>
              <w:rPr>
                <w:rFonts w:ascii="Times New Roman" w:hAnsi="Times New Roman" w:eastAsia="宋体"/>
                <w:b w:val="0"/>
                <w:color w:val="000000"/>
                <w:sz w:val="21"/>
              </w:rPr>
              <w:t>61.20</w:t>
            </w:r>
          </w:p>
        </w:tc>
        <w:tc>
          <w:tcPr>
            <w:tcW w:w="1741" w:type="dxa"/>
          </w:tcPr>
          <w:p w14:paraId="7788C0E2">
            <w:pPr>
              <w:spacing w:after="0" w:line="276" w:lineRule="auto"/>
              <w:jc w:val="left"/>
            </w:pPr>
            <w:r>
              <w:rPr>
                <w:rFonts w:ascii="Times New Roman" w:hAnsi="Times New Roman" w:eastAsia="宋体"/>
                <w:b w:val="0"/>
                <w:color w:val="000000"/>
                <w:sz w:val="21"/>
              </w:rPr>
              <w:t>34.80</w:t>
            </w:r>
          </w:p>
        </w:tc>
        <w:tc>
          <w:tcPr>
            <w:tcW w:w="1741" w:type="dxa"/>
          </w:tcPr>
          <w:p w14:paraId="7B96844B">
            <w:pPr>
              <w:spacing w:after="0" w:line="276" w:lineRule="auto"/>
              <w:jc w:val="left"/>
            </w:pPr>
            <w:r>
              <w:rPr>
                <w:rFonts w:ascii="Times New Roman" w:hAnsi="Times New Roman" w:eastAsia="宋体"/>
                <w:b w:val="0"/>
                <w:color w:val="000000"/>
                <w:sz w:val="21"/>
              </w:rPr>
              <w:t>FAIL</w:t>
            </w:r>
          </w:p>
        </w:tc>
      </w:tr>
      <w:tr w14:paraId="75C5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3E5E41DE">
            <w:pPr>
              <w:spacing w:after="0" w:line="276" w:lineRule="auto"/>
              <w:jc w:val="left"/>
            </w:pPr>
            <w:r>
              <w:rPr>
                <w:rFonts w:ascii="Times New Roman" w:hAnsi="Times New Roman" w:eastAsia="宋体"/>
                <w:b w:val="0"/>
                <w:color w:val="000000"/>
                <w:sz w:val="21"/>
              </w:rPr>
              <w:t>lmy0904</w:t>
            </w:r>
          </w:p>
        </w:tc>
        <w:tc>
          <w:tcPr>
            <w:tcW w:w="1741" w:type="dxa"/>
          </w:tcPr>
          <w:p w14:paraId="36F20217">
            <w:pPr>
              <w:spacing w:after="0" w:line="276" w:lineRule="auto"/>
              <w:jc w:val="left"/>
            </w:pPr>
            <w:r>
              <w:rPr>
                <w:rFonts w:ascii="Times New Roman" w:hAnsi="Times New Roman" w:eastAsia="宋体"/>
                <w:b w:val="0"/>
                <w:color w:val="000000"/>
                <w:sz w:val="21"/>
              </w:rPr>
              <w:t>38.20</w:t>
            </w:r>
          </w:p>
        </w:tc>
        <w:tc>
          <w:tcPr>
            <w:tcW w:w="1741" w:type="dxa"/>
          </w:tcPr>
          <w:p w14:paraId="546906BD">
            <w:pPr>
              <w:spacing w:after="0" w:line="276" w:lineRule="auto"/>
              <w:jc w:val="left"/>
            </w:pPr>
            <w:r>
              <w:rPr>
                <w:rFonts w:ascii="Times New Roman" w:hAnsi="Times New Roman" w:eastAsia="宋体"/>
                <w:b w:val="0"/>
                <w:color w:val="000000"/>
                <w:sz w:val="21"/>
              </w:rPr>
              <w:t>46.70</w:t>
            </w:r>
          </w:p>
        </w:tc>
        <w:tc>
          <w:tcPr>
            <w:tcW w:w="1741" w:type="dxa"/>
          </w:tcPr>
          <w:p w14:paraId="52BA8B28">
            <w:pPr>
              <w:spacing w:after="0" w:line="276" w:lineRule="auto"/>
              <w:jc w:val="left"/>
            </w:pPr>
            <w:r>
              <w:rPr>
                <w:rFonts w:ascii="Times New Roman" w:hAnsi="Times New Roman" w:eastAsia="宋体"/>
                <w:b w:val="0"/>
                <w:color w:val="000000"/>
                <w:sz w:val="21"/>
              </w:rPr>
              <w:t>37.90</w:t>
            </w:r>
          </w:p>
        </w:tc>
        <w:tc>
          <w:tcPr>
            <w:tcW w:w="1741" w:type="dxa"/>
          </w:tcPr>
          <w:p w14:paraId="7B10C354">
            <w:pPr>
              <w:spacing w:after="0" w:line="276" w:lineRule="auto"/>
              <w:jc w:val="left"/>
            </w:pPr>
            <w:r>
              <w:rPr>
                <w:rFonts w:ascii="Times New Roman" w:hAnsi="Times New Roman" w:eastAsia="宋体"/>
                <w:b w:val="0"/>
                <w:color w:val="000000"/>
                <w:sz w:val="21"/>
              </w:rPr>
              <w:t>FAIL</w:t>
            </w:r>
          </w:p>
        </w:tc>
      </w:tr>
      <w:tr w14:paraId="3722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3C96B32F">
            <w:pPr>
              <w:spacing w:after="0" w:line="276" w:lineRule="auto"/>
              <w:jc w:val="left"/>
            </w:pPr>
            <w:r>
              <w:rPr>
                <w:rFonts w:ascii="Times New Roman" w:hAnsi="Times New Roman" w:eastAsia="宋体"/>
                <w:b w:val="0"/>
                <w:color w:val="000000"/>
                <w:sz w:val="21"/>
              </w:rPr>
              <w:t>fnz0830</w:t>
            </w:r>
          </w:p>
        </w:tc>
        <w:tc>
          <w:tcPr>
            <w:tcW w:w="1741" w:type="dxa"/>
          </w:tcPr>
          <w:p w14:paraId="3F1DC03D">
            <w:pPr>
              <w:spacing w:after="0" w:line="276" w:lineRule="auto"/>
              <w:jc w:val="left"/>
            </w:pPr>
            <w:r>
              <w:rPr>
                <w:rFonts w:ascii="Times New Roman" w:hAnsi="Times New Roman" w:eastAsia="宋体"/>
                <w:b w:val="0"/>
                <w:color w:val="000000"/>
                <w:sz w:val="21"/>
              </w:rPr>
              <w:t>35.70</w:t>
            </w:r>
          </w:p>
        </w:tc>
        <w:tc>
          <w:tcPr>
            <w:tcW w:w="1741" w:type="dxa"/>
          </w:tcPr>
          <w:p w14:paraId="696E44DE">
            <w:pPr>
              <w:spacing w:after="0" w:line="276" w:lineRule="auto"/>
              <w:jc w:val="left"/>
            </w:pPr>
            <w:r>
              <w:rPr>
                <w:rFonts w:ascii="Times New Roman" w:hAnsi="Times New Roman" w:eastAsia="宋体"/>
                <w:b w:val="0"/>
                <w:color w:val="000000"/>
                <w:sz w:val="21"/>
              </w:rPr>
              <w:t>58.40</w:t>
            </w:r>
          </w:p>
        </w:tc>
        <w:tc>
          <w:tcPr>
            <w:tcW w:w="1741" w:type="dxa"/>
          </w:tcPr>
          <w:p w14:paraId="555DA7C2">
            <w:pPr>
              <w:spacing w:after="0" w:line="276" w:lineRule="auto"/>
              <w:jc w:val="left"/>
            </w:pPr>
            <w:r>
              <w:rPr>
                <w:rFonts w:ascii="Times New Roman" w:hAnsi="Times New Roman" w:eastAsia="宋体"/>
                <w:b w:val="0"/>
                <w:color w:val="000000"/>
                <w:sz w:val="21"/>
              </w:rPr>
              <w:t>35.70</w:t>
            </w:r>
          </w:p>
        </w:tc>
        <w:tc>
          <w:tcPr>
            <w:tcW w:w="1741" w:type="dxa"/>
          </w:tcPr>
          <w:p w14:paraId="37014700">
            <w:pPr>
              <w:spacing w:after="0" w:line="276" w:lineRule="auto"/>
              <w:jc w:val="left"/>
            </w:pPr>
            <w:r>
              <w:rPr>
                <w:rFonts w:ascii="Times New Roman" w:hAnsi="Times New Roman" w:eastAsia="宋体"/>
                <w:b w:val="0"/>
                <w:color w:val="000000"/>
                <w:sz w:val="21"/>
              </w:rPr>
              <w:t>FAIL</w:t>
            </w:r>
          </w:p>
        </w:tc>
      </w:tr>
      <w:tr w14:paraId="1A69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741" w:type="dxa"/>
          </w:tcPr>
          <w:p w14:paraId="261DCA89">
            <w:pPr>
              <w:spacing w:after="0" w:line="276" w:lineRule="auto"/>
              <w:jc w:val="left"/>
            </w:pPr>
            <w:r>
              <w:rPr>
                <w:rFonts w:ascii="Times New Roman" w:hAnsi="Times New Roman" w:eastAsia="宋体"/>
                <w:b w:val="0"/>
                <w:color w:val="000000"/>
                <w:sz w:val="21"/>
              </w:rPr>
              <w:t>djy0906</w:t>
            </w:r>
          </w:p>
        </w:tc>
        <w:tc>
          <w:tcPr>
            <w:tcW w:w="1741" w:type="dxa"/>
          </w:tcPr>
          <w:p w14:paraId="6A608869">
            <w:pPr>
              <w:spacing w:after="0" w:line="276" w:lineRule="auto"/>
              <w:jc w:val="left"/>
            </w:pPr>
            <w:r>
              <w:rPr>
                <w:rFonts w:ascii="Times New Roman" w:hAnsi="Times New Roman" w:eastAsia="宋体"/>
                <w:b w:val="0"/>
                <w:color w:val="000000"/>
                <w:sz w:val="21"/>
              </w:rPr>
              <w:t>33.30</w:t>
            </w:r>
          </w:p>
        </w:tc>
        <w:tc>
          <w:tcPr>
            <w:tcW w:w="1741" w:type="dxa"/>
          </w:tcPr>
          <w:p w14:paraId="0F12101B">
            <w:pPr>
              <w:spacing w:after="0" w:line="276" w:lineRule="auto"/>
              <w:jc w:val="left"/>
            </w:pPr>
            <w:r>
              <w:rPr>
                <w:rFonts w:ascii="Times New Roman" w:hAnsi="Times New Roman" w:eastAsia="宋体"/>
                <w:b w:val="0"/>
                <w:color w:val="000000"/>
                <w:sz w:val="21"/>
              </w:rPr>
              <w:t>48.80</w:t>
            </w:r>
          </w:p>
        </w:tc>
        <w:tc>
          <w:tcPr>
            <w:tcW w:w="1741" w:type="dxa"/>
          </w:tcPr>
          <w:p w14:paraId="69BA4CA4">
            <w:pPr>
              <w:spacing w:after="0" w:line="276" w:lineRule="auto"/>
              <w:jc w:val="left"/>
            </w:pPr>
            <w:r>
              <w:rPr>
                <w:rFonts w:ascii="Times New Roman" w:hAnsi="Times New Roman" w:eastAsia="宋体"/>
                <w:b w:val="0"/>
                <w:color w:val="000000"/>
                <w:sz w:val="21"/>
              </w:rPr>
              <w:t>33.20</w:t>
            </w:r>
          </w:p>
        </w:tc>
        <w:tc>
          <w:tcPr>
            <w:tcW w:w="1741" w:type="dxa"/>
          </w:tcPr>
          <w:p w14:paraId="795EAFF5">
            <w:pPr>
              <w:spacing w:after="0" w:line="276" w:lineRule="auto"/>
              <w:jc w:val="left"/>
            </w:pPr>
            <w:r>
              <w:rPr>
                <w:rFonts w:ascii="Times New Roman" w:hAnsi="Times New Roman" w:eastAsia="宋体"/>
                <w:b w:val="0"/>
                <w:color w:val="000000"/>
                <w:sz w:val="21"/>
              </w:rPr>
              <w:t>FAIL</w:t>
            </w:r>
          </w:p>
        </w:tc>
      </w:tr>
    </w:tbl>
    <w:p w14:paraId="5AD28F2C">
      <w:pPr>
        <w:spacing w:after="60"/>
      </w:pPr>
    </w:p>
    <w:p w14:paraId="28114882">
      <w:pPr>
        <w:spacing w:before="0" w:after="120" w:line="312" w:lineRule="auto"/>
        <w:ind w:firstLine="480"/>
        <w:jc w:val="both"/>
      </w:pPr>
      <w:r>
        <w:rPr>
          <w:rFonts w:ascii="Times New Roman" w:hAnsi="Times New Roman" w:eastAsia="宋体"/>
          <w:b w:val="0"/>
          <w:color w:val="000000"/>
          <w:sz w:val="24"/>
        </w:rPr>
        <w:t xml:space="preserve">队列统计：末档微调三分类窗级均值 47.60%，中位数 45.60%，范围 33.30% 至 92.40%；各轮最高窗级均值 54.20%（中位数 54.70%，范围 40.90% 至 92.40%）；零样本三分类窗级均值 37.50%（中位数 37.60%）；12/20 通过场次门控；多数被试微调后不低于零样本底座。为检验「微调是否整体高于零样本」，对每名被试的一对读数（末档微调窗级 − 同口径零样本窗级）做配对 Wilcoxon 符号秩检验（单侧：微调更高；n=20）：统计量 </w:t>
      </w:r>
      <m:oMath>
        <m:r>
          <m:rPr/>
          <m:t>W=190</m:t>
        </m:r>
      </m:oMath>
      <w:r>
        <w:rPr>
          <w:rFonts w:ascii="Times New Roman" w:hAnsi="Times New Roman" w:eastAsia="宋体"/>
          <w:b w:val="0"/>
          <w:color w:val="000000"/>
          <w:sz w:val="24"/>
        </w:rPr>
        <w:t>，</w:t>
      </w:r>
      <m:oMath>
        <m:r>
          <m:rPr/>
          <m:t>p=6.6×</m:t>
        </m:r>
        <m:sSup>
          <m:sSupPr/>
          <m:e>
            <m:r>
              <m:rPr/>
              <m:t>10</m:t>
            </m:r>
          </m:e>
          <m:sup>
            <m:r>
              <m:rPr/>
              <m:t>−5</m:t>
            </m:r>
          </m:sup>
        </m:sSup>
      </m:oMath>
      <w:r>
        <w:rPr>
          <w:rFonts w:ascii="Times New Roman" w:hAnsi="Times New Roman" w:eastAsia="宋体"/>
          <w:b w:val="0"/>
          <w:color w:val="000000"/>
          <w:sz w:val="24"/>
        </w:rPr>
        <w:t xml:space="preserve">。含义是：在「微调并不更高」的零假设下，出现当前这种成对优势的概率约为 </w:t>
      </w:r>
      <m:oMath>
        <m:r>
          <m:rPr/>
          <m:t>6.6×</m:t>
        </m:r>
        <m:sSup>
          <m:sSupPr/>
          <m:e>
            <m:r>
              <m:rPr/>
              <m:t>10</m:t>
            </m:r>
          </m:e>
          <m:sup>
            <m:r>
              <m:rPr/>
              <m:t>−5</m:t>
            </m:r>
          </m:sup>
        </m:sSup>
      </m:oMath>
      <w:r>
        <w:rPr>
          <w:rFonts w:ascii="Times New Roman" w:hAnsi="Times New Roman" w:eastAsia="宋体"/>
          <w:b w:val="0"/>
          <w:color w:val="000000"/>
          <w:sz w:val="24"/>
        </w:rPr>
        <w:t>（即 0.0066%），故拒绝零假设，认定队列级增益显著（不是靠个别极值被试撑起来的）。门控阈值见 2.5 节；表列窗级为因果平滑末档，与门控原始窗级口径不同，故 cjf0831（平滑 46.80%，PASS）与 zyj0902（平滑 45.80%，FAIL）等邻近读数可因原始窗级/类占比/训练−保留差距触发不同判定。逐轮爬坡见图 15（橙柱为各轮最高，叠色时优先于 PASS/末档色）。个体最优 syj0828 窗级 92.40%、试次计分 41.5/45（想象类 33/36、静息 17/18），静息试次判对率 94.40%，为 2.6 节"多数票抑制空闲误报"提供了真人证据；该极值在 3.7 节链复现中种子差约 ±3.9 个百分点，解读为高表现个体而非单次偶然尖峰。</w:t>
      </w:r>
    </w:p>
    <w:p w14:paraId="12393774">
      <w:pPr>
        <w:spacing w:before="120" w:after="80"/>
        <w:jc w:val="center"/>
      </w:pPr>
      <w:r>
        <w:drawing>
          <wp:inline distT="0" distB="0" distL="114300" distR="114300">
            <wp:extent cx="5219700" cy="3827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220000" cy="3827225"/>
                    </a:xfrm>
                    <a:prstGeom prst="rect">
                      <a:avLst/>
                    </a:prstGeom>
                  </pic:spPr>
                </pic:pic>
              </a:graphicData>
            </a:graphic>
          </wp:inline>
        </w:drawing>
      </w:r>
    </w:p>
    <w:p w14:paraId="0217545A">
      <w:pPr>
        <w:spacing w:before="40" w:after="160" w:line="312" w:lineRule="auto"/>
        <w:jc w:val="center"/>
      </w:pPr>
      <w:r>
        <w:rPr>
          <w:rFonts w:ascii="Times New Roman" w:hAnsi="Times New Roman" w:eastAsia="宋体"/>
          <w:b w:val="0"/>
          <w:color w:val="000000"/>
          <w:sz w:val="21"/>
        </w:rPr>
        <w:t>图 15　真人被试 Leave-Next 逐轮微调三分类窗级（小倍数柱状）。 每面板一名被试，横轴为 Leave-Next 轮次 R1…Rn，纵轴为保留评测三分类窗级准确率（因果平滑，%）；橙色=该被试各轮最高（与 PASS 绿/末档主色重叠时优先用橙），绿=该轮门控 PASS，浅灰=FAIL，末档另加粗（非最高时）；虚线为三分类机会水平 33.3%。面板按末档窗级降序；含新增被试 djy0906 / wyf0906 / zyn0906。n=20，末档均值 47.60%，各轮最高均值 54.20%，末档 PASS 12/20。</w:t>
      </w:r>
    </w:p>
    <w:p w14:paraId="1202C302">
      <w:pPr>
        <w:spacing w:before="0" w:after="120" w:line="312" w:lineRule="auto"/>
        <w:ind w:firstLine="480"/>
        <w:jc w:val="both"/>
      </w:pPr>
      <w:r>
        <w:rPr>
          <w:rFonts w:ascii="Times New Roman" w:hAnsi="Times New Roman" w:eastAsia="宋体"/>
          <w:b w:val="0"/>
          <w:color w:val="000000"/>
          <w:sz w:val="24"/>
        </w:rPr>
        <w:t>这组数据给出两点结论。其一，闭环成立但分化显著：约六成被试末档过门控，个体差异（窗级 33.30% 至 92.40%）本身即个性化适配必要性的直接证据。其二，微调不能弥补信号质量短板：djy0906 末档窗级 33.30%（零样本 33.20%）与 xjh0828 微调后 45.30% 仍处低位，提示部分被试的信号质量或范式执行问题是适配无法弥补的，BCI 盲现象[4]在少样本闭环设定下依然存在。</w:t>
      </w:r>
    </w:p>
    <w:p w14:paraId="5DD68F4C">
      <w:pPr>
        <w:pStyle w:val="4"/>
        <w:spacing w:before="200" w:after="160" w:line="312" w:lineRule="auto"/>
      </w:pPr>
      <w:bookmarkStart w:id="26" w:name="_Toc19265"/>
      <w:r>
        <w:rPr>
          <w:rFonts w:ascii="Times New Roman" w:hAnsi="Times New Roman" w:eastAsia="黑体"/>
          <w:b/>
          <w:color w:val="000000"/>
          <w:sz w:val="30"/>
        </w:rPr>
        <w:t>3.7 适配增益的混杂分解与坍塌普查</w:t>
      </w:r>
      <w:bookmarkEnd w:id="26"/>
    </w:p>
    <w:p w14:paraId="7A1AD84B">
      <w:pPr>
        <w:spacing w:before="0" w:after="120" w:line="312" w:lineRule="auto"/>
        <w:ind w:firstLine="480"/>
        <w:jc w:val="both"/>
      </w:pPr>
      <w:r>
        <w:rPr>
          <w:rFonts w:ascii="Times New Roman" w:hAnsi="Times New Roman" w:eastAsia="宋体"/>
          <w:b w:val="0"/>
          <w:color w:val="000000"/>
          <w:sz w:val="24"/>
        </w:rPr>
        <w:t>研究问题：3.5–3.6 确立逐场次采后微调方案后，末档读数中"数据量增长、会话间质量漂移、会话内疲劳"各自贡献多少；类坍塌在保留评测读数中是否普遍。</w:t>
      </w:r>
    </w:p>
    <w:p w14:paraId="39D6D237">
      <w:pPr>
        <w:spacing w:before="0" w:after="120" w:line="312" w:lineRule="auto"/>
        <w:ind w:firstLine="480"/>
        <w:jc w:val="both"/>
      </w:pPr>
      <w:r>
        <w:rPr>
          <w:rFonts w:ascii="Times New Roman" w:hAnsi="Times New Roman" w:eastAsia="宋体"/>
          <w:b w:val="0"/>
          <w:color w:val="000000"/>
          <w:sz w:val="24"/>
        </w:rPr>
        <w:t>口径与前提。 本节与 3.6 节统一为 20 人登记账（2026-09-06；含 djy0906、wyf0906、zyn0906）。类坍塌普查、增益对照、会话内疲劳与质量关联、以及底座全链重放混杂分解均在该队列上报告。特征与预测分布均从既有落盘重放，重训仅使用线上已用的历史场次，保留评测场次永不进训练。</w:t>
      </w:r>
    </w:p>
    <w:p w14:paraId="515BDD1A">
      <w:pPr>
        <w:spacing w:before="0" w:after="120" w:line="312" w:lineRule="auto"/>
        <w:ind w:firstLine="480"/>
        <w:jc w:val="both"/>
      </w:pPr>
      <w:r>
        <w:rPr>
          <w:rFonts w:ascii="Times New Roman" w:hAnsi="Times New Roman" w:eastAsia="宋体"/>
          <w:b w:val="0"/>
          <w:color w:val="000000"/>
          <w:sz w:val="24"/>
        </w:rPr>
        <w:t>特征对表校验。 线上同一构建器重算确认特征管线无错位；手工带功率特征对左右判别接近机会水平，个体判别信息可由卷积网络从原始波形提取但不进入手工特征族——细节从略，信号层证据以下方类坍塌普查为准。</w:t>
      </w:r>
    </w:p>
    <w:p w14:paraId="36C54C82">
      <w:pPr>
        <w:spacing w:before="0" w:after="120" w:line="312" w:lineRule="auto"/>
        <w:ind w:firstLine="480"/>
        <w:jc w:val="both"/>
      </w:pPr>
      <w:r>
        <w:rPr>
          <w:rFonts w:ascii="Times New Roman" w:hAnsi="Times New Roman" w:eastAsia="宋体"/>
          <w:b w:val="0"/>
          <w:color w:val="000000"/>
          <w:sz w:val="24"/>
        </w:rPr>
        <w:t>类坍塌普查。 对全部 20 人 × 每轮 Leave-Next 重放落盘的保留评测试次级读出（因果平滑多数票）统计坍塌指标。发生率定义（预注册）：试次级预测分布熵 &lt;0.5，或保留评测最大类占比 ≥0.8，或 MI 试次异侧率 ≥0.7，任一成立记"坍塌轮"。结果：末轮坍塌仅 1/20（fnz0830，精确二项 95% CI [0.1%, 24.9%]）；全轮口径下稳定坍塌 2 人、偶发 5 人、无坍塌 13 人。BCI2a 仿真同口径坍塌占比 33.3%，与真人 35.0%（7/20 曾出现坍塌轮）同量级，指向共性的任务难度/配方因素而非个体异常。因此，3.6 节中多数被试停在 40–55% 窄带的现象应表述为"弱而稳"，类坍塌本身是个案（cyy0830、lmy0904、fnz0830）而非普遍机制。</w:t>
      </w:r>
    </w:p>
    <w:p w14:paraId="3B0C4A66">
      <w:pPr>
        <w:spacing w:before="0" w:after="120" w:line="312" w:lineRule="auto"/>
        <w:ind w:firstLine="480"/>
        <w:jc w:val="both"/>
      </w:pPr>
      <w:r>
        <w:rPr>
          <w:rFonts w:ascii="Times New Roman" w:hAnsi="Times New Roman" w:eastAsia="宋体"/>
          <w:b w:val="0"/>
          <w:color w:val="000000"/>
          <w:sz w:val="24"/>
        </w:rPr>
        <w:t>疲劳与质量关联。 会话内疲劳的唯一预注册主要检验（Rest 段 μ 功率随试次序号上升）仅在 50.0% 的个体成立（n=20，无一致性方向），即本范式单场约 8 分钟的时长内未见会话内疲劳信号；末档增益与采集质量指标（饱和率）的被试级相关弱且不显著（Spearman r=0.040，p=0.87），既有信号质量门控未覆盖"会话贡献"维度。</w:t>
      </w:r>
    </w:p>
    <w:p w14:paraId="07C4E094">
      <w:pPr>
        <w:spacing w:before="0" w:after="120" w:line="312" w:lineRule="auto"/>
        <w:ind w:firstLine="480"/>
        <w:jc w:val="both"/>
      </w:pPr>
      <w:r>
        <w:rPr>
          <w:rFonts w:ascii="Times New Roman" w:hAnsi="Times New Roman" w:eastAsia="宋体"/>
          <w:b w:val="0"/>
          <w:color w:val="000000"/>
          <w:sz w:val="24"/>
        </w:rPr>
        <w:t>训练集构造的混杂分解（底座全链重放）。 以冻结预训练底座为唯一起点，对每人独立重放整条 Leave-Next 微调链，比较五种训练集构造（A1 全历史 / A2 仅最近一场 / A3 同量时间均匀抽样 / A4 场次顺序打乱 / A5 源域回放比例 5–20%），5 个随机种子、同种子配对、末轮保留评测：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23C0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1C686A73">
            <w:pPr>
              <w:spacing w:after="0" w:line="276" w:lineRule="auto"/>
              <w:jc w:val="center"/>
            </w:pPr>
            <w:r>
              <w:rPr>
                <w:rFonts w:ascii="Times New Roman" w:hAnsi="Times New Roman" w:eastAsia="宋体"/>
                <w:b w:val="0"/>
                <w:color w:val="000000"/>
                <w:sz w:val="21"/>
              </w:rPr>
              <w:t>读数</w:t>
            </w:r>
          </w:p>
        </w:tc>
        <w:tc>
          <w:tcPr>
            <w:tcW w:w="2902" w:type="dxa"/>
            <w:shd w:val="clear" w:color="auto" w:fill="D9E2F3"/>
          </w:tcPr>
          <w:p w14:paraId="465E8826">
            <w:pPr>
              <w:spacing w:after="0" w:line="276" w:lineRule="auto"/>
              <w:jc w:val="center"/>
            </w:pPr>
            <w:r>
              <w:rPr>
                <w:rFonts w:ascii="Times New Roman" w:hAnsi="Times New Roman" w:eastAsia="宋体"/>
                <w:b w:val="0"/>
                <w:color w:val="000000"/>
                <w:sz w:val="21"/>
              </w:rPr>
              <w:t>队列结果</w:t>
            </w:r>
          </w:p>
        </w:tc>
        <w:tc>
          <w:tcPr>
            <w:tcW w:w="2902" w:type="dxa"/>
            <w:shd w:val="clear" w:color="auto" w:fill="D9E2F3"/>
          </w:tcPr>
          <w:p w14:paraId="1AA34648">
            <w:pPr>
              <w:spacing w:after="0" w:line="276" w:lineRule="auto"/>
              <w:jc w:val="center"/>
            </w:pPr>
            <w:r>
              <w:rPr>
                <w:rFonts w:ascii="Times New Roman" w:hAnsi="Times New Roman" w:eastAsia="宋体"/>
                <w:b w:val="0"/>
                <w:color w:val="000000"/>
                <w:sz w:val="21"/>
              </w:rPr>
              <w:t>判读</w:t>
            </w:r>
          </w:p>
        </w:tc>
      </w:tr>
      <w:tr w14:paraId="12B1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02C6B45">
            <w:pPr>
              <w:spacing w:after="0" w:line="276" w:lineRule="auto"/>
              <w:jc w:val="left"/>
            </w:pPr>
            <w:r>
              <w:rPr>
                <w:rFonts w:ascii="Times New Roman" w:hAnsi="Times New Roman" w:eastAsia="宋体"/>
                <w:b w:val="0"/>
                <w:color w:val="000000"/>
                <w:sz w:val="21"/>
              </w:rPr>
              <w:t>数据量效应（全历史 − 仅最近一场）</w:t>
            </w:r>
          </w:p>
        </w:tc>
        <w:tc>
          <w:tcPr>
            <w:tcW w:w="2902" w:type="dxa"/>
          </w:tcPr>
          <w:p w14:paraId="0C995114">
            <w:pPr>
              <w:spacing w:after="0" w:line="276" w:lineRule="auto"/>
              <w:jc w:val="left"/>
            </w:pPr>
            <w:r>
              <w:rPr>
                <w:rFonts w:ascii="Times New Roman" w:hAnsi="Times New Roman" w:eastAsia="宋体"/>
                <w:b w:val="0"/>
                <w:color w:val="000000"/>
                <w:sz w:val="21"/>
              </w:rPr>
              <w:t>+3.5 个百分点（同号比例 60.0%）</w:t>
            </w:r>
          </w:p>
        </w:tc>
        <w:tc>
          <w:tcPr>
            <w:tcW w:w="2902" w:type="dxa"/>
          </w:tcPr>
          <w:p w14:paraId="11F6AA8A">
            <w:pPr>
              <w:spacing w:after="0" w:line="276" w:lineRule="auto"/>
              <w:jc w:val="left"/>
            </w:pPr>
            <w:r>
              <w:rPr>
                <w:rFonts w:ascii="Times New Roman" w:hAnsi="Times New Roman" w:eastAsia="宋体"/>
                <w:b w:val="0"/>
                <w:color w:val="000000"/>
                <w:sz w:val="21"/>
              </w:rPr>
              <w:t>数据量为部分贡献：均值过 +3 个百分点线，但个体同号率不足 2/3，"随数据变强"并非普遍规律</w:t>
            </w:r>
          </w:p>
        </w:tc>
      </w:tr>
      <w:tr w14:paraId="210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E72303B">
            <w:pPr>
              <w:spacing w:after="0" w:line="276" w:lineRule="auto"/>
              <w:jc w:val="left"/>
            </w:pPr>
            <w:r>
              <w:rPr>
                <w:rFonts w:ascii="Times New Roman" w:hAnsi="Times New Roman" w:eastAsia="宋体"/>
                <w:b w:val="0"/>
                <w:color w:val="000000"/>
                <w:sz w:val="21"/>
              </w:rPr>
              <w:t>近因效应（均匀抽样 − 仅最近一场）</w:t>
            </w:r>
          </w:p>
        </w:tc>
        <w:tc>
          <w:tcPr>
            <w:tcW w:w="2902" w:type="dxa"/>
          </w:tcPr>
          <w:p w14:paraId="268B82B0">
            <w:pPr>
              <w:spacing w:after="0" w:line="276" w:lineRule="auto"/>
              <w:jc w:val="left"/>
            </w:pPr>
            <w:r>
              <w:rPr>
                <w:rFonts w:ascii="Times New Roman" w:hAnsi="Times New Roman" w:eastAsia="宋体"/>
                <w:b w:val="0"/>
                <w:color w:val="000000"/>
                <w:sz w:val="21"/>
              </w:rPr>
              <w:t>−4.0 个百分点</w:t>
            </w:r>
          </w:p>
        </w:tc>
        <w:tc>
          <w:tcPr>
            <w:tcW w:w="2902" w:type="dxa"/>
          </w:tcPr>
          <w:p w14:paraId="607190F9">
            <w:pPr>
              <w:spacing w:after="0" w:line="276" w:lineRule="auto"/>
              <w:jc w:val="left"/>
            </w:pPr>
            <w:r>
              <w:rPr>
                <w:rFonts w:ascii="Times New Roman" w:hAnsi="Times New Roman" w:eastAsia="宋体"/>
                <w:b w:val="0"/>
                <w:color w:val="000000"/>
                <w:sz w:val="21"/>
              </w:rPr>
              <w:t>同数据量下"时间均匀抽历史"反而劣于"仅最近一场"，说明近因状态匹配的价值高于历史采样</w:t>
            </w:r>
          </w:p>
        </w:tc>
      </w:tr>
      <w:tr w14:paraId="23BE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CAEFAE2">
            <w:pPr>
              <w:spacing w:after="0" w:line="276" w:lineRule="auto"/>
              <w:jc w:val="left"/>
            </w:pPr>
            <w:r>
              <w:rPr>
                <w:rFonts w:ascii="Times New Roman" w:hAnsi="Times New Roman" w:eastAsia="宋体"/>
                <w:b w:val="0"/>
                <w:color w:val="000000"/>
                <w:sz w:val="21"/>
              </w:rPr>
              <w:t>顺序效应（正常顺序 − 打乱顺序）</w:t>
            </w:r>
          </w:p>
        </w:tc>
        <w:tc>
          <w:tcPr>
            <w:tcW w:w="2902" w:type="dxa"/>
          </w:tcPr>
          <w:p w14:paraId="108790D3">
            <w:pPr>
              <w:spacing w:after="0" w:line="276" w:lineRule="auto"/>
              <w:jc w:val="left"/>
            </w:pPr>
            <w:r>
              <w:rPr>
                <w:rFonts w:ascii="Times New Roman" w:hAnsi="Times New Roman" w:eastAsia="宋体"/>
                <w:b w:val="0"/>
                <w:color w:val="000000"/>
                <w:sz w:val="21"/>
              </w:rPr>
              <w:t>≈0（−0.4 个百分点）</w:t>
            </w:r>
          </w:p>
        </w:tc>
        <w:tc>
          <w:tcPr>
            <w:tcW w:w="2902" w:type="dxa"/>
          </w:tcPr>
          <w:p w14:paraId="372C6BDD">
            <w:pPr>
              <w:spacing w:after="0" w:line="276" w:lineRule="auto"/>
              <w:jc w:val="left"/>
            </w:pPr>
            <w:r>
              <w:rPr>
                <w:rFonts w:ascii="Times New Roman" w:hAnsi="Times New Roman" w:eastAsia="宋体"/>
                <w:b w:val="0"/>
                <w:color w:val="000000"/>
                <w:sz w:val="21"/>
              </w:rPr>
              <w:t>场次顺序本身不携带信息</w:t>
            </w:r>
          </w:p>
        </w:tc>
      </w:tr>
      <w:tr w14:paraId="656E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C93FEE0">
            <w:pPr>
              <w:spacing w:after="0" w:line="276" w:lineRule="auto"/>
              <w:jc w:val="left"/>
            </w:pPr>
            <w:r>
              <w:rPr>
                <w:rFonts w:ascii="Times New Roman" w:hAnsi="Times New Roman" w:eastAsia="宋体"/>
                <w:b w:val="0"/>
                <w:color w:val="000000"/>
                <w:sz w:val="21"/>
              </w:rPr>
              <w:t>回放比例效应（源域回放 5–20% 扫描）</w:t>
            </w:r>
          </w:p>
        </w:tc>
        <w:tc>
          <w:tcPr>
            <w:tcW w:w="2902" w:type="dxa"/>
          </w:tcPr>
          <w:p w14:paraId="79EB6DF1">
            <w:pPr>
              <w:spacing w:after="0" w:line="276" w:lineRule="auto"/>
              <w:jc w:val="left"/>
            </w:pPr>
            <w:r>
              <w:rPr>
                <w:rFonts w:ascii="Times New Roman" w:hAnsi="Times New Roman" w:eastAsia="宋体"/>
                <w:b w:val="0"/>
                <w:color w:val="000000"/>
                <w:sz w:val="21"/>
              </w:rPr>
              <w:t>回放比例每提高 1%，保留评测约降 0.044 个百分点</w:t>
            </w:r>
          </w:p>
        </w:tc>
        <w:tc>
          <w:tcPr>
            <w:tcW w:w="2902" w:type="dxa"/>
          </w:tcPr>
          <w:p w14:paraId="1761EBD5">
            <w:pPr>
              <w:spacing w:after="0" w:line="276" w:lineRule="auto"/>
              <w:jc w:val="left"/>
            </w:pPr>
            <w:r>
              <w:rPr>
                <w:rFonts w:ascii="Times New Roman" w:hAnsi="Times New Roman" w:eastAsia="宋体"/>
                <w:b w:val="0"/>
                <w:color w:val="000000"/>
                <w:sz w:val="21"/>
              </w:rPr>
              <w:t>真人队列上提高源域回放比例反而降低保留评测精度（与仿真防遗忘作用方向相反，附报）</w:t>
            </w:r>
          </w:p>
        </w:tc>
      </w:tr>
    </w:tbl>
    <w:p w14:paraId="46005210">
      <w:pPr>
        <w:spacing w:after="60"/>
      </w:pPr>
    </w:p>
    <w:p w14:paraId="138D0F25">
      <w:pPr>
        <w:spacing w:before="0" w:after="120" w:line="312" w:lineRule="auto"/>
        <w:ind w:firstLine="480"/>
        <w:jc w:val="both"/>
      </w:pPr>
      <w:r>
        <w:rPr>
          <w:rFonts w:ascii="Times New Roman" w:hAnsi="Times New Roman" w:eastAsia="宋体"/>
          <w:b w:val="0"/>
          <w:color w:val="000000"/>
          <w:sz w:val="24"/>
        </w:rPr>
        <w:t>个体分布呈明确二态：强受益组 syj0828 +37.2 个百分点（全历史链 95.60% 对仅最近一场链 58.30%）、wzr0830 +21.1、lsy0903 +20.0、zyj0902 +13.3；反受害组 fnz0830 −20.0（全历史链仅 9.10%，劣于仅最近一场链的 29.10%）、cyy0830 −13.3、cjf0831 −8.3。fnz0830 即类坍塌普查中末轮坍塌的个案，构成"低质量会话进入历史链主动污染模型"的直接证据。链复现方面，全历史链重放与线上在用权重的一致性在多数个体 ±1.5 个百分点内，个别（syj0828 +3.9 个百分点）超出，提示逐场次链的种子级非确定性约 ±3 个百分点，配对比较不受影响。</w:t>
      </w:r>
    </w:p>
    <w:p w14:paraId="319B6E69">
      <w:pPr>
        <w:spacing w:before="0" w:after="120" w:line="312" w:lineRule="auto"/>
        <w:ind w:firstLine="480"/>
        <w:jc w:val="both"/>
      </w:pPr>
      <w:r>
        <w:rPr>
          <w:rFonts w:ascii="Times New Roman" w:hAnsi="Times New Roman" w:eastAsia="宋体"/>
          <w:b w:val="0"/>
          <w:color w:val="000000"/>
          <w:sz w:val="24"/>
        </w:rPr>
        <w:t>与 BCI2a 仿真的增益对照。 在同一指标族下（三分类窗级增益 = 末档 − 零样本），BCI2a 九人增益全部为正且集中（+20.5 至 +45.4 个百分点，均值 +32.5），真人二十人增益全员非负但幅度小且分散（0 至 +51.0 个百分点，均值 +10.1、中位数 +6.7）；仿真最差个体（+20.5）高于真人中位数。该对照与上方坍塌普查共同说明：逐场次方案在理想条件（同范式、无疲劳、无阻抗漂移）下有效且增益稳定，真人队列的折损来自状态与数据质量，而非方案本身（图 16；各轮最高口径见图 17）。</w:t>
      </w:r>
    </w:p>
    <w:p w14:paraId="2D3A2581">
      <w:pPr>
        <w:spacing w:before="120" w:after="80"/>
        <w:jc w:val="center"/>
      </w:pPr>
      <w:r>
        <w:drawing>
          <wp:inline distT="0" distB="0" distL="114300" distR="114300">
            <wp:extent cx="5219700" cy="202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220000" cy="2022380"/>
                    </a:xfrm>
                    <a:prstGeom prst="rect">
                      <a:avLst/>
                    </a:prstGeom>
                  </pic:spPr>
                </pic:pic>
              </a:graphicData>
            </a:graphic>
          </wp:inline>
        </w:drawing>
      </w:r>
    </w:p>
    <w:p w14:paraId="72A30954">
      <w:pPr>
        <w:spacing w:before="40" w:after="160" w:line="312" w:lineRule="auto"/>
        <w:jc w:val="center"/>
      </w:pPr>
      <w:r>
        <w:rPr>
          <w:rFonts w:ascii="Times New Roman" w:hAnsi="Times New Roman" w:eastAsia="宋体"/>
          <w:b w:val="0"/>
          <w:color w:val="000000"/>
          <w:sz w:val="21"/>
        </w:rPr>
        <w:t>图 16　BCI2a 仿真与真人队列的适配增益对照（n=9 对 n=20，三分类窗级，末档口径）。 左为队列均值抬升（仿真 +32.5、真人 +10.1 个百分点）；右为每人增益 Δ（蓝=BCI2a，绿/红=真人 PASS/FAIL）。仿真最差个体（+20.5）仍高于真人中位数（+6.7）。</w:t>
      </w:r>
    </w:p>
    <w:p w14:paraId="0F351F52">
      <w:pPr>
        <w:spacing w:before="120" w:after="80"/>
        <w:jc w:val="center"/>
      </w:pPr>
      <w:r>
        <w:drawing>
          <wp:inline distT="0" distB="0" distL="114300" distR="114300">
            <wp:extent cx="5219700" cy="202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220000" cy="2022380"/>
                    </a:xfrm>
                    <a:prstGeom prst="rect">
                      <a:avLst/>
                    </a:prstGeom>
                  </pic:spPr>
                </pic:pic>
              </a:graphicData>
            </a:graphic>
          </wp:inline>
        </w:drawing>
      </w:r>
    </w:p>
    <w:p w14:paraId="1D144252">
      <w:pPr>
        <w:spacing w:before="40" w:after="160" w:line="312" w:lineRule="auto"/>
        <w:jc w:val="center"/>
      </w:pPr>
      <w:r>
        <w:rPr>
          <w:rFonts w:ascii="Times New Roman" w:hAnsi="Times New Roman" w:eastAsia="宋体"/>
          <w:b w:val="0"/>
          <w:color w:val="000000"/>
          <w:sz w:val="21"/>
        </w:rPr>
        <w:t>图 17　同图 16 版式，改为各轮最高口径。 仿真 33.8%→68.0%（+34.2 个百分点），真人 37.5%→54.2%（+16.7 个百分点）；相对末档，真人抬升更明显，部分被试峰值在中段轮次。</w:t>
      </w:r>
    </w:p>
    <w:p w14:paraId="299B72AB">
      <w:pPr>
        <w:spacing w:before="0" w:after="120" w:line="312" w:lineRule="auto"/>
        <w:ind w:firstLine="480"/>
        <w:jc w:val="both"/>
      </w:pPr>
      <w:r>
        <w:rPr>
          <w:rFonts w:ascii="Times New Roman" w:hAnsi="Times New Roman" w:eastAsia="宋体"/>
          <w:b w:val="0"/>
          <w:color w:val="000000"/>
          <w:sz w:val="24"/>
        </w:rPr>
        <w:t>结论。 末档读数 = 模型能力 × 会话状态的乘积：数据量是部分且异质的贡献源（约 1/3 个体强受益、1/3 反受害），会话质量漂移可经历史链反向传播（负增益），会话内疲劳在本范式时长下可排除，类坍塌为个案。由此产生两条工程推论：其一，增量微调前应做会话级贡献审计（候选会话进链与仅用上一轮权重的保留评测对比，增益 ≤0 则拒绝吸收，可自动拦截 fnz0830 型污染）；其二，"随数据积累而增强"的表述在对外口径中限定为"数据量贡献个体二态"。</w:t>
      </w:r>
    </w:p>
    <w:p w14:paraId="7F0510E2">
      <w:pPr>
        <w:pStyle w:val="3"/>
        <w:spacing w:before="280" w:after="160" w:line="312" w:lineRule="auto"/>
        <w:jc w:val="center"/>
      </w:pPr>
      <w:bookmarkStart w:id="27" w:name="_Toc25595"/>
      <w:r>
        <w:rPr>
          <w:rFonts w:ascii="Times New Roman" w:hAnsi="Times New Roman" w:eastAsia="黑体"/>
          <w:b/>
          <w:color w:val="000000"/>
          <w:sz w:val="32"/>
        </w:rPr>
        <w:t>4 讨论</w:t>
      </w:r>
      <w:bookmarkEnd w:id="27"/>
    </w:p>
    <w:p w14:paraId="4FE6AF14">
      <w:pPr>
        <w:spacing w:before="0" w:after="120" w:line="312" w:lineRule="auto"/>
        <w:ind w:firstLine="480"/>
        <w:jc w:val="both"/>
      </w:pPr>
      <w:r>
        <w:rPr>
          <w:rFonts w:ascii="Times New Roman" w:hAnsi="Times New Roman" w:eastAsia="宋体"/>
          <w:b w:val="0"/>
          <w:color w:val="000000"/>
          <w:sz w:val="24"/>
        </w:rPr>
        <w:t>增益来源。 在已测方法族内，结构增强、自监督表征、未来信息与测试时统计对齐均未形成稳定增益。瓶颈不在继续叠加通用解码模块，而在个体分布差距需由概率校准融合与权重级微调吸收（见第 3 章）。</w:t>
      </w:r>
    </w:p>
    <w:p w14:paraId="3E2876C2">
      <w:pPr>
        <w:spacing w:before="0" w:after="120" w:line="312" w:lineRule="auto"/>
        <w:ind w:firstLine="480"/>
        <w:jc w:val="both"/>
      </w:pPr>
      <w:r>
        <w:rPr>
          <w:rFonts w:ascii="Times New Roman" w:hAnsi="Times New Roman" w:eastAsia="宋体"/>
          <w:b w:val="0"/>
          <w:color w:val="000000"/>
          <w:sz w:val="24"/>
        </w:rPr>
        <w:t>Leave-Next 的适用边界。 逐场次采后微调是部署与主评测口径：能跟踪场间漂移并给出适配曲线；前半/后半切分只回答「微调是否必要」，保留用于跨库机制验证。两方案尚无同库头对头对照，属后续实验位。工程上，3.7 节表明「数据越多越强」并非普遍规律，宜将场次门控升级为会话贡献审计（候选会话进链前对照上一权重，增益非正则拒收）。</w:t>
      </w:r>
    </w:p>
    <w:p w14:paraId="3E8255D3">
      <w:pPr>
        <w:spacing w:before="0" w:after="120" w:line="312" w:lineRule="auto"/>
        <w:ind w:firstLine="480"/>
        <w:jc w:val="both"/>
      </w:pPr>
      <w:r>
        <w:rPr>
          <w:rFonts w:ascii="Times New Roman" w:hAnsi="Times New Roman" w:eastAsia="宋体"/>
          <w:b w:val="0"/>
          <w:color w:val="000000"/>
          <w:sz w:val="24"/>
        </w:rPr>
        <w:t>评测纪律。 小样本折内拟合融合权易产生乐观偏置，故对外准确率以留一被试或被试独立测试折为准，折内仅作附报。预注册管住算法采纳阈值；程序终态后的提交决策另依验证支撑与崩溃风险准则，二者互补。</w:t>
      </w:r>
    </w:p>
    <w:p w14:paraId="43A8CBC9">
      <w:pPr>
        <w:spacing w:before="0" w:after="120" w:line="312" w:lineRule="auto"/>
        <w:ind w:firstLine="480"/>
        <w:jc w:val="both"/>
      </w:pPr>
      <w:r>
        <w:rPr>
          <w:rFonts w:ascii="Times New Roman" w:hAnsi="Times New Roman" w:eastAsia="宋体"/>
          <w:b w:val="0"/>
          <w:color w:val="000000"/>
          <w:sz w:val="24"/>
        </w:rPr>
        <w:t>无门控异步的边界。 本报告「异步」指：试次内部每 100 ms 因果滑窗连续判定，但试次之间的起止由 Cue/时间表规定（非用户任意时刻发起意图）。在此范围内，显式空闲类 + 试次内多数票给出确定延迟，结构化试次内误触发可控。若扩展到自由异步，试次结构先验与延迟确定性不再成立，可另评置信策略，但不改正式口径。</w:t>
      </w:r>
    </w:p>
    <w:p w14:paraId="1D14F1FE">
      <w:pPr>
        <w:spacing w:before="0" w:after="120" w:line="312" w:lineRule="auto"/>
        <w:ind w:firstLine="480"/>
        <w:jc w:val="both"/>
      </w:pPr>
      <w:r>
        <w:rPr>
          <w:rFonts w:ascii="Times New Roman" w:hAnsi="Times New Roman" w:eastAsia="宋体"/>
          <w:b w:val="0"/>
          <w:color w:val="000000"/>
          <w:sz w:val="24"/>
        </w:rPr>
        <w:t>局限性。 在线评测以实验室链路为主，电磁干扰、佩戴稳定性与长期漂移覆盖不足；指定集提交依据验证支撑外推，而非测试集证据。</w:t>
      </w:r>
    </w:p>
    <w:p w14:paraId="43E57787">
      <w:pPr>
        <w:pStyle w:val="3"/>
        <w:spacing w:before="280" w:after="160" w:line="312" w:lineRule="auto"/>
        <w:jc w:val="center"/>
      </w:pPr>
      <w:bookmarkStart w:id="28" w:name="_Toc27274"/>
      <w:r>
        <w:rPr>
          <w:rFonts w:ascii="Times New Roman" w:hAnsi="Times New Roman" w:eastAsia="黑体"/>
          <w:b/>
          <w:color w:val="000000"/>
          <w:sz w:val="32"/>
        </w:rPr>
        <w:t>5 结论与展望</w:t>
      </w:r>
      <w:bookmarkEnd w:id="28"/>
    </w:p>
    <w:p w14:paraId="54366E39">
      <w:pPr>
        <w:spacing w:before="0" w:after="120" w:line="312" w:lineRule="auto"/>
        <w:ind w:firstLine="480"/>
        <w:jc w:val="both"/>
      </w:pPr>
      <w:r>
        <w:rPr>
          <w:rFonts w:ascii="Times New Roman" w:hAnsi="Times New Roman" w:eastAsia="宋体"/>
          <w:b w:val="0"/>
          <w:color w:val="000000"/>
          <w:sz w:val="24"/>
        </w:rPr>
        <w:t>对照赛题任务，本文在离线评测、跨库/仿真适配与真人闭环上给出主要结果如下。OpenBMI 被试独立五折三分类窗级准确率 61.88%（macro 特异性 80.94%；试次级多数票 61.25%）。主办方指定集留一被试准确率 51.11%±6.57%，折内乐观偏置 +4.7 个百分点已量化。Stieger 跨库由零样本 41.98% 提升至采后微调 65.90%；BCI2a Leave-Next 仿真末档 66.30%，较仅微调浅层单成员高 21.1 个百分点。20 人真人队列末档微调窗级均值 47.60%、最优 92.40%（零样本均值 37.50%），12/20 通过场次质量门控。在线单窗前向 1.11 ms，判定延迟约 3.5 s。增益主要来自更长窗口、概率校准集成与权重级适配；贡献在于全链路系统整合与评测纪律，而非新的单一网络结构。</w:t>
      </w:r>
    </w:p>
    <w:p w14:paraId="17186FB7">
      <w:pPr>
        <w:spacing w:before="0" w:after="120" w:line="312" w:lineRule="auto"/>
        <w:ind w:firstLine="480"/>
        <w:jc w:val="both"/>
      </w:pPr>
      <w:r>
        <w:rPr>
          <w:rFonts w:ascii="Times New Roman" w:hAnsi="Times New Roman" w:eastAsia="宋体"/>
          <w:b w:val="0"/>
          <w:color w:val="000000"/>
          <w:sz w:val="24"/>
        </w:rPr>
        <w:t>后续可加强自采数据对底座的支撑，把场次门控升级为会话贡献审计，并面向康复训练与辅具场景做更长期验证。</w:t>
      </w:r>
    </w:p>
    <w:p w14:paraId="526A84A0">
      <w:pPr>
        <w:pStyle w:val="3"/>
        <w:spacing w:before="280" w:after="160" w:line="312" w:lineRule="auto"/>
        <w:jc w:val="center"/>
      </w:pPr>
      <w:bookmarkStart w:id="29" w:name="_Toc27675"/>
      <w:r>
        <w:rPr>
          <w:rFonts w:ascii="Times New Roman" w:hAnsi="Times New Roman" w:eastAsia="黑体"/>
          <w:b/>
          <w:color w:val="000000"/>
          <w:sz w:val="32"/>
        </w:rPr>
        <w:t>参考文献</w:t>
      </w:r>
      <w:bookmarkEnd w:id="29"/>
    </w:p>
    <w:p w14:paraId="1FCF5383">
      <w:pPr>
        <w:spacing w:before="0" w:after="120" w:line="312" w:lineRule="auto"/>
        <w:ind w:firstLine="480"/>
        <w:jc w:val="both"/>
      </w:pPr>
      <w:r>
        <w:rPr>
          <w:rFonts w:ascii="Times New Roman" w:hAnsi="Times New Roman" w:eastAsia="宋体"/>
          <w:b w:val="0"/>
          <w:color w:val="000000"/>
          <w:sz w:val="24"/>
        </w:rPr>
        <w:t>[1] Pfurtscheller G, Neuper C. Motor imagery and direct brain-computer communication[J]. Proceedings of the IEEE, 2001, 89(7): 1123-1134.</w:t>
      </w:r>
    </w:p>
    <w:p w14:paraId="1327EE6B">
      <w:pPr>
        <w:spacing w:before="0" w:after="120" w:line="312" w:lineRule="auto"/>
        <w:ind w:firstLine="480"/>
        <w:jc w:val="both"/>
      </w:pPr>
      <w:r>
        <w:rPr>
          <w:rFonts w:ascii="Times New Roman" w:hAnsi="Times New Roman" w:eastAsia="宋体"/>
          <w:b w:val="0"/>
          <w:color w:val="000000"/>
          <w:sz w:val="24"/>
        </w:rPr>
        <w:t>[2] Pfurtscheller G, Lopes da Silva F H. Event-related EEG/MEG synchronization and desynchronization: basic principles[J]. Clinical Neurophysiology, 1999, 110(11): 1842-1857.</w:t>
      </w:r>
    </w:p>
    <w:p w14:paraId="4F3FF0D4">
      <w:pPr>
        <w:spacing w:before="0" w:after="120" w:line="312" w:lineRule="auto"/>
        <w:ind w:firstLine="480"/>
        <w:jc w:val="both"/>
      </w:pPr>
      <w:r>
        <w:rPr>
          <w:rFonts w:ascii="Times New Roman" w:hAnsi="Times New Roman" w:eastAsia="宋体"/>
          <w:b w:val="0"/>
          <w:color w:val="000000"/>
          <w:sz w:val="24"/>
        </w:rPr>
        <w:t>[3] Tangermann M, Müller K-R, Aertsen A, et al. Review of the BCI Competition IV[J]. Frontiers in Neuroscience, 2012, 6: 55.</w:t>
      </w:r>
    </w:p>
    <w:p w14:paraId="64E5EF0D">
      <w:pPr>
        <w:spacing w:before="0" w:after="120" w:line="312" w:lineRule="auto"/>
        <w:ind w:firstLine="480"/>
        <w:jc w:val="both"/>
      </w:pPr>
      <w:r>
        <w:rPr>
          <w:rFonts w:ascii="Times New Roman" w:hAnsi="Times New Roman" w:eastAsia="宋体"/>
          <w:b w:val="0"/>
          <w:color w:val="000000"/>
          <w:sz w:val="24"/>
        </w:rPr>
        <w:t>[4] Lee M-H, Kwon O-Y, Kim Y-J, et al. EEG dataset and OpenBMI toolbox for three BCI paradigms: an investigation into BCI illiteracy[J]. GigaScience, 2019, 8(5): giz002.</w:t>
      </w:r>
    </w:p>
    <w:p w14:paraId="47F8DB1C">
      <w:pPr>
        <w:spacing w:before="0" w:after="120" w:line="312" w:lineRule="auto"/>
        <w:ind w:firstLine="480"/>
        <w:jc w:val="both"/>
      </w:pPr>
      <w:r>
        <w:rPr>
          <w:rFonts w:ascii="Times New Roman" w:hAnsi="Times New Roman" w:eastAsia="宋体"/>
          <w:b w:val="0"/>
          <w:color w:val="000000"/>
          <w:sz w:val="24"/>
        </w:rPr>
        <w:t>[5] Stieger J R, Engel S A, He B. Continuous sensorimotor rhythm based brain computer interface learning in a large population[J]. Scientific Data, 2021, 8: 98.</w:t>
      </w:r>
    </w:p>
    <w:p w14:paraId="1566E1B0">
      <w:pPr>
        <w:spacing w:before="0" w:after="120" w:line="312" w:lineRule="auto"/>
        <w:ind w:firstLine="480"/>
        <w:jc w:val="both"/>
      </w:pPr>
      <w:r>
        <w:rPr>
          <w:rFonts w:ascii="Times New Roman" w:hAnsi="Times New Roman" w:eastAsia="宋体"/>
          <w:b w:val="0"/>
          <w:color w:val="000000"/>
          <w:sz w:val="24"/>
        </w:rPr>
        <w:t>[6] Lawhern V J, Solon A J, Waytowich N R, et al. EEGNet: a compact convolutional neural network for EEG-based brain-computer interfaces[J]. Journal of Neural Engineering, 2018, 15(5): 056013.</w:t>
      </w:r>
    </w:p>
    <w:p w14:paraId="1915D4BD">
      <w:pPr>
        <w:spacing w:before="0" w:after="120" w:line="312" w:lineRule="auto"/>
        <w:ind w:firstLine="480"/>
        <w:jc w:val="both"/>
      </w:pPr>
      <w:r>
        <w:rPr>
          <w:rFonts w:ascii="Times New Roman" w:hAnsi="Times New Roman" w:eastAsia="宋体"/>
          <w:b w:val="0"/>
          <w:color w:val="000000"/>
          <w:sz w:val="24"/>
        </w:rPr>
        <w:t>[7] Schirrmeister R T, Springenberg J T, Fiederer L D J, et al. Deep learning with convolutional neural networks for EEG decoding and visualization[J]. Human Brain Mapping, 2017, 38(11): 5391-5420.</w:t>
      </w:r>
    </w:p>
    <w:p w14:paraId="7A92AABE">
      <w:pPr>
        <w:spacing w:before="0" w:after="120" w:line="312" w:lineRule="auto"/>
        <w:ind w:firstLine="480"/>
        <w:jc w:val="both"/>
      </w:pPr>
      <w:r>
        <w:rPr>
          <w:rFonts w:ascii="Times New Roman" w:hAnsi="Times New Roman" w:eastAsia="宋体"/>
          <w:b w:val="0"/>
          <w:color w:val="000000"/>
          <w:sz w:val="24"/>
        </w:rPr>
        <w:t>[8] Song Y, Zheng Q, Liu B, et al. EEG Conformer: convolutional transformer for EEG decoding and visualization[J]. IEEE Transactions on Neural Systems and Rehabilitation Engineering, 2023, 31: 206-219.</w:t>
      </w:r>
    </w:p>
    <w:p w14:paraId="724D2A96">
      <w:pPr>
        <w:spacing w:before="0" w:after="120" w:line="312" w:lineRule="auto"/>
        <w:ind w:firstLine="480"/>
        <w:jc w:val="both"/>
      </w:pPr>
      <w:r>
        <w:rPr>
          <w:rFonts w:ascii="Times New Roman" w:hAnsi="Times New Roman" w:eastAsia="宋体"/>
          <w:b w:val="0"/>
          <w:color w:val="000000"/>
          <w:sz w:val="24"/>
        </w:rPr>
        <w:t>[9] Wimpff M, Aristimunha B, Chevallier S, et al. Fine-tuning strategies for continual online EEG motor imagery decoding: insights from a large-scale longitudinal study[C]//2025 47th Annual International Conference of the IEEE Engineering in Medicine and Biology Society (EMBC). Copenhagen: IEEE, 2025: 1-7.</w:t>
      </w:r>
    </w:p>
    <w:p w14:paraId="7FDCDCC9">
      <w:pPr>
        <w:spacing w:before="0" w:after="120" w:line="312" w:lineRule="auto"/>
        <w:ind w:firstLine="480"/>
        <w:jc w:val="both"/>
      </w:pPr>
      <w:r>
        <w:rPr>
          <w:rFonts w:ascii="Times New Roman" w:hAnsi="Times New Roman" w:eastAsia="宋体"/>
          <w:b w:val="0"/>
          <w:color w:val="000000"/>
          <w:sz w:val="24"/>
        </w:rPr>
        <w:t>[10] Rahman M K M, Joadder M A M. A space-frequency localized approach of spatial filtering for motor imagery classification[J]. Health Information Science and Systems, 2020, 8: 15.</w:t>
      </w:r>
    </w:p>
    <w:p w14:paraId="26BC8F9B">
      <w:pPr>
        <w:spacing w:before="0" w:after="120" w:line="312" w:lineRule="auto"/>
        <w:ind w:firstLine="480"/>
        <w:jc w:val="both"/>
      </w:pPr>
      <w:r>
        <w:rPr>
          <w:rFonts w:ascii="Times New Roman" w:hAnsi="Times New Roman" w:eastAsia="宋体"/>
          <w:b w:val="0"/>
          <w:color w:val="000000"/>
          <w:sz w:val="24"/>
        </w:rPr>
        <w:t>[11] BrainFlow Development Team. BrainFlow: a library for acquiring EEG/EMG data[CP/OL]. &lt;https://github.com/brainflow-dev/brainflow&gt;.</w:t>
      </w:r>
    </w:p>
    <w:p w14:paraId="6F6BE163">
      <w:pPr>
        <w:spacing w:before="0" w:after="120" w:line="312" w:lineRule="auto"/>
        <w:ind w:firstLine="480"/>
        <w:jc w:val="both"/>
      </w:pPr>
      <w:r>
        <w:rPr>
          <w:rFonts w:ascii="Times New Roman" w:hAnsi="Times New Roman" w:eastAsia="宋体"/>
          <w:b w:val="0"/>
          <w:color w:val="000000"/>
          <w:sz w:val="24"/>
        </w:rPr>
        <w:t>[12] Kothe C. Lab Streaming Layer (LSL)[CP/OL]. &lt;https://github.com/sccn/labstreaminglayer&gt;.</w:t>
      </w:r>
    </w:p>
    <w:p w14:paraId="03EF0146">
      <w:pPr>
        <w:spacing w:before="0" w:after="120" w:line="312" w:lineRule="auto"/>
        <w:ind w:firstLine="480"/>
        <w:jc w:val="both"/>
      </w:pPr>
      <w:r>
        <w:rPr>
          <w:rFonts w:ascii="Times New Roman" w:hAnsi="Times New Roman" w:eastAsia="宋体"/>
          <w:b w:val="0"/>
          <w:color w:val="000000"/>
          <w:sz w:val="24"/>
        </w:rPr>
        <w:t>[13] OpenBCI. Cyton biosensing board documentation[CP/OL]. &lt;https://docs.openbci.com&gt;.</w:t>
      </w:r>
    </w:p>
    <w:p w14:paraId="46A8BF5F">
      <w:pPr>
        <w:spacing w:before="0" w:after="120" w:line="312" w:lineRule="auto"/>
        <w:ind w:firstLine="480"/>
        <w:jc w:val="both"/>
      </w:pPr>
      <w:r>
        <w:rPr>
          <w:rFonts w:ascii="Times New Roman" w:hAnsi="Times New Roman" w:eastAsia="宋体"/>
          <w:b w:val="0"/>
          <w:color w:val="000000"/>
          <w:sz w:val="24"/>
        </w:rPr>
        <w:t>[14] Ang K K, Chin Z Y, Zhang H, et al. Filter bank common spatial pattern (FBCSP) in brain-computer interface[C]//2008 International Joint Conference on Neural Networks. Hong Kong: IEEE, 2008: 2390-2397.</w:t>
      </w:r>
    </w:p>
    <w:p w14:paraId="43C8C01B">
      <w:pPr>
        <w:spacing w:before="0" w:after="120" w:line="312" w:lineRule="auto"/>
        <w:ind w:firstLine="480"/>
        <w:jc w:val="both"/>
      </w:pPr>
      <w:r>
        <w:rPr>
          <w:rFonts w:ascii="Times New Roman" w:hAnsi="Times New Roman" w:eastAsia="宋体"/>
          <w:b w:val="0"/>
          <w:color w:val="000000"/>
          <w:sz w:val="24"/>
        </w:rPr>
        <w:t>[15] Hu J, Shen L, Sun G. Squeeze-and-excitation networks[C]//Proceedings of the IEEE Conference on Computer Vision and Pattern Recognition. Salt Lake City: IEEE, 2018: 7132-7141.</w:t>
      </w:r>
    </w:p>
    <w:p w14:paraId="6D7B61C7">
      <w:pPr>
        <w:spacing w:before="0" w:after="120" w:line="312" w:lineRule="auto"/>
        <w:ind w:firstLine="480"/>
        <w:jc w:val="both"/>
      </w:pPr>
      <w:r>
        <w:rPr>
          <w:rFonts w:ascii="Times New Roman" w:hAnsi="Times New Roman" w:eastAsia="宋体"/>
          <w:b w:val="0"/>
          <w:color w:val="000000"/>
          <w:sz w:val="24"/>
        </w:rPr>
        <w:t>[16] Wang Q, Wu B, Zhu P, et al. ECA-Net: efficient channel attention for deep convolutional neural networks[C]//Proceedings of the IEEE/CVF Conference on Computer Vision and Pattern Recognition. Seattle: IEEE, 2020: 11531-11539.</w:t>
      </w:r>
    </w:p>
    <w:p w14:paraId="6EC47D16">
      <w:pPr>
        <w:spacing w:before="0" w:after="120" w:line="312" w:lineRule="auto"/>
        <w:ind w:firstLine="480"/>
        <w:jc w:val="both"/>
      </w:pPr>
      <w:r>
        <w:rPr>
          <w:rFonts w:ascii="Times New Roman" w:hAnsi="Times New Roman" w:eastAsia="宋体"/>
          <w:b w:val="0"/>
          <w:color w:val="000000"/>
          <w:sz w:val="24"/>
        </w:rPr>
        <w:t>[17] Balestriero R, LeCun Y. LeJEPA: provable and scalable self-supervised learning without the heuristics[EB/OL]. (2025-11-14). &lt;https://arxiv.org/abs/2511.08544&gt;.</w:t>
      </w:r>
    </w:p>
    <w:p w14:paraId="78DBFDE2">
      <w:pPr>
        <w:spacing w:before="0" w:after="120" w:line="312" w:lineRule="auto"/>
        <w:ind w:firstLine="480"/>
        <w:jc w:val="both"/>
      </w:pPr>
      <w:r>
        <w:rPr>
          <w:rFonts w:ascii="Times New Roman" w:hAnsi="Times New Roman" w:eastAsia="宋体"/>
          <w:b w:val="0"/>
          <w:color w:val="000000"/>
          <w:sz w:val="24"/>
        </w:rPr>
        <w:t>[18] Liao W, Miao Z, Liang S, et al. A composite improved attention convolutional network for motor imagery EEG classification[J]. Frontiers in Neuroscience, 2025, 19: 1543508.</w:t>
      </w:r>
    </w:p>
    <w:p w14:paraId="2202CA0E">
      <w:pPr>
        <w:pStyle w:val="3"/>
        <w:spacing w:before="280" w:after="160" w:line="312" w:lineRule="auto"/>
        <w:jc w:val="center"/>
      </w:pPr>
      <w:bookmarkStart w:id="30" w:name="_Toc20827"/>
      <w:r>
        <w:rPr>
          <w:rFonts w:ascii="Times New Roman" w:hAnsi="Times New Roman" w:eastAsia="黑体"/>
          <w:b/>
          <w:color w:val="000000"/>
          <w:sz w:val="32"/>
        </w:rPr>
        <w:t>附录 A · 实验总览</w:t>
      </w:r>
      <w:bookmarkEnd w:id="30"/>
    </w:p>
    <w:p w14:paraId="48C40387">
      <w:pPr>
        <w:spacing w:before="0" w:after="120" w:line="312" w:lineRule="auto"/>
        <w:ind w:firstLine="480"/>
        <w:jc w:val="both"/>
      </w:pPr>
      <w:r>
        <w:rPr>
          <w:rFonts w:ascii="Times New Roman" w:hAnsi="Times New Roman" w:eastAsia="宋体"/>
          <w:b w:val="0"/>
          <w:color w:val="000000"/>
          <w:sz w:val="24"/>
        </w:rPr>
        <w:t>下表按研究阶段汇总本研究完成的全部实验主题与结论。各实验的方案、结果登记表与落盘产物在代码包与原始数据索引中按主题归档，可复核。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2902"/>
        <w:gridCol w:w="2902"/>
        <w:gridCol w:w="2902"/>
      </w:tblGrid>
      <w:tr w14:paraId="0C7B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902" w:type="dxa"/>
            <w:shd w:val="clear" w:color="auto" w:fill="D9E2F3"/>
          </w:tcPr>
          <w:p w14:paraId="1D8FED12">
            <w:pPr>
              <w:spacing w:after="0" w:line="276" w:lineRule="auto"/>
              <w:jc w:val="center"/>
            </w:pPr>
            <w:r>
              <w:rPr>
                <w:rFonts w:ascii="Times New Roman" w:hAnsi="Times New Roman" w:eastAsia="宋体"/>
                <w:b w:val="0"/>
                <w:color w:val="000000"/>
                <w:sz w:val="21"/>
              </w:rPr>
              <w:t>研究阶段</w:t>
            </w:r>
          </w:p>
        </w:tc>
        <w:tc>
          <w:tcPr>
            <w:tcW w:w="2902" w:type="dxa"/>
            <w:shd w:val="clear" w:color="auto" w:fill="D9E2F3"/>
          </w:tcPr>
          <w:p w14:paraId="39E519BC">
            <w:pPr>
              <w:spacing w:after="0" w:line="276" w:lineRule="auto"/>
              <w:jc w:val="center"/>
            </w:pPr>
            <w:r>
              <w:rPr>
                <w:rFonts w:ascii="Times New Roman" w:hAnsi="Times New Roman" w:eastAsia="宋体"/>
                <w:b w:val="0"/>
                <w:color w:val="000000"/>
                <w:sz w:val="21"/>
              </w:rPr>
              <w:t>实验主题</w:t>
            </w:r>
          </w:p>
        </w:tc>
        <w:tc>
          <w:tcPr>
            <w:tcW w:w="2902" w:type="dxa"/>
            <w:shd w:val="clear" w:color="auto" w:fill="D9E2F3"/>
          </w:tcPr>
          <w:p w14:paraId="7EDB2E20">
            <w:pPr>
              <w:spacing w:after="0" w:line="276" w:lineRule="auto"/>
              <w:jc w:val="center"/>
            </w:pPr>
            <w:r>
              <w:rPr>
                <w:rFonts w:ascii="Times New Roman" w:hAnsi="Times New Roman" w:eastAsia="宋体"/>
                <w:b w:val="0"/>
                <w:color w:val="000000"/>
                <w:sz w:val="21"/>
              </w:rPr>
              <w:t>主要结果与结论</w:t>
            </w:r>
          </w:p>
        </w:tc>
      </w:tr>
      <w:tr w14:paraId="23C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D37DC46">
            <w:pPr>
              <w:spacing w:after="0" w:line="276" w:lineRule="auto"/>
              <w:jc w:val="left"/>
            </w:pPr>
            <w:r>
              <w:rPr>
                <w:rFonts w:ascii="Times New Roman" w:hAnsi="Times New Roman" w:eastAsia="宋体"/>
                <w:b w:val="0"/>
                <w:color w:val="000000"/>
                <w:sz w:val="21"/>
              </w:rPr>
              <w:t>口径演进</w:t>
            </w:r>
          </w:p>
        </w:tc>
        <w:tc>
          <w:tcPr>
            <w:tcW w:w="2902" w:type="dxa"/>
          </w:tcPr>
          <w:p w14:paraId="19FCD7F3">
            <w:pPr>
              <w:spacing w:after="0" w:line="276" w:lineRule="auto"/>
              <w:jc w:val="left"/>
            </w:pPr>
            <w:r>
              <w:rPr>
                <w:rFonts w:ascii="Times New Roman" w:hAnsi="Times New Roman" w:eastAsia="宋体"/>
                <w:b w:val="0"/>
                <w:color w:val="000000"/>
                <w:sz w:val="21"/>
              </w:rPr>
              <w:t>1 s / 40 ms 旧伪在线主线（Stieger 主库）</w:t>
            </w:r>
          </w:p>
        </w:tc>
        <w:tc>
          <w:tcPr>
            <w:tcW w:w="2902" w:type="dxa"/>
          </w:tcPr>
          <w:p w14:paraId="2C83D658">
            <w:pPr>
              <w:spacing w:after="0" w:line="276" w:lineRule="auto"/>
              <w:jc w:val="left"/>
            </w:pPr>
            <w:r>
              <w:rPr>
                <w:rFonts w:ascii="Times New Roman" w:hAnsi="Times New Roman" w:eastAsia="宋体"/>
                <w:b w:val="0"/>
                <w:color w:val="000000"/>
                <w:sz w:val="21"/>
              </w:rPr>
              <w:t>废止归档；复现性不足，数字不与现行口径混比</w:t>
            </w:r>
          </w:p>
        </w:tc>
      </w:tr>
      <w:tr w14:paraId="5C0A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AAE7981">
            <w:pPr>
              <w:spacing w:after="0" w:line="276" w:lineRule="auto"/>
              <w:jc w:val="left"/>
            </w:pPr>
            <w:r>
              <w:rPr>
                <w:rFonts w:ascii="Times New Roman" w:hAnsi="Times New Roman" w:eastAsia="宋体"/>
                <w:b w:val="0"/>
                <w:color w:val="000000"/>
                <w:sz w:val="21"/>
              </w:rPr>
              <w:t>口径演进</w:t>
            </w:r>
          </w:p>
        </w:tc>
        <w:tc>
          <w:tcPr>
            <w:tcW w:w="2902" w:type="dxa"/>
          </w:tcPr>
          <w:p w14:paraId="17493BA0">
            <w:pPr>
              <w:spacing w:after="0" w:line="276" w:lineRule="auto"/>
              <w:jc w:val="left"/>
            </w:pPr>
            <w:r>
              <w:rPr>
                <w:rFonts w:ascii="Times New Roman" w:hAnsi="Times New Roman" w:eastAsia="宋体"/>
                <w:b w:val="0"/>
                <w:color w:val="000000"/>
                <w:sz w:val="21"/>
              </w:rPr>
              <w:t>2 s / 100 ms 口径冻结与 BCI2a 十一模型窗级选型</w:t>
            </w:r>
          </w:p>
        </w:tc>
        <w:tc>
          <w:tcPr>
            <w:tcW w:w="2902" w:type="dxa"/>
          </w:tcPr>
          <w:p w14:paraId="1565AECB">
            <w:pPr>
              <w:spacing w:after="0" w:line="276" w:lineRule="auto"/>
              <w:jc w:val="left"/>
            </w:pPr>
            <w:r>
              <w:rPr>
                <w:rFonts w:ascii="Times New Roman" w:hAnsi="Times New Roman" w:eastAsia="宋体"/>
                <w:b w:val="0"/>
                <w:color w:val="000000"/>
                <w:sz w:val="21"/>
              </w:rPr>
              <w:t>阶段性选型基础</w:t>
            </w:r>
          </w:p>
        </w:tc>
      </w:tr>
      <w:tr w14:paraId="6AD1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DD925E9">
            <w:pPr>
              <w:spacing w:after="0" w:line="276" w:lineRule="auto"/>
              <w:jc w:val="left"/>
            </w:pPr>
            <w:r>
              <w:rPr>
                <w:rFonts w:ascii="Times New Roman" w:hAnsi="Times New Roman" w:eastAsia="宋体"/>
                <w:b w:val="0"/>
                <w:color w:val="000000"/>
                <w:sz w:val="21"/>
              </w:rPr>
              <w:t>口径演进</w:t>
            </w:r>
          </w:p>
        </w:tc>
        <w:tc>
          <w:tcPr>
            <w:tcW w:w="2902" w:type="dxa"/>
          </w:tcPr>
          <w:p w14:paraId="55AF2967">
            <w:pPr>
              <w:spacing w:after="0" w:line="276" w:lineRule="auto"/>
              <w:jc w:val="left"/>
            </w:pPr>
            <w:r>
              <w:rPr>
                <w:rFonts w:ascii="Times New Roman" w:hAnsi="Times New Roman" w:eastAsia="宋体"/>
                <w:b w:val="0"/>
                <w:color w:val="000000"/>
                <w:sz w:val="21"/>
              </w:rPr>
              <w:t>试次多数票与验证集准确率选模口径</w:t>
            </w:r>
          </w:p>
        </w:tc>
        <w:tc>
          <w:tcPr>
            <w:tcW w:w="2902" w:type="dxa"/>
          </w:tcPr>
          <w:p w14:paraId="3522094D">
            <w:pPr>
              <w:spacing w:after="0" w:line="276" w:lineRule="auto"/>
              <w:jc w:val="left"/>
            </w:pPr>
            <w:r>
              <w:rPr>
                <w:rFonts w:ascii="Times New Roman" w:hAnsi="Times New Roman" w:eastAsia="宋体"/>
                <w:b w:val="0"/>
                <w:color w:val="000000"/>
                <w:sz w:val="21"/>
              </w:rPr>
              <w:t>选模口径确立</w:t>
            </w:r>
          </w:p>
        </w:tc>
      </w:tr>
      <w:tr w14:paraId="503B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AB47DA8">
            <w:pPr>
              <w:spacing w:after="0" w:line="276" w:lineRule="auto"/>
              <w:jc w:val="left"/>
            </w:pPr>
            <w:r>
              <w:rPr>
                <w:rFonts w:ascii="Times New Roman" w:hAnsi="Times New Roman" w:eastAsia="宋体"/>
                <w:b w:val="0"/>
                <w:color w:val="000000"/>
                <w:sz w:val="21"/>
              </w:rPr>
              <w:t>口径演进</w:t>
            </w:r>
          </w:p>
        </w:tc>
        <w:tc>
          <w:tcPr>
            <w:tcW w:w="2902" w:type="dxa"/>
          </w:tcPr>
          <w:p w14:paraId="13515201">
            <w:pPr>
              <w:spacing w:after="0" w:line="276" w:lineRule="auto"/>
              <w:jc w:val="left"/>
            </w:pPr>
            <w:r>
              <w:rPr>
                <w:rFonts w:ascii="Times New Roman" w:hAnsi="Times New Roman" w:eastAsia="宋体"/>
                <w:b w:val="0"/>
                <w:color w:val="000000"/>
                <w:sz w:val="21"/>
              </w:rPr>
              <w:t>OpenBMI 双机接入复现</w:t>
            </w:r>
          </w:p>
        </w:tc>
        <w:tc>
          <w:tcPr>
            <w:tcW w:w="2902" w:type="dxa"/>
          </w:tcPr>
          <w:p w14:paraId="3041AA6C">
            <w:pPr>
              <w:spacing w:after="0" w:line="276" w:lineRule="auto"/>
              <w:jc w:val="left"/>
            </w:pPr>
            <w:r>
              <w:rPr>
                <w:rFonts w:ascii="Times New Roman" w:hAnsi="Times New Roman" w:eastAsia="宋体"/>
                <w:b w:val="0"/>
                <w:color w:val="000000"/>
                <w:sz w:val="21"/>
              </w:rPr>
              <w:t>跨机一致性确认</w:t>
            </w:r>
          </w:p>
        </w:tc>
      </w:tr>
      <w:tr w14:paraId="793F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9B381EC">
            <w:pPr>
              <w:spacing w:after="0" w:line="276" w:lineRule="auto"/>
              <w:jc w:val="left"/>
            </w:pPr>
            <w:r>
              <w:rPr>
                <w:rFonts w:ascii="Times New Roman" w:hAnsi="Times New Roman" w:eastAsia="宋体"/>
                <w:b w:val="0"/>
                <w:color w:val="000000"/>
                <w:sz w:val="21"/>
              </w:rPr>
              <w:t>口径演进</w:t>
            </w:r>
          </w:p>
        </w:tc>
        <w:tc>
          <w:tcPr>
            <w:tcW w:w="2902" w:type="dxa"/>
          </w:tcPr>
          <w:p w14:paraId="2E6DB3B2">
            <w:pPr>
              <w:spacing w:after="0" w:line="276" w:lineRule="auto"/>
              <w:jc w:val="left"/>
            </w:pPr>
            <w:r>
              <w:rPr>
                <w:rFonts w:ascii="Times New Roman" w:hAnsi="Times New Roman" w:eastAsia="宋体"/>
                <w:b w:val="0"/>
                <w:color w:val="000000"/>
                <w:sz w:val="21"/>
              </w:rPr>
              <w:t>3 s 窗升级与窗长消融</w:t>
            </w:r>
          </w:p>
        </w:tc>
        <w:tc>
          <w:tcPr>
            <w:tcW w:w="2902" w:type="dxa"/>
          </w:tcPr>
          <w:p w14:paraId="39E7F56C">
            <w:pPr>
              <w:spacing w:after="0" w:line="276" w:lineRule="auto"/>
              <w:jc w:val="left"/>
            </w:pPr>
            <w:r>
              <w:rPr>
                <w:rFonts w:ascii="Times New Roman" w:hAnsi="Times New Roman" w:eastAsia="宋体"/>
                <w:b w:val="0"/>
                <w:color w:val="000000"/>
                <w:sz w:val="21"/>
              </w:rPr>
              <w:t>3 s 窗显著优于 2 s；冻结现行口径</w:t>
            </w:r>
          </w:p>
        </w:tc>
      </w:tr>
      <w:tr w14:paraId="1E95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203AD883">
            <w:pPr>
              <w:spacing w:after="0" w:line="276" w:lineRule="auto"/>
              <w:jc w:val="left"/>
            </w:pPr>
            <w:r>
              <w:rPr>
                <w:rFonts w:ascii="Times New Roman" w:hAnsi="Times New Roman" w:eastAsia="宋体"/>
                <w:b w:val="0"/>
                <w:color w:val="000000"/>
                <w:sz w:val="21"/>
              </w:rPr>
              <w:t>机制探查</w:t>
            </w:r>
          </w:p>
        </w:tc>
        <w:tc>
          <w:tcPr>
            <w:tcW w:w="2902" w:type="dxa"/>
          </w:tcPr>
          <w:p w14:paraId="5AA03665">
            <w:pPr>
              <w:spacing w:after="0" w:line="276" w:lineRule="auto"/>
              <w:jc w:val="left"/>
            </w:pPr>
            <w:r>
              <w:rPr>
                <w:rFonts w:ascii="Times New Roman" w:hAnsi="Times New Roman" w:eastAsia="宋体"/>
                <w:b w:val="0"/>
                <w:color w:val="000000"/>
                <w:sz w:val="21"/>
              </w:rPr>
              <w:t>运动想象特征工程（偏侧通道等）</w:t>
            </w:r>
          </w:p>
        </w:tc>
        <w:tc>
          <w:tcPr>
            <w:tcW w:w="2902" w:type="dxa"/>
          </w:tcPr>
          <w:p w14:paraId="4EA3D7C5">
            <w:pPr>
              <w:spacing w:after="0" w:line="276" w:lineRule="auto"/>
              <w:jc w:val="left"/>
            </w:pPr>
            <w:r>
              <w:rPr>
                <w:rFonts w:ascii="Times New Roman" w:hAnsi="Times New Roman" w:eastAsia="宋体"/>
                <w:b w:val="0"/>
                <w:color w:val="000000"/>
                <w:sz w:val="21"/>
              </w:rPr>
              <w:t>阴性，结案</w:t>
            </w:r>
          </w:p>
        </w:tc>
      </w:tr>
      <w:tr w14:paraId="2712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934538C">
            <w:pPr>
              <w:spacing w:after="0" w:line="276" w:lineRule="auto"/>
              <w:jc w:val="left"/>
            </w:pPr>
            <w:r>
              <w:rPr>
                <w:rFonts w:ascii="Times New Roman" w:hAnsi="Times New Roman" w:eastAsia="宋体"/>
                <w:b w:val="0"/>
                <w:color w:val="000000"/>
                <w:sz w:val="21"/>
              </w:rPr>
              <w:t>机制探查</w:t>
            </w:r>
          </w:p>
        </w:tc>
        <w:tc>
          <w:tcPr>
            <w:tcW w:w="2902" w:type="dxa"/>
          </w:tcPr>
          <w:p w14:paraId="02B6F0B8">
            <w:pPr>
              <w:spacing w:after="0" w:line="276" w:lineRule="auto"/>
              <w:jc w:val="left"/>
            </w:pPr>
            <w:r>
              <w:rPr>
                <w:rFonts w:ascii="Times New Roman" w:hAnsi="Times New Roman" w:eastAsia="宋体"/>
                <w:b w:val="0"/>
                <w:color w:val="000000"/>
                <w:sz w:val="21"/>
              </w:rPr>
              <w:t>可教试次子集评估与去标准化变体</w:t>
            </w:r>
          </w:p>
        </w:tc>
        <w:tc>
          <w:tcPr>
            <w:tcW w:w="2902" w:type="dxa"/>
          </w:tcPr>
          <w:p w14:paraId="085DBADA">
            <w:pPr>
              <w:spacing w:after="0" w:line="276" w:lineRule="auto"/>
              <w:jc w:val="left"/>
            </w:pPr>
            <w:r>
              <w:rPr>
                <w:rFonts w:ascii="Times New Roman" w:hAnsi="Times New Roman" w:eastAsia="宋体"/>
                <w:b w:val="0"/>
                <w:color w:val="000000"/>
                <w:sz w:val="21"/>
              </w:rPr>
              <w:t>未进入正式表</w:t>
            </w:r>
          </w:p>
        </w:tc>
      </w:tr>
      <w:tr w14:paraId="705E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3FE6A16">
            <w:pPr>
              <w:spacing w:after="0" w:line="276" w:lineRule="auto"/>
              <w:jc w:val="left"/>
            </w:pPr>
            <w:r>
              <w:rPr>
                <w:rFonts w:ascii="Times New Roman" w:hAnsi="Times New Roman" w:eastAsia="宋体"/>
                <w:b w:val="0"/>
                <w:color w:val="000000"/>
                <w:sz w:val="21"/>
              </w:rPr>
              <w:t>机制探查</w:t>
            </w:r>
          </w:p>
        </w:tc>
        <w:tc>
          <w:tcPr>
            <w:tcW w:w="2902" w:type="dxa"/>
          </w:tcPr>
          <w:p w14:paraId="051A5B5F">
            <w:pPr>
              <w:spacing w:after="0" w:line="276" w:lineRule="auto"/>
              <w:jc w:val="left"/>
            </w:pPr>
            <w:r>
              <w:rPr>
                <w:rFonts w:ascii="Times New Roman" w:hAnsi="Times New Roman" w:eastAsia="宋体"/>
                <w:b w:val="0"/>
                <w:color w:val="000000"/>
                <w:sz w:val="21"/>
              </w:rPr>
              <w:t>浅层网络结构增强系列（SE/ECA、CBAM、复合损失、双专家门控、双带通分塔）</w:t>
            </w:r>
          </w:p>
        </w:tc>
        <w:tc>
          <w:tcPr>
            <w:tcW w:w="2902" w:type="dxa"/>
          </w:tcPr>
          <w:p w14:paraId="7C3F8B50">
            <w:pPr>
              <w:spacing w:after="0" w:line="276" w:lineRule="auto"/>
              <w:jc w:val="left"/>
            </w:pPr>
            <w:r>
              <w:rPr>
                <w:rFonts w:ascii="Times New Roman" w:hAnsi="Times New Roman" w:eastAsia="宋体"/>
                <w:b w:val="0"/>
                <w:color w:val="000000"/>
                <w:sz w:val="21"/>
              </w:rPr>
              <w:t>全部阴性；SE/ECA 增益为噪声量级</w:t>
            </w:r>
          </w:p>
        </w:tc>
      </w:tr>
      <w:tr w14:paraId="5497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3C5D41E">
            <w:pPr>
              <w:spacing w:after="0" w:line="276" w:lineRule="auto"/>
              <w:jc w:val="left"/>
            </w:pPr>
            <w:r>
              <w:rPr>
                <w:rFonts w:ascii="Times New Roman" w:hAnsi="Times New Roman" w:eastAsia="宋体"/>
                <w:b w:val="0"/>
                <w:color w:val="000000"/>
                <w:sz w:val="21"/>
              </w:rPr>
              <w:t>机制探查</w:t>
            </w:r>
          </w:p>
        </w:tc>
        <w:tc>
          <w:tcPr>
            <w:tcW w:w="2902" w:type="dxa"/>
          </w:tcPr>
          <w:p w14:paraId="2FA5576A">
            <w:pPr>
              <w:spacing w:after="0" w:line="276" w:lineRule="auto"/>
              <w:jc w:val="left"/>
            </w:pPr>
            <w:r>
              <w:rPr>
                <w:rFonts w:ascii="Times New Roman" w:hAnsi="Times New Roman" w:eastAsia="宋体"/>
                <w:b w:val="0"/>
                <w:color w:val="000000"/>
                <w:sz w:val="21"/>
              </w:rPr>
              <w:t>JEPA / LeJEPA 自监督表征探测</w:t>
            </w:r>
          </w:p>
        </w:tc>
        <w:tc>
          <w:tcPr>
            <w:tcW w:w="2902" w:type="dxa"/>
          </w:tcPr>
          <w:p w14:paraId="35D98AA8">
            <w:pPr>
              <w:spacing w:after="0" w:line="276" w:lineRule="auto"/>
              <w:jc w:val="left"/>
            </w:pPr>
            <w:r>
              <w:rPr>
                <w:rFonts w:ascii="Times New Roman" w:hAnsi="Times New Roman" w:eastAsia="宋体"/>
                <w:b w:val="0"/>
                <w:color w:val="000000"/>
                <w:sz w:val="21"/>
              </w:rPr>
              <w:t>阴性；探测精度低于监督基线</w:t>
            </w:r>
          </w:p>
        </w:tc>
      </w:tr>
      <w:tr w14:paraId="6DA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0160505">
            <w:pPr>
              <w:spacing w:after="0" w:line="276" w:lineRule="auto"/>
              <w:jc w:val="left"/>
            </w:pPr>
            <w:r>
              <w:rPr>
                <w:rFonts w:ascii="Times New Roman" w:hAnsi="Times New Roman" w:eastAsia="宋体"/>
                <w:b w:val="0"/>
                <w:color w:val="000000"/>
                <w:sz w:val="21"/>
              </w:rPr>
              <w:t>机制探查</w:t>
            </w:r>
          </w:p>
        </w:tc>
        <w:tc>
          <w:tcPr>
            <w:tcW w:w="2902" w:type="dxa"/>
          </w:tcPr>
          <w:p w14:paraId="52B53E18">
            <w:pPr>
              <w:spacing w:after="0" w:line="276" w:lineRule="auto"/>
              <w:jc w:val="left"/>
            </w:pPr>
            <w:r>
              <w:rPr>
                <w:rFonts w:ascii="Times New Roman" w:hAnsi="Times New Roman" w:eastAsia="宋体"/>
                <w:b w:val="0"/>
                <w:color w:val="000000"/>
                <w:sz w:val="21"/>
              </w:rPr>
              <w:t>CIACNet 复合注意力复现</w:t>
            </w:r>
          </w:p>
        </w:tc>
        <w:tc>
          <w:tcPr>
            <w:tcW w:w="2902" w:type="dxa"/>
          </w:tcPr>
          <w:p w14:paraId="7C1DB360">
            <w:pPr>
              <w:spacing w:after="0" w:line="276" w:lineRule="auto"/>
              <w:jc w:val="left"/>
            </w:pPr>
            <w:r>
              <w:rPr>
                <w:rFonts w:ascii="Times New Roman" w:hAnsi="Times New Roman" w:eastAsia="宋体"/>
                <w:b w:val="0"/>
                <w:color w:val="000000"/>
                <w:sz w:val="21"/>
              </w:rPr>
              <w:t>少数正向对照，未改变主线</w:t>
            </w:r>
          </w:p>
        </w:tc>
      </w:tr>
      <w:tr w14:paraId="2B97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4436835">
            <w:pPr>
              <w:spacing w:after="0" w:line="276" w:lineRule="auto"/>
              <w:jc w:val="left"/>
            </w:pPr>
            <w:r>
              <w:rPr>
                <w:rFonts w:ascii="Times New Roman" w:hAnsi="Times New Roman" w:eastAsia="宋体"/>
                <w:b w:val="0"/>
                <w:color w:val="000000"/>
                <w:sz w:val="21"/>
              </w:rPr>
              <w:t>机制探查</w:t>
            </w:r>
          </w:p>
        </w:tc>
        <w:tc>
          <w:tcPr>
            <w:tcW w:w="2902" w:type="dxa"/>
          </w:tcPr>
          <w:p w14:paraId="718E8B24">
            <w:pPr>
              <w:spacing w:after="0" w:line="276" w:lineRule="auto"/>
              <w:jc w:val="left"/>
            </w:pPr>
            <w:r>
              <w:rPr>
                <w:rFonts w:ascii="Times New Roman" w:hAnsi="Times New Roman" w:eastAsia="宋体"/>
                <w:b w:val="0"/>
                <w:color w:val="000000"/>
                <w:sz w:val="21"/>
              </w:rPr>
              <w:t>未来信息上界与基线复核</w:t>
            </w:r>
          </w:p>
        </w:tc>
        <w:tc>
          <w:tcPr>
            <w:tcW w:w="2902" w:type="dxa"/>
          </w:tcPr>
          <w:p w14:paraId="36651283">
            <w:pPr>
              <w:spacing w:after="0" w:line="276" w:lineRule="auto"/>
              <w:jc w:val="left"/>
            </w:pPr>
            <w:r>
              <w:rPr>
                <w:rFonts w:ascii="Times New Roman" w:hAnsi="Times New Roman" w:eastAsia="宋体"/>
                <w:b w:val="0"/>
                <w:color w:val="000000"/>
                <w:sz w:val="21"/>
              </w:rPr>
              <w:t>全阴性；可见窗内信息完备</w:t>
            </w:r>
          </w:p>
        </w:tc>
      </w:tr>
      <w:tr w14:paraId="75BD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6CF1935">
            <w:pPr>
              <w:spacing w:after="0" w:line="276" w:lineRule="auto"/>
              <w:jc w:val="left"/>
            </w:pPr>
            <w:r>
              <w:rPr>
                <w:rFonts w:ascii="Times New Roman" w:hAnsi="Times New Roman" w:eastAsia="宋体"/>
                <w:b w:val="0"/>
                <w:color w:val="000000"/>
                <w:sz w:val="21"/>
              </w:rPr>
              <w:t>机制探查</w:t>
            </w:r>
          </w:p>
        </w:tc>
        <w:tc>
          <w:tcPr>
            <w:tcW w:w="2902" w:type="dxa"/>
          </w:tcPr>
          <w:p w14:paraId="40A885AF">
            <w:pPr>
              <w:spacing w:after="0" w:line="276" w:lineRule="auto"/>
              <w:jc w:val="left"/>
            </w:pPr>
            <w:r>
              <w:rPr>
                <w:rFonts w:ascii="Times New Roman" w:hAnsi="Times New Roman" w:eastAsia="宋体"/>
                <w:b w:val="0"/>
                <w:color w:val="000000"/>
                <w:sz w:val="21"/>
              </w:rPr>
              <w:t>测试时适配（EA / AdaBN）</w:t>
            </w:r>
          </w:p>
        </w:tc>
        <w:tc>
          <w:tcPr>
            <w:tcW w:w="2902" w:type="dxa"/>
          </w:tcPr>
          <w:p w14:paraId="47346C53">
            <w:pPr>
              <w:spacing w:after="0" w:line="276" w:lineRule="auto"/>
              <w:jc w:val="left"/>
            </w:pPr>
            <w:r>
              <w:rPr>
                <w:rFonts w:ascii="Times New Roman" w:hAnsi="Times New Roman" w:eastAsia="宋体"/>
                <w:b w:val="0"/>
                <w:color w:val="000000"/>
                <w:sz w:val="21"/>
              </w:rPr>
              <w:t>阴性；域间隙不在二阶统计量层</w:t>
            </w:r>
          </w:p>
        </w:tc>
      </w:tr>
      <w:tr w14:paraId="46EF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D49F98F">
            <w:pPr>
              <w:spacing w:after="0" w:line="276" w:lineRule="auto"/>
              <w:jc w:val="left"/>
            </w:pPr>
            <w:r>
              <w:rPr>
                <w:rFonts w:ascii="Times New Roman" w:hAnsi="Times New Roman" w:eastAsia="宋体"/>
                <w:b w:val="0"/>
                <w:color w:val="000000"/>
                <w:sz w:val="21"/>
              </w:rPr>
              <w:t>机制探查</w:t>
            </w:r>
          </w:p>
        </w:tc>
        <w:tc>
          <w:tcPr>
            <w:tcW w:w="2902" w:type="dxa"/>
          </w:tcPr>
          <w:p w14:paraId="0D566B6B">
            <w:pPr>
              <w:spacing w:after="0" w:line="276" w:lineRule="auto"/>
              <w:jc w:val="left"/>
            </w:pPr>
            <w:r>
              <w:rPr>
                <w:rFonts w:ascii="Times New Roman" w:hAnsi="Times New Roman" w:eastAsia="宋体"/>
                <w:b w:val="0"/>
                <w:color w:val="000000"/>
                <w:sz w:val="21"/>
              </w:rPr>
              <w:t>域增广训练</w:t>
            </w:r>
          </w:p>
        </w:tc>
        <w:tc>
          <w:tcPr>
            <w:tcW w:w="2902" w:type="dxa"/>
          </w:tcPr>
          <w:p w14:paraId="36B947B1">
            <w:pPr>
              <w:spacing w:after="0" w:line="276" w:lineRule="auto"/>
              <w:jc w:val="left"/>
            </w:pPr>
            <w:r>
              <w:rPr>
                <w:rFonts w:ascii="Times New Roman" w:hAnsi="Times New Roman" w:eastAsia="宋体"/>
                <w:b w:val="0"/>
                <w:color w:val="000000"/>
                <w:sz w:val="21"/>
              </w:rPr>
              <w:t>发现验证集泄漏缺陷后修复，数字冻结只读</w:t>
            </w:r>
          </w:p>
        </w:tc>
      </w:tr>
      <w:tr w14:paraId="315C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BEFE7DD">
            <w:pPr>
              <w:spacing w:after="0" w:line="276" w:lineRule="auto"/>
              <w:jc w:val="left"/>
            </w:pPr>
            <w:r>
              <w:rPr>
                <w:rFonts w:ascii="Times New Roman" w:hAnsi="Times New Roman" w:eastAsia="宋体"/>
                <w:b w:val="0"/>
                <w:color w:val="000000"/>
                <w:sz w:val="21"/>
              </w:rPr>
              <w:t>集成定型</w:t>
            </w:r>
          </w:p>
        </w:tc>
        <w:tc>
          <w:tcPr>
            <w:tcW w:w="2902" w:type="dxa"/>
          </w:tcPr>
          <w:p w14:paraId="5BF2508F">
            <w:pPr>
              <w:spacing w:after="0" w:line="276" w:lineRule="auto"/>
              <w:jc w:val="left"/>
            </w:pPr>
            <w:r>
              <w:rPr>
                <w:rFonts w:ascii="Times New Roman" w:hAnsi="Times New Roman" w:eastAsia="宋体"/>
                <w:b w:val="0"/>
                <w:color w:val="000000"/>
                <w:sz w:val="21"/>
              </w:rPr>
              <w:t>概率校准、加权融合、时间平滑与四成员扩池（零训练回放）</w:t>
            </w:r>
          </w:p>
        </w:tc>
        <w:tc>
          <w:tcPr>
            <w:tcW w:w="2902" w:type="dxa"/>
          </w:tcPr>
          <w:p w14:paraId="32828BE4">
            <w:pPr>
              <w:spacing w:after="0" w:line="276" w:lineRule="auto"/>
              <w:jc w:val="left"/>
            </w:pPr>
            <w:r>
              <w:rPr>
                <w:rFonts w:ascii="Times New Roman" w:hAnsi="Times New Roman" w:eastAsia="宋体"/>
                <w:b w:val="0"/>
                <w:color w:val="000000"/>
                <w:sz w:val="21"/>
              </w:rPr>
              <w:t>冻结配置 61.73%</w:t>
            </w:r>
          </w:p>
        </w:tc>
      </w:tr>
      <w:tr w14:paraId="49FC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2903985">
            <w:pPr>
              <w:spacing w:after="0" w:line="276" w:lineRule="auto"/>
              <w:jc w:val="left"/>
            </w:pPr>
            <w:r>
              <w:rPr>
                <w:rFonts w:ascii="Times New Roman" w:hAnsi="Times New Roman" w:eastAsia="宋体"/>
                <w:b w:val="0"/>
                <w:color w:val="000000"/>
                <w:sz w:val="21"/>
              </w:rPr>
              <w:t>集成定型</w:t>
            </w:r>
          </w:p>
        </w:tc>
        <w:tc>
          <w:tcPr>
            <w:tcW w:w="2902" w:type="dxa"/>
          </w:tcPr>
          <w:p w14:paraId="19E6DED7">
            <w:pPr>
              <w:spacing w:after="0" w:line="276" w:lineRule="auto"/>
              <w:jc w:val="left"/>
            </w:pPr>
            <w:r>
              <w:rPr>
                <w:rFonts w:ascii="Times New Roman" w:hAnsi="Times New Roman" w:eastAsia="宋体"/>
                <w:b w:val="0"/>
                <w:color w:val="000000"/>
                <w:sz w:val="21"/>
              </w:rPr>
              <w:t>读出因果化对比</w:t>
            </w:r>
          </w:p>
        </w:tc>
        <w:tc>
          <w:tcPr>
            <w:tcW w:w="2902" w:type="dxa"/>
          </w:tcPr>
          <w:p w14:paraId="7207E1BB">
            <w:pPr>
              <w:spacing w:after="0" w:line="276" w:lineRule="auto"/>
              <w:jc w:val="left"/>
            </w:pPr>
            <w:r>
              <w:rPr>
                <w:rFonts w:ascii="Times New Roman" w:hAnsi="Times New Roman" w:eastAsia="宋体"/>
                <w:b w:val="0"/>
                <w:color w:val="000000"/>
                <w:sz w:val="21"/>
              </w:rPr>
              <w:t>因果平滑 61.88% 不损失精度；主结果确立</w:t>
            </w:r>
          </w:p>
        </w:tc>
      </w:tr>
      <w:tr w14:paraId="0D6E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E8490E6">
            <w:pPr>
              <w:spacing w:after="0" w:line="276" w:lineRule="auto"/>
              <w:jc w:val="left"/>
            </w:pPr>
            <w:r>
              <w:rPr>
                <w:rFonts w:ascii="Times New Roman" w:hAnsi="Times New Roman" w:eastAsia="宋体"/>
                <w:b w:val="0"/>
                <w:color w:val="000000"/>
                <w:sz w:val="21"/>
              </w:rPr>
              <w:t>指定集评测线</w:t>
            </w:r>
          </w:p>
        </w:tc>
        <w:tc>
          <w:tcPr>
            <w:tcW w:w="2902" w:type="dxa"/>
          </w:tcPr>
          <w:p w14:paraId="0905CCDC">
            <w:pPr>
              <w:spacing w:after="0" w:line="276" w:lineRule="auto"/>
              <w:jc w:val="left"/>
            </w:pPr>
            <w:r>
              <w:rPr>
                <w:rFonts w:ascii="Times New Roman" w:hAnsi="Times New Roman" w:eastAsia="宋体"/>
                <w:b w:val="0"/>
                <w:color w:val="000000"/>
                <w:sz w:val="21"/>
              </w:rPr>
              <w:t>59 通道双路线训练（从零集成与预训练微调）</w:t>
            </w:r>
          </w:p>
        </w:tc>
        <w:tc>
          <w:tcPr>
            <w:tcW w:w="2902" w:type="dxa"/>
          </w:tcPr>
          <w:p w14:paraId="1531AC25">
            <w:pPr>
              <w:spacing w:after="0" w:line="276" w:lineRule="auto"/>
              <w:jc w:val="left"/>
            </w:pPr>
            <w:r>
              <w:rPr>
                <w:rFonts w:ascii="Times New Roman" w:hAnsi="Times New Roman" w:eastAsia="宋体"/>
                <w:b w:val="0"/>
                <w:color w:val="000000"/>
                <w:sz w:val="21"/>
              </w:rPr>
              <w:t>折内 55.80% / 57.30%</w:t>
            </w:r>
          </w:p>
        </w:tc>
      </w:tr>
      <w:tr w14:paraId="0CDB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58BB7CC">
            <w:pPr>
              <w:spacing w:after="0" w:line="276" w:lineRule="auto"/>
              <w:jc w:val="left"/>
            </w:pPr>
            <w:r>
              <w:rPr>
                <w:rFonts w:ascii="Times New Roman" w:hAnsi="Times New Roman" w:eastAsia="宋体"/>
                <w:b w:val="0"/>
                <w:color w:val="000000"/>
                <w:sz w:val="21"/>
              </w:rPr>
              <w:t>指定集评测线</w:t>
            </w:r>
          </w:p>
        </w:tc>
        <w:tc>
          <w:tcPr>
            <w:tcW w:w="2902" w:type="dxa"/>
          </w:tcPr>
          <w:p w14:paraId="5ADFC9ED">
            <w:pPr>
              <w:spacing w:after="0" w:line="276" w:lineRule="auto"/>
              <w:jc w:val="left"/>
            </w:pPr>
            <w:r>
              <w:rPr>
                <w:rFonts w:ascii="Times New Roman" w:hAnsi="Times New Roman" w:eastAsia="宋体"/>
                <w:b w:val="0"/>
                <w:color w:val="000000"/>
                <w:sz w:val="21"/>
              </w:rPr>
              <w:t>融合重标定、扩池与跨轨融合</w:t>
            </w:r>
          </w:p>
        </w:tc>
        <w:tc>
          <w:tcPr>
            <w:tcW w:w="2902" w:type="dxa"/>
          </w:tcPr>
          <w:p w14:paraId="5907AA08">
            <w:pPr>
              <w:spacing w:after="0" w:line="276" w:lineRule="auto"/>
              <w:jc w:val="left"/>
            </w:pPr>
            <w:r>
              <w:rPr>
                <w:rFonts w:ascii="Times New Roman" w:hAnsi="Times New Roman" w:eastAsia="宋体"/>
                <w:b w:val="0"/>
                <w:color w:val="000000"/>
                <w:sz w:val="21"/>
              </w:rPr>
              <w:t>折内高分未过显著性线；留一被试复核证伪</w:t>
            </w:r>
          </w:p>
        </w:tc>
      </w:tr>
      <w:tr w14:paraId="0F81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128D790">
            <w:pPr>
              <w:spacing w:after="0" w:line="276" w:lineRule="auto"/>
              <w:jc w:val="left"/>
            </w:pPr>
            <w:r>
              <w:rPr>
                <w:rFonts w:ascii="Times New Roman" w:hAnsi="Times New Roman" w:eastAsia="宋体"/>
                <w:b w:val="0"/>
                <w:color w:val="000000"/>
                <w:sz w:val="21"/>
              </w:rPr>
              <w:t>指定集评测线</w:t>
            </w:r>
          </w:p>
        </w:tc>
        <w:tc>
          <w:tcPr>
            <w:tcW w:w="2902" w:type="dxa"/>
          </w:tcPr>
          <w:p w14:paraId="436AD079">
            <w:pPr>
              <w:spacing w:after="0" w:line="276" w:lineRule="auto"/>
              <w:jc w:val="left"/>
            </w:pPr>
            <w:r>
              <w:rPr>
                <w:rFonts w:ascii="Times New Roman" w:hAnsi="Times New Roman" w:eastAsia="宋体"/>
                <w:b w:val="0"/>
                <w:color w:val="000000"/>
                <w:sz w:val="21"/>
              </w:rPr>
              <w:t>留一被试验证与乐观偏置量化</w:t>
            </w:r>
          </w:p>
        </w:tc>
        <w:tc>
          <w:tcPr>
            <w:tcW w:w="2902" w:type="dxa"/>
          </w:tcPr>
          <w:p w14:paraId="38D91907">
            <w:pPr>
              <w:spacing w:after="0" w:line="276" w:lineRule="auto"/>
              <w:jc w:val="left"/>
            </w:pPr>
            <w:r>
              <w:rPr>
                <w:rFonts w:ascii="Times New Roman" w:hAnsi="Times New Roman" w:eastAsia="宋体"/>
                <w:b w:val="0"/>
                <w:color w:val="000000"/>
                <w:sz w:val="21"/>
              </w:rPr>
              <w:t>留一被试 51.11%±6.57%；折内乐观 +4.7 个百分点</w:t>
            </w:r>
          </w:p>
        </w:tc>
      </w:tr>
      <w:tr w14:paraId="1E86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ED62348">
            <w:pPr>
              <w:spacing w:after="0" w:line="276" w:lineRule="auto"/>
              <w:jc w:val="left"/>
            </w:pPr>
            <w:r>
              <w:rPr>
                <w:rFonts w:ascii="Times New Roman" w:hAnsi="Times New Roman" w:eastAsia="宋体"/>
                <w:b w:val="0"/>
                <w:color w:val="000000"/>
                <w:sz w:val="21"/>
              </w:rPr>
              <w:t>指定集评测线</w:t>
            </w:r>
          </w:p>
        </w:tc>
        <w:tc>
          <w:tcPr>
            <w:tcW w:w="2902" w:type="dxa"/>
          </w:tcPr>
          <w:p w14:paraId="6EC221D0">
            <w:pPr>
              <w:spacing w:after="0" w:line="276" w:lineRule="auto"/>
              <w:jc w:val="left"/>
            </w:pPr>
            <w:r>
              <w:rPr>
                <w:rFonts w:ascii="Times New Roman" w:hAnsi="Times New Roman" w:eastAsia="宋体"/>
                <w:b w:val="0"/>
                <w:color w:val="000000"/>
                <w:sz w:val="21"/>
              </w:rPr>
              <w:t>误差去相关选池</w:t>
            </w:r>
          </w:p>
        </w:tc>
        <w:tc>
          <w:tcPr>
            <w:tcW w:w="2902" w:type="dxa"/>
          </w:tcPr>
          <w:p w14:paraId="114F4AE1">
            <w:pPr>
              <w:spacing w:after="0" w:line="276" w:lineRule="auto"/>
              <w:jc w:val="left"/>
            </w:pPr>
            <w:r>
              <w:rPr>
                <w:rFonts w:ascii="Times New Roman" w:hAnsi="Times New Roman" w:eastAsia="宋体"/>
                <w:b w:val="0"/>
                <w:color w:val="000000"/>
                <w:sz w:val="21"/>
              </w:rPr>
              <w:t>阴性</w:t>
            </w:r>
          </w:p>
        </w:tc>
      </w:tr>
      <w:tr w14:paraId="7B58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39C5CE9">
            <w:pPr>
              <w:spacing w:after="0" w:line="276" w:lineRule="auto"/>
              <w:jc w:val="left"/>
            </w:pPr>
            <w:r>
              <w:rPr>
                <w:rFonts w:ascii="Times New Roman" w:hAnsi="Times New Roman" w:eastAsia="宋体"/>
                <w:b w:val="0"/>
                <w:color w:val="000000"/>
                <w:sz w:val="21"/>
              </w:rPr>
              <w:t>指定集评测线</w:t>
            </w:r>
          </w:p>
        </w:tc>
        <w:tc>
          <w:tcPr>
            <w:tcW w:w="2902" w:type="dxa"/>
          </w:tcPr>
          <w:p w14:paraId="56B7B391">
            <w:pPr>
              <w:spacing w:after="0" w:line="276" w:lineRule="auto"/>
              <w:jc w:val="left"/>
            </w:pPr>
            <w:r>
              <w:rPr>
                <w:rFonts w:ascii="Times New Roman" w:hAnsi="Times New Roman" w:eastAsia="宋体"/>
                <w:b w:val="0"/>
                <w:color w:val="000000"/>
                <w:sz w:val="21"/>
              </w:rPr>
              <w:t>加固检验与提交风险否决</w:t>
            </w:r>
          </w:p>
        </w:tc>
        <w:tc>
          <w:tcPr>
            <w:tcW w:w="2902" w:type="dxa"/>
          </w:tcPr>
          <w:p w14:paraId="7A96DAE5">
            <w:pPr>
              <w:spacing w:after="0" w:line="276" w:lineRule="auto"/>
              <w:jc w:val="left"/>
            </w:pPr>
            <w:r>
              <w:rPr>
                <w:rFonts w:ascii="Times New Roman" w:hAnsi="Times New Roman" w:eastAsia="宋体"/>
                <w:b w:val="0"/>
                <w:color w:val="000000"/>
                <w:sz w:val="21"/>
              </w:rPr>
              <w:t>备选栈验证支撑不足，否决归档；提交 QuadFold-59；算法冻结</w:t>
            </w:r>
          </w:p>
        </w:tc>
      </w:tr>
      <w:tr w14:paraId="4119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6DAAFDAB">
            <w:pPr>
              <w:spacing w:after="0" w:line="276" w:lineRule="auto"/>
              <w:jc w:val="left"/>
            </w:pPr>
            <w:r>
              <w:rPr>
                <w:rFonts w:ascii="Times New Roman" w:hAnsi="Times New Roman" w:eastAsia="宋体"/>
                <w:b w:val="0"/>
                <w:color w:val="000000"/>
                <w:sz w:val="21"/>
              </w:rPr>
              <w:t>—</w:t>
            </w:r>
          </w:p>
        </w:tc>
        <w:tc>
          <w:tcPr>
            <w:tcW w:w="2902" w:type="dxa"/>
          </w:tcPr>
          <w:p w14:paraId="613FEE2E">
            <w:pPr>
              <w:spacing w:after="0" w:line="276" w:lineRule="auto"/>
              <w:jc w:val="left"/>
            </w:pPr>
            <w:r>
              <w:rPr>
                <w:rFonts w:ascii="Times New Roman" w:hAnsi="Times New Roman" w:eastAsia="宋体"/>
                <w:b w:val="0"/>
                <w:color w:val="000000"/>
                <w:sz w:val="21"/>
              </w:rPr>
              <w:t>—</w:t>
            </w:r>
          </w:p>
        </w:tc>
        <w:tc>
          <w:tcPr>
            <w:tcW w:w="2902" w:type="dxa"/>
          </w:tcPr>
          <w:p w14:paraId="0B171D72">
            <w:pPr>
              <w:spacing w:after="0" w:line="276" w:lineRule="auto"/>
              <w:jc w:val="left"/>
            </w:pPr>
            <w:r>
              <w:rPr>
                <w:rFonts w:ascii="Times New Roman" w:hAnsi="Times New Roman" w:eastAsia="宋体"/>
                <w:b w:val="0"/>
                <w:color w:val="000000"/>
                <w:sz w:val="21"/>
              </w:rPr>
              <w:t>（以下为系统主线在线部分）</w:t>
            </w:r>
          </w:p>
        </w:tc>
      </w:tr>
      <w:tr w14:paraId="6254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169F6E5">
            <w:pPr>
              <w:spacing w:after="0" w:line="276" w:lineRule="auto"/>
              <w:jc w:val="left"/>
            </w:pPr>
            <w:r>
              <w:rPr>
                <w:rFonts w:ascii="Times New Roman" w:hAnsi="Times New Roman" w:eastAsia="宋体"/>
                <w:b w:val="0"/>
                <w:color w:val="000000"/>
                <w:sz w:val="21"/>
              </w:rPr>
              <w:t>个体适配</w:t>
            </w:r>
          </w:p>
        </w:tc>
        <w:tc>
          <w:tcPr>
            <w:tcW w:w="2902" w:type="dxa"/>
          </w:tcPr>
          <w:p w14:paraId="4435DAF0">
            <w:pPr>
              <w:spacing w:after="0" w:line="276" w:lineRule="auto"/>
              <w:jc w:val="left"/>
            </w:pPr>
            <w:r>
              <w:rPr>
                <w:rFonts w:ascii="Times New Roman" w:hAnsi="Times New Roman" w:eastAsia="宋体"/>
                <w:b w:val="0"/>
                <w:color w:val="000000"/>
                <w:sz w:val="21"/>
              </w:rPr>
              <w:t>零样本对照与前半会话微调（BCI2a、自采游戏会话）</w:t>
            </w:r>
          </w:p>
        </w:tc>
        <w:tc>
          <w:tcPr>
            <w:tcW w:w="2902" w:type="dxa"/>
          </w:tcPr>
          <w:p w14:paraId="4251AA7B">
            <w:pPr>
              <w:spacing w:after="0" w:line="276" w:lineRule="auto"/>
              <w:jc w:val="left"/>
            </w:pPr>
            <w:r>
              <w:rPr>
                <w:rFonts w:ascii="Times New Roman" w:hAnsi="Times New Roman" w:eastAsia="宋体"/>
                <w:b w:val="0"/>
                <w:color w:val="000000"/>
                <w:sz w:val="21"/>
              </w:rPr>
              <w:t>微调必要性确立；OpenBMI 权重为部署主权重</w:t>
            </w:r>
          </w:p>
        </w:tc>
      </w:tr>
      <w:tr w14:paraId="2A4F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027A0931">
            <w:pPr>
              <w:spacing w:after="0" w:line="276" w:lineRule="auto"/>
              <w:jc w:val="left"/>
            </w:pPr>
            <w:r>
              <w:rPr>
                <w:rFonts w:ascii="Times New Roman" w:hAnsi="Times New Roman" w:eastAsia="宋体"/>
                <w:b w:val="0"/>
                <w:color w:val="000000"/>
                <w:sz w:val="21"/>
              </w:rPr>
              <w:t>个体适配</w:t>
            </w:r>
          </w:p>
        </w:tc>
        <w:tc>
          <w:tcPr>
            <w:tcW w:w="2902" w:type="dxa"/>
          </w:tcPr>
          <w:p w14:paraId="0A704B8E">
            <w:pPr>
              <w:spacing w:after="0" w:line="276" w:lineRule="auto"/>
              <w:jc w:val="left"/>
            </w:pPr>
            <w:r>
              <w:rPr>
                <w:rFonts w:ascii="Times New Roman" w:hAnsi="Times New Roman" w:eastAsia="宋体"/>
                <w:b w:val="0"/>
                <w:color w:val="000000"/>
                <w:sz w:val="21"/>
              </w:rPr>
              <w:t>质量门控（生理指标与可教试次）</w:t>
            </w:r>
          </w:p>
        </w:tc>
        <w:tc>
          <w:tcPr>
            <w:tcW w:w="2902" w:type="dxa"/>
          </w:tcPr>
          <w:p w14:paraId="46D4CD43">
            <w:pPr>
              <w:spacing w:after="0" w:line="276" w:lineRule="auto"/>
              <w:jc w:val="left"/>
            </w:pPr>
            <w:r>
              <w:rPr>
                <w:rFonts w:ascii="Times New Roman" w:hAnsi="Times New Roman" w:eastAsia="宋体"/>
                <w:b w:val="0"/>
                <w:color w:val="000000"/>
                <w:sz w:val="21"/>
              </w:rPr>
              <w:t>门控叠加有收益但弃权率高；不进入在线方案</w:t>
            </w:r>
          </w:p>
        </w:tc>
      </w:tr>
      <w:tr w14:paraId="252A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736182A8">
            <w:pPr>
              <w:spacing w:after="0" w:line="276" w:lineRule="auto"/>
              <w:jc w:val="left"/>
            </w:pPr>
            <w:r>
              <w:rPr>
                <w:rFonts w:ascii="Times New Roman" w:hAnsi="Times New Roman" w:eastAsia="宋体"/>
                <w:b w:val="0"/>
                <w:color w:val="000000"/>
                <w:sz w:val="21"/>
              </w:rPr>
              <w:t>个体适配</w:t>
            </w:r>
          </w:p>
        </w:tc>
        <w:tc>
          <w:tcPr>
            <w:tcW w:w="2902" w:type="dxa"/>
          </w:tcPr>
          <w:p w14:paraId="6550A37D">
            <w:pPr>
              <w:spacing w:after="0" w:line="276" w:lineRule="auto"/>
              <w:jc w:val="left"/>
            </w:pPr>
            <w:r>
              <w:rPr>
                <w:rFonts w:ascii="Times New Roman" w:hAnsi="Times New Roman" w:eastAsia="宋体"/>
                <w:b w:val="0"/>
                <w:color w:val="000000"/>
                <w:sz w:val="21"/>
              </w:rPr>
              <w:t>Stieger 3 s 跨库伪在线复现与测试时适配</w:t>
            </w:r>
          </w:p>
        </w:tc>
        <w:tc>
          <w:tcPr>
            <w:tcW w:w="2902" w:type="dxa"/>
          </w:tcPr>
          <w:p w14:paraId="35548FAC">
            <w:pPr>
              <w:spacing w:after="0" w:line="276" w:lineRule="auto"/>
              <w:jc w:val="left"/>
            </w:pPr>
            <w:r>
              <w:rPr>
                <w:rFonts w:ascii="Times New Roman" w:hAnsi="Times New Roman" w:eastAsia="宋体"/>
                <w:b w:val="0"/>
                <w:color w:val="000000"/>
                <w:sz w:val="21"/>
              </w:rPr>
              <w:t>零样本 41.98% → 微调 65.90%；统计对齐阴性</w:t>
            </w:r>
          </w:p>
        </w:tc>
      </w:tr>
      <w:tr w14:paraId="5D71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5018EEE1">
            <w:pPr>
              <w:spacing w:after="0" w:line="276" w:lineRule="auto"/>
              <w:jc w:val="left"/>
            </w:pPr>
            <w:r>
              <w:rPr>
                <w:rFonts w:ascii="Times New Roman" w:hAnsi="Times New Roman" w:eastAsia="宋体"/>
                <w:b w:val="0"/>
                <w:color w:val="000000"/>
                <w:sz w:val="21"/>
              </w:rPr>
              <w:t>个体适配</w:t>
            </w:r>
          </w:p>
        </w:tc>
        <w:tc>
          <w:tcPr>
            <w:tcW w:w="2902" w:type="dxa"/>
          </w:tcPr>
          <w:p w14:paraId="1ADF382F">
            <w:pPr>
              <w:spacing w:after="0" w:line="276" w:lineRule="auto"/>
              <w:jc w:val="left"/>
            </w:pPr>
            <w:r>
              <w:rPr>
                <w:rFonts w:ascii="Times New Roman" w:hAnsi="Times New Roman" w:eastAsia="宋体"/>
                <w:b w:val="0"/>
                <w:color w:val="000000"/>
                <w:sz w:val="21"/>
              </w:rPr>
              <w:t>采后微调回放方案对比与成员经济性消融</w:t>
            </w:r>
          </w:p>
        </w:tc>
        <w:tc>
          <w:tcPr>
            <w:tcW w:w="2902" w:type="dxa"/>
          </w:tcPr>
          <w:p w14:paraId="39379507">
            <w:pPr>
              <w:spacing w:after="0" w:line="276" w:lineRule="auto"/>
              <w:jc w:val="left"/>
            </w:pPr>
            <w:r>
              <w:rPr>
                <w:rFonts w:ascii="Times New Roman" w:hAnsi="Times New Roman" w:eastAsia="宋体"/>
                <w:b w:val="0"/>
                <w:color w:val="000000"/>
                <w:sz w:val="21"/>
              </w:rPr>
              <w:t>源域回放 10% 与全成员微调定型</w:t>
            </w:r>
          </w:p>
        </w:tc>
      </w:tr>
      <w:tr w14:paraId="1A8C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6BE4A7A">
            <w:pPr>
              <w:spacing w:after="0" w:line="276" w:lineRule="auto"/>
              <w:jc w:val="left"/>
            </w:pPr>
            <w:r>
              <w:rPr>
                <w:rFonts w:ascii="Times New Roman" w:hAnsi="Times New Roman" w:eastAsia="宋体"/>
                <w:b w:val="0"/>
                <w:color w:val="000000"/>
                <w:sz w:val="21"/>
              </w:rPr>
              <w:t>个体适配</w:t>
            </w:r>
          </w:p>
        </w:tc>
        <w:tc>
          <w:tcPr>
            <w:tcW w:w="2902" w:type="dxa"/>
          </w:tcPr>
          <w:p w14:paraId="39F1BC77">
            <w:pPr>
              <w:spacing w:after="0" w:line="276" w:lineRule="auto"/>
              <w:jc w:val="left"/>
            </w:pPr>
            <w:r>
              <w:rPr>
                <w:rFonts w:ascii="Times New Roman" w:hAnsi="Times New Roman" w:eastAsia="宋体"/>
                <w:b w:val="0"/>
                <w:color w:val="000000"/>
                <w:sz w:val="21"/>
              </w:rPr>
              <w:t>BCI2a 逐场次采后微调仿真（9 人 × 6 轮）</w:t>
            </w:r>
          </w:p>
        </w:tc>
        <w:tc>
          <w:tcPr>
            <w:tcW w:w="2902" w:type="dxa"/>
          </w:tcPr>
          <w:p w14:paraId="4AD988FE">
            <w:pPr>
              <w:spacing w:after="0" w:line="276" w:lineRule="auto"/>
              <w:jc w:val="left"/>
            </w:pPr>
            <w:r>
              <w:rPr>
                <w:rFonts w:ascii="Times New Roman" w:hAnsi="Times New Roman" w:eastAsia="宋体"/>
                <w:b w:val="0"/>
                <w:color w:val="000000"/>
                <w:sz w:val="21"/>
              </w:rPr>
              <w:t>末档四成员 66.30% 对单成员 45.20%；方案最优性证据</w:t>
            </w:r>
          </w:p>
        </w:tc>
      </w:tr>
      <w:tr w14:paraId="103E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3689D947">
            <w:pPr>
              <w:spacing w:after="0" w:line="276" w:lineRule="auto"/>
              <w:jc w:val="left"/>
            </w:pPr>
            <w:r>
              <w:rPr>
                <w:rFonts w:ascii="Times New Roman" w:hAnsi="Times New Roman" w:eastAsia="宋体"/>
                <w:b w:val="0"/>
                <w:color w:val="000000"/>
                <w:sz w:val="21"/>
              </w:rPr>
              <w:t>个体适配</w:t>
            </w:r>
          </w:p>
        </w:tc>
        <w:tc>
          <w:tcPr>
            <w:tcW w:w="2902" w:type="dxa"/>
          </w:tcPr>
          <w:p w14:paraId="7E68E611">
            <w:pPr>
              <w:spacing w:after="0" w:line="276" w:lineRule="auto"/>
              <w:jc w:val="left"/>
            </w:pPr>
            <w:r>
              <w:rPr>
                <w:rFonts w:ascii="Times New Roman" w:hAnsi="Times New Roman" w:eastAsia="宋体"/>
                <w:b w:val="0"/>
                <w:color w:val="000000"/>
                <w:sz w:val="21"/>
              </w:rPr>
              <w:t>真实被试逐场次微调复验</w:t>
            </w:r>
          </w:p>
        </w:tc>
        <w:tc>
          <w:tcPr>
            <w:tcW w:w="2902" w:type="dxa"/>
          </w:tcPr>
          <w:p w14:paraId="246F0691">
            <w:pPr>
              <w:spacing w:after="0" w:line="276" w:lineRule="auto"/>
              <w:jc w:val="left"/>
            </w:pPr>
            <w:r>
              <w:rPr>
                <w:rFonts w:ascii="Times New Roman" w:hAnsi="Times New Roman" w:eastAsia="宋体"/>
                <w:b w:val="0"/>
                <w:color w:val="000000"/>
                <w:sz w:val="21"/>
              </w:rPr>
              <w:t>BCI2a 三分类末档：全成员微调较「仅微调浅层单成员」+21.1 个百分点；真人队列见 3.6–3.7</w:t>
            </w:r>
          </w:p>
        </w:tc>
      </w:tr>
      <w:tr w14:paraId="5850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1B479A45">
            <w:pPr>
              <w:spacing w:after="0" w:line="276" w:lineRule="auto"/>
              <w:jc w:val="left"/>
            </w:pPr>
            <w:r>
              <w:rPr>
                <w:rFonts w:ascii="Times New Roman" w:hAnsi="Times New Roman" w:eastAsia="宋体"/>
                <w:b w:val="0"/>
                <w:color w:val="000000"/>
                <w:sz w:val="21"/>
              </w:rPr>
              <w:t>个体适配</w:t>
            </w:r>
          </w:p>
        </w:tc>
        <w:tc>
          <w:tcPr>
            <w:tcW w:w="2902" w:type="dxa"/>
          </w:tcPr>
          <w:p w14:paraId="4B4608A3">
            <w:pPr>
              <w:spacing w:after="0" w:line="276" w:lineRule="auto"/>
              <w:jc w:val="left"/>
            </w:pPr>
            <w:r>
              <w:rPr>
                <w:rFonts w:ascii="Times New Roman" w:hAnsi="Times New Roman" w:eastAsia="宋体"/>
                <w:b w:val="0"/>
                <w:color w:val="000000"/>
                <w:sz w:val="21"/>
              </w:rPr>
              <w:t>真人被试全队列统一总账（20 人）</w:t>
            </w:r>
          </w:p>
        </w:tc>
        <w:tc>
          <w:tcPr>
            <w:tcW w:w="2902" w:type="dxa"/>
          </w:tcPr>
          <w:p w14:paraId="466E84C4">
            <w:pPr>
              <w:spacing w:after="0" w:line="276" w:lineRule="auto"/>
              <w:jc w:val="left"/>
            </w:pPr>
            <w:r>
              <w:rPr>
                <w:rFonts w:ascii="Times New Roman" w:hAnsi="Times New Roman" w:eastAsia="宋体"/>
                <w:b w:val="0"/>
                <w:color w:val="000000"/>
                <w:sz w:val="21"/>
              </w:rPr>
              <w:t>末档微调窗级均值 47.60%（零样本 37.50%）；12/20 过门控；个体分化完整登记</w:t>
            </w:r>
          </w:p>
        </w:tc>
      </w:tr>
      <w:tr w14:paraId="436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13F4918">
            <w:pPr>
              <w:spacing w:after="0" w:line="276" w:lineRule="auto"/>
              <w:jc w:val="left"/>
            </w:pPr>
            <w:r>
              <w:rPr>
                <w:rFonts w:ascii="Times New Roman" w:hAnsi="Times New Roman" w:eastAsia="宋体"/>
                <w:b w:val="0"/>
                <w:color w:val="000000"/>
                <w:sz w:val="21"/>
              </w:rPr>
              <w:t>个体适配</w:t>
            </w:r>
          </w:p>
        </w:tc>
        <w:tc>
          <w:tcPr>
            <w:tcW w:w="2902" w:type="dxa"/>
          </w:tcPr>
          <w:p w14:paraId="06CB42E7">
            <w:pPr>
              <w:spacing w:after="0" w:line="276" w:lineRule="auto"/>
              <w:jc w:val="left"/>
            </w:pPr>
            <w:r>
              <w:rPr>
                <w:rFonts w:ascii="Times New Roman" w:hAnsi="Times New Roman" w:eastAsia="宋体"/>
                <w:b w:val="0"/>
                <w:color w:val="000000"/>
                <w:sz w:val="21"/>
              </w:rPr>
              <w:t>真人队列混杂分解与坍塌普查（20 人统一账）</w:t>
            </w:r>
          </w:p>
        </w:tc>
        <w:tc>
          <w:tcPr>
            <w:tcW w:w="2902" w:type="dxa"/>
          </w:tcPr>
          <w:p w14:paraId="6A604A9E">
            <w:pPr>
              <w:spacing w:after="0" w:line="276" w:lineRule="auto"/>
              <w:jc w:val="left"/>
            </w:pPr>
            <w:r>
              <w:rPr>
                <w:rFonts w:ascii="Times New Roman" w:hAnsi="Times New Roman" w:eastAsia="宋体"/>
                <w:b w:val="0"/>
                <w:color w:val="000000"/>
                <w:sz w:val="21"/>
              </w:rPr>
              <w:t>数据量贡献个体二态（+3.5 个百分点、60% 为正）；末轮坍塌 1/20；无会话内疲劳；近因匹配优于历史采样（−4.0 个百分点）</w:t>
            </w:r>
          </w:p>
        </w:tc>
      </w:tr>
      <w:tr w14:paraId="4E68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902" w:type="dxa"/>
          </w:tcPr>
          <w:p w14:paraId="455BD878">
            <w:pPr>
              <w:spacing w:after="0" w:line="276" w:lineRule="auto"/>
              <w:jc w:val="left"/>
            </w:pPr>
            <w:r>
              <w:rPr>
                <w:rFonts w:ascii="Times New Roman" w:hAnsi="Times New Roman" w:eastAsia="宋体"/>
                <w:b w:val="0"/>
                <w:color w:val="000000"/>
                <w:sz w:val="21"/>
              </w:rPr>
              <w:t>延迟评测</w:t>
            </w:r>
          </w:p>
        </w:tc>
        <w:tc>
          <w:tcPr>
            <w:tcW w:w="2902" w:type="dxa"/>
          </w:tcPr>
          <w:p w14:paraId="03DE6B49">
            <w:pPr>
              <w:spacing w:after="0" w:line="276" w:lineRule="auto"/>
              <w:jc w:val="left"/>
            </w:pPr>
            <w:r>
              <w:rPr>
                <w:rFonts w:ascii="Times New Roman" w:hAnsi="Times New Roman" w:eastAsia="宋体"/>
                <w:b w:val="0"/>
                <w:color w:val="000000"/>
                <w:sz w:val="21"/>
              </w:rPr>
              <w:t>在线前向与判定延迟测量</w:t>
            </w:r>
          </w:p>
        </w:tc>
        <w:tc>
          <w:tcPr>
            <w:tcW w:w="2902" w:type="dxa"/>
          </w:tcPr>
          <w:p w14:paraId="3FFF3BC5">
            <w:pPr>
              <w:spacing w:after="0" w:line="276" w:lineRule="auto"/>
              <w:jc w:val="left"/>
            </w:pPr>
            <w:r>
              <w:rPr>
                <w:rFonts w:ascii="Times New Roman" w:hAnsi="Times New Roman" w:eastAsia="宋体"/>
                <w:b w:val="0"/>
                <w:color w:val="000000"/>
                <w:sz w:val="21"/>
              </w:rPr>
              <w:t>单窗前向 1.11 ms；判定延迟约 3.5 s</w:t>
            </w:r>
          </w:p>
        </w:tc>
      </w:tr>
    </w:tbl>
    <w:p w14:paraId="766F8650">
      <w:pPr>
        <w:spacing w:after="60"/>
      </w:pPr>
    </w:p>
    <w:p w14:paraId="1775F0D5">
      <w:pPr>
        <w:pStyle w:val="3"/>
        <w:spacing w:before="280" w:after="160" w:line="312" w:lineRule="auto"/>
        <w:jc w:val="center"/>
      </w:pPr>
      <w:bookmarkStart w:id="31" w:name="_Toc9905"/>
      <w:r>
        <w:rPr>
          <w:rFonts w:ascii="Times New Roman" w:hAnsi="Times New Roman" w:eastAsia="黑体"/>
          <w:b/>
          <w:color w:val="000000"/>
          <w:sz w:val="32"/>
        </w:rPr>
        <w:t>附录 B · 系统常量与冻结口径</w:t>
      </w:r>
      <w:bookmarkEnd w:id="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4353"/>
        <w:gridCol w:w="4353"/>
      </w:tblGrid>
      <w:tr w14:paraId="77AF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4353" w:type="dxa"/>
            <w:shd w:val="clear" w:color="auto" w:fill="D9E2F3"/>
          </w:tcPr>
          <w:p w14:paraId="1F282522">
            <w:pPr>
              <w:spacing w:after="0" w:line="276" w:lineRule="auto"/>
              <w:jc w:val="center"/>
            </w:pPr>
            <w:r>
              <w:rPr>
                <w:rFonts w:ascii="Times New Roman" w:hAnsi="Times New Roman" w:eastAsia="宋体"/>
                <w:b w:val="0"/>
                <w:color w:val="000000"/>
                <w:sz w:val="21"/>
              </w:rPr>
              <w:t>常量</w:t>
            </w:r>
          </w:p>
        </w:tc>
        <w:tc>
          <w:tcPr>
            <w:tcW w:w="4353" w:type="dxa"/>
            <w:shd w:val="clear" w:color="auto" w:fill="D9E2F3"/>
          </w:tcPr>
          <w:p w14:paraId="1D2D5B6B">
            <w:pPr>
              <w:spacing w:after="0" w:line="276" w:lineRule="auto"/>
              <w:jc w:val="center"/>
            </w:pPr>
            <w:r>
              <w:rPr>
                <w:rFonts w:ascii="Times New Roman" w:hAnsi="Times New Roman" w:eastAsia="宋体"/>
                <w:b w:val="0"/>
                <w:color w:val="000000"/>
                <w:sz w:val="21"/>
              </w:rPr>
              <w:t>取值</w:t>
            </w:r>
          </w:p>
        </w:tc>
      </w:tr>
      <w:tr w14:paraId="1904D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44A7C5B1">
            <w:pPr>
              <w:spacing w:after="0" w:line="276" w:lineRule="auto"/>
              <w:jc w:val="left"/>
            </w:pPr>
            <w:r>
              <w:rPr>
                <w:rFonts w:ascii="Times New Roman" w:hAnsi="Times New Roman" w:eastAsia="宋体"/>
                <w:b w:val="0"/>
                <w:color w:val="000000"/>
                <w:sz w:val="21"/>
              </w:rPr>
              <w:t>通道集合（8 导）</w:t>
            </w:r>
          </w:p>
        </w:tc>
        <w:tc>
          <w:tcPr>
            <w:tcW w:w="4353" w:type="dxa"/>
          </w:tcPr>
          <w:p w14:paraId="04316956">
            <w:pPr>
              <w:spacing w:after="0" w:line="276" w:lineRule="auto"/>
              <w:jc w:val="left"/>
            </w:pPr>
            <w:r>
              <w:rPr>
                <w:rFonts w:ascii="Times New Roman" w:hAnsi="Times New Roman" w:eastAsia="宋体"/>
                <w:b w:val="0"/>
                <w:color w:val="000000"/>
                <w:sz w:val="21"/>
              </w:rPr>
              <w:t>FC3, C3, CP3, CZ, CPZ, FC4, C4, CP4（运动皮层覆盖；轴序索引 0–7 于采集、微调与在线推理统一冻结，2026-08-29 口径，禁止重排）</w:t>
            </w:r>
          </w:p>
        </w:tc>
      </w:tr>
      <w:tr w14:paraId="23CF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73A3EA46">
            <w:pPr>
              <w:spacing w:after="0" w:line="276" w:lineRule="auto"/>
              <w:jc w:val="left"/>
            </w:pPr>
            <w:r>
              <w:rPr>
                <w:rFonts w:ascii="Times New Roman" w:hAnsi="Times New Roman" w:eastAsia="宋体"/>
                <w:b w:val="0"/>
                <w:color w:val="000000"/>
                <w:sz w:val="21"/>
              </w:rPr>
              <w:t>采样率</w:t>
            </w:r>
          </w:p>
        </w:tc>
        <w:tc>
          <w:tcPr>
            <w:tcW w:w="4353" w:type="dxa"/>
          </w:tcPr>
          <w:p w14:paraId="391FC517">
            <w:pPr>
              <w:spacing w:after="0" w:line="276" w:lineRule="auto"/>
              <w:jc w:val="left"/>
            </w:pPr>
            <w:r>
              <w:rPr>
                <w:rFonts w:ascii="Times New Roman" w:hAnsi="Times New Roman" w:eastAsia="宋体"/>
                <w:b w:val="0"/>
                <w:color w:val="000000"/>
                <w:sz w:val="21"/>
              </w:rPr>
              <w:t>250 Hz</w:t>
            </w:r>
          </w:p>
        </w:tc>
      </w:tr>
      <w:tr w14:paraId="4BBF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2CE116A9">
            <w:pPr>
              <w:spacing w:after="0" w:line="276" w:lineRule="auto"/>
              <w:jc w:val="left"/>
            </w:pPr>
            <w:r>
              <w:rPr>
                <w:rFonts w:ascii="Times New Roman" w:hAnsi="Times New Roman" w:eastAsia="宋体"/>
                <w:b w:val="0"/>
                <w:color w:val="000000"/>
                <w:sz w:val="21"/>
              </w:rPr>
              <w:t>Cyton 板载滤波</w:t>
            </w:r>
          </w:p>
        </w:tc>
        <w:tc>
          <w:tcPr>
            <w:tcW w:w="4353" w:type="dxa"/>
          </w:tcPr>
          <w:p w14:paraId="50B90F55">
            <w:pPr>
              <w:spacing w:after="0" w:line="276" w:lineRule="auto"/>
              <w:jc w:val="left"/>
            </w:pPr>
            <w:r>
              <w:rPr>
                <w:rFonts w:ascii="Times New Roman" w:hAnsi="Times New Roman" w:eastAsia="宋体"/>
                <w:b w:val="0"/>
                <w:color w:val="000000"/>
                <w:sz w:val="21"/>
              </w:rPr>
              <w:t>关闭（不启用板载带通/陷波；原始采样入主机；软件侧 CAR + 8–30 Hz 带通等见 2.3 节）</w:t>
            </w:r>
          </w:p>
        </w:tc>
      </w:tr>
      <w:tr w14:paraId="12AA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2C97059E">
            <w:pPr>
              <w:spacing w:after="0" w:line="276" w:lineRule="auto"/>
              <w:jc w:val="left"/>
            </w:pPr>
            <w:r>
              <w:rPr>
                <w:rFonts w:ascii="Times New Roman" w:hAnsi="Times New Roman" w:eastAsia="宋体"/>
                <w:b w:val="0"/>
                <w:color w:val="000000"/>
                <w:sz w:val="21"/>
              </w:rPr>
              <w:t>范式时序</w:t>
            </w:r>
          </w:p>
        </w:tc>
        <w:tc>
          <w:tcPr>
            <w:tcW w:w="4353" w:type="dxa"/>
          </w:tcPr>
          <w:p w14:paraId="7B1AE651">
            <w:pPr>
              <w:spacing w:after="0" w:line="276" w:lineRule="auto"/>
              <w:jc w:val="left"/>
            </w:pPr>
            <w:r>
              <w:rPr>
                <w:rFonts w:ascii="Times New Roman" w:hAnsi="Times New Roman" w:eastAsia="宋体"/>
                <w:b w:val="0"/>
                <w:color w:val="000000"/>
                <w:sz w:val="21"/>
              </w:rPr>
              <w:t>Rest 4 s → 准备 2 s → Cue 1 s → 运动想象 4 s → 试次间隔 3 s（块间 30 s）</w:t>
            </w:r>
          </w:p>
        </w:tc>
      </w:tr>
      <w:tr w14:paraId="5FB1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1246EACE">
            <w:pPr>
              <w:spacing w:after="0" w:line="276" w:lineRule="auto"/>
              <w:jc w:val="left"/>
            </w:pPr>
            <w:r>
              <w:rPr>
                <w:rFonts w:ascii="Times New Roman" w:hAnsi="Times New Roman" w:eastAsia="宋体"/>
                <w:b w:val="0"/>
                <w:color w:val="000000"/>
                <w:sz w:val="21"/>
              </w:rPr>
              <w:t>在线窗</w:t>
            </w:r>
          </w:p>
        </w:tc>
        <w:tc>
          <w:tcPr>
            <w:tcW w:w="4353" w:type="dxa"/>
          </w:tcPr>
          <w:p w14:paraId="44D4C459">
            <w:pPr>
              <w:spacing w:after="0" w:line="276" w:lineRule="auto"/>
              <w:jc w:val="left"/>
            </w:pPr>
            <w:r>
              <w:rPr>
                <w:rFonts w:ascii="Times New Roman" w:hAnsi="Times New Roman" w:eastAsia="宋体"/>
                <w:b w:val="0"/>
                <w:color w:val="000000"/>
                <w:sz w:val="21"/>
              </w:rPr>
              <w:t>3 s / 750 点，步长 100 ms，段级基线取 Cue 前 0.5 s</w:t>
            </w:r>
          </w:p>
        </w:tc>
      </w:tr>
      <w:tr w14:paraId="278E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0495C771">
            <w:pPr>
              <w:spacing w:after="0" w:line="276" w:lineRule="auto"/>
              <w:jc w:val="left"/>
            </w:pPr>
            <w:r>
              <w:rPr>
                <w:rFonts w:ascii="Times New Roman" w:hAnsi="Times New Roman" w:eastAsia="宋体"/>
                <w:b w:val="0"/>
                <w:color w:val="000000"/>
                <w:sz w:val="21"/>
              </w:rPr>
              <w:t>读出</w:t>
            </w:r>
          </w:p>
        </w:tc>
        <w:tc>
          <w:tcPr>
            <w:tcW w:w="4353" w:type="dxa"/>
          </w:tcPr>
          <w:p w14:paraId="0507F235">
            <w:pPr>
              <w:spacing w:after="0" w:line="276" w:lineRule="auto"/>
              <w:jc w:val="left"/>
            </w:pPr>
            <w:r>
              <w:rPr>
                <w:rFonts w:ascii="Times New Roman" w:hAnsi="Times New Roman" w:eastAsia="宋体"/>
                <w:b w:val="0"/>
                <w:color w:val="000000"/>
                <w:sz w:val="21"/>
              </w:rPr>
              <w:t>四成员融合、因果滑窗回看两窗、取最大概率类；试次级多数票</w:t>
            </w:r>
          </w:p>
        </w:tc>
      </w:tr>
      <w:tr w14:paraId="2ACC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4157C7FA">
            <w:pPr>
              <w:spacing w:after="0" w:line="276" w:lineRule="auto"/>
              <w:jc w:val="left"/>
            </w:pPr>
            <w:r>
              <w:rPr>
                <w:rFonts w:ascii="Times New Roman" w:hAnsi="Times New Roman" w:eastAsia="宋体"/>
                <w:b w:val="0"/>
                <w:color w:val="000000"/>
                <w:sz w:val="21"/>
              </w:rPr>
              <w:t>微调策略</w:t>
            </w:r>
          </w:p>
        </w:tc>
        <w:tc>
          <w:tcPr>
            <w:tcW w:w="4353" w:type="dxa"/>
          </w:tcPr>
          <w:p w14:paraId="3B43BCD9">
            <w:pPr>
              <w:spacing w:after="0" w:line="276" w:lineRule="auto"/>
              <w:jc w:val="left"/>
            </w:pPr>
            <w:r>
              <w:rPr>
                <w:rFonts w:ascii="Times New Roman" w:hAnsi="Times New Roman" w:eastAsia="宋体"/>
                <w:b w:val="0"/>
                <w:color w:val="000000"/>
                <w:sz w:val="21"/>
              </w:rPr>
              <w:t>采后逐场次增量微调，全成员范围，源域回放 10%，场次门控不通过告警晋升</w:t>
            </w:r>
          </w:p>
        </w:tc>
      </w:tr>
      <w:tr w14:paraId="27B1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7E874804">
            <w:pPr>
              <w:spacing w:after="0" w:line="276" w:lineRule="auto"/>
              <w:jc w:val="left"/>
            </w:pPr>
            <w:r>
              <w:rPr>
                <w:rFonts w:ascii="Times New Roman" w:hAnsi="Times New Roman" w:eastAsia="宋体"/>
                <w:b w:val="0"/>
                <w:color w:val="000000"/>
                <w:sz w:val="21"/>
              </w:rPr>
              <w:t>计分</w:t>
            </w:r>
          </w:p>
        </w:tc>
        <w:tc>
          <w:tcPr>
            <w:tcW w:w="4353" w:type="dxa"/>
          </w:tcPr>
          <w:p w14:paraId="152329FF">
            <w:pPr>
              <w:spacing w:after="0" w:line="276" w:lineRule="auto"/>
              <w:jc w:val="left"/>
            </w:pPr>
            <w:r>
              <w:rPr>
                <w:rFonts w:ascii="Times New Roman" w:hAnsi="Times New Roman" w:eastAsia="宋体"/>
                <w:b w:val="0"/>
                <w:color w:val="000000"/>
                <w:sz w:val="21"/>
              </w:rPr>
              <w:t>想象判对 +1，Cue 前静息判对 +0.5；v3 探针 36 次 L/R（每试次含 Cue 前 Rest），在线满分 54；Leave-Next/队列汇报常 Rest 截断后满分 45（v3test 约 20 试次连击，非正式口径）</w:t>
            </w:r>
          </w:p>
        </w:tc>
      </w:tr>
      <w:tr w14:paraId="76B0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5B5A9214">
            <w:pPr>
              <w:spacing w:after="0" w:line="276" w:lineRule="auto"/>
              <w:jc w:val="left"/>
            </w:pPr>
            <w:r>
              <w:rPr>
                <w:rFonts w:ascii="Times New Roman" w:hAnsi="Times New Roman" w:eastAsia="宋体"/>
                <w:b w:val="0"/>
                <w:color w:val="000000"/>
                <w:sz w:val="21"/>
              </w:rPr>
              <w:t>场次门控</w:t>
            </w:r>
          </w:p>
        </w:tc>
        <w:tc>
          <w:tcPr>
            <w:tcW w:w="4353" w:type="dxa"/>
          </w:tcPr>
          <w:p w14:paraId="5CE18155">
            <w:pPr>
              <w:spacing w:after="0" w:line="276" w:lineRule="auto"/>
              <w:jc w:val="left"/>
            </w:pPr>
            <w:r>
              <w:rPr>
                <w:rFonts w:ascii="Times New Roman" w:hAnsi="Times New Roman" w:eastAsia="宋体"/>
                <w:b w:val="0"/>
                <w:color w:val="000000"/>
                <w:sz w:val="21"/>
              </w:rPr>
              <w:t>保留会话窗级：展示用因果平滑，判定用原始读数，通过与否落盘告警</w:t>
            </w:r>
          </w:p>
        </w:tc>
      </w:tr>
      <w:tr w14:paraId="5FF6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00AC2499">
            <w:pPr>
              <w:spacing w:after="0" w:line="276" w:lineRule="auto"/>
              <w:jc w:val="left"/>
            </w:pPr>
            <w:r>
              <w:rPr>
                <w:rFonts w:ascii="Times New Roman" w:hAnsi="Times New Roman" w:eastAsia="宋体"/>
                <w:b w:val="0"/>
                <w:color w:val="000000"/>
                <w:sz w:val="21"/>
              </w:rPr>
              <w:t>脑电看门狗</w:t>
            </w:r>
          </w:p>
        </w:tc>
        <w:tc>
          <w:tcPr>
            <w:tcW w:w="4353" w:type="dxa"/>
          </w:tcPr>
          <w:p w14:paraId="6A9514F4">
            <w:pPr>
              <w:spacing w:after="0" w:line="276" w:lineRule="auto"/>
              <w:jc w:val="left"/>
            </w:pPr>
            <w:r>
              <w:rPr>
                <w:rFonts w:ascii="Times New Roman" w:hAnsi="Times New Roman" w:eastAsia="宋体"/>
                <w:b w:val="0"/>
                <w:color w:val="000000"/>
                <w:sz w:val="21"/>
              </w:rPr>
              <w:t>缓冲停滞告警 2.0 s，会话中止 5.0 s</w:t>
            </w:r>
          </w:p>
        </w:tc>
      </w:tr>
      <w:tr w14:paraId="2CA4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52457B32">
            <w:pPr>
              <w:spacing w:after="0" w:line="276" w:lineRule="auto"/>
              <w:jc w:val="left"/>
            </w:pPr>
            <w:r>
              <w:rPr>
                <w:rFonts w:ascii="Times New Roman" w:hAnsi="Times New Roman" w:eastAsia="宋体"/>
                <w:b w:val="0"/>
                <w:color w:val="000000"/>
                <w:sz w:val="21"/>
              </w:rPr>
              <w:t>指定集口径（指定集评测线）</w:t>
            </w:r>
          </w:p>
        </w:tc>
        <w:tc>
          <w:tcPr>
            <w:tcW w:w="4353" w:type="dxa"/>
          </w:tcPr>
          <w:p w14:paraId="500C714A">
            <w:pPr>
              <w:spacing w:after="0" w:line="276" w:lineRule="auto"/>
              <w:jc w:val="left"/>
            </w:pPr>
            <w:r>
              <w:rPr>
                <w:rFonts w:ascii="Times New Roman" w:hAnsi="Times New Roman" w:eastAsia="宋体"/>
                <w:b w:val="0"/>
                <w:color w:val="000000"/>
                <w:sz w:val="21"/>
              </w:rPr>
              <w:t>59 通道；每试次一窗（无滑窗步长）；训练 S01–S06，盲测 S07–S08 无标签；不与主线 8 导滑窗数据混用</w:t>
            </w:r>
          </w:p>
        </w:tc>
      </w:tr>
    </w:tbl>
    <w:p w14:paraId="793E184B">
      <w:pPr>
        <w:spacing w:after="60"/>
      </w:pPr>
    </w:p>
    <w:p w14:paraId="39583740">
      <w:pPr>
        <w:pStyle w:val="3"/>
        <w:spacing w:before="280" w:after="160" w:line="312" w:lineRule="auto"/>
        <w:jc w:val="center"/>
      </w:pPr>
      <w:bookmarkStart w:id="32" w:name="_Toc3746"/>
      <w:r>
        <w:rPr>
          <w:rFonts w:ascii="Times New Roman" w:hAnsi="Times New Roman" w:eastAsia="黑体"/>
          <w:b/>
          <w:color w:val="000000"/>
          <w:sz w:val="32"/>
        </w:rPr>
        <w:t>附录 C · 与赛题要求对照</w:t>
      </w:r>
      <w:bookmarkEnd w:id="3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0" w:type="dxa"/>
          <w:left w:w="80" w:type="dxa"/>
          <w:bottom w:w="40" w:type="dxa"/>
          <w:right w:w="80" w:type="dxa"/>
        </w:tblCellMar>
      </w:tblPr>
      <w:tblGrid>
        <w:gridCol w:w="4353"/>
        <w:gridCol w:w="4353"/>
      </w:tblGrid>
      <w:tr w14:paraId="7424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4353" w:type="dxa"/>
            <w:shd w:val="clear" w:color="auto" w:fill="D9E2F3"/>
          </w:tcPr>
          <w:p w14:paraId="1B15F00C">
            <w:pPr>
              <w:spacing w:after="0" w:line="276" w:lineRule="auto"/>
              <w:jc w:val="center"/>
            </w:pPr>
            <w:r>
              <w:rPr>
                <w:rFonts w:ascii="Times New Roman" w:hAnsi="Times New Roman" w:eastAsia="宋体"/>
                <w:b w:val="0"/>
                <w:color w:val="000000"/>
                <w:sz w:val="21"/>
              </w:rPr>
              <w:t>官方要求</w:t>
            </w:r>
          </w:p>
        </w:tc>
        <w:tc>
          <w:tcPr>
            <w:tcW w:w="4353" w:type="dxa"/>
            <w:shd w:val="clear" w:color="auto" w:fill="D9E2F3"/>
          </w:tcPr>
          <w:p w14:paraId="07447B3A">
            <w:pPr>
              <w:spacing w:after="0" w:line="276" w:lineRule="auto"/>
              <w:jc w:val="center"/>
            </w:pPr>
            <w:r>
              <w:rPr>
                <w:rFonts w:ascii="Times New Roman" w:hAnsi="Times New Roman" w:eastAsia="宋体"/>
                <w:b w:val="0"/>
                <w:color w:val="000000"/>
                <w:sz w:val="21"/>
              </w:rPr>
              <w:t>对应章节</w:t>
            </w:r>
          </w:p>
        </w:tc>
      </w:tr>
      <w:tr w14:paraId="0554E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6F6E3EAE">
            <w:pPr>
              <w:spacing w:after="0" w:line="276" w:lineRule="auto"/>
              <w:jc w:val="left"/>
            </w:pPr>
            <w:r>
              <w:rPr>
                <w:rFonts w:ascii="Times New Roman" w:hAnsi="Times New Roman" w:eastAsia="宋体"/>
                <w:b w:val="0"/>
                <w:color w:val="000000"/>
                <w:sz w:val="21"/>
              </w:rPr>
              <w:t>三类认知信号特征提取方法</w:t>
            </w:r>
          </w:p>
        </w:tc>
        <w:tc>
          <w:tcPr>
            <w:tcW w:w="4353" w:type="dxa"/>
          </w:tcPr>
          <w:p w14:paraId="476CCB29">
            <w:pPr>
              <w:spacing w:after="0" w:line="276" w:lineRule="auto"/>
              <w:jc w:val="left"/>
            </w:pPr>
            <w:r>
              <w:rPr>
                <w:rFonts w:ascii="Times New Roman" w:hAnsi="Times New Roman" w:eastAsia="宋体"/>
                <w:b w:val="0"/>
                <w:color w:val="000000"/>
                <w:sz w:val="21"/>
              </w:rPr>
              <w:t>§2.3</w:t>
            </w:r>
          </w:p>
        </w:tc>
      </w:tr>
      <w:tr w14:paraId="1C07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4DC1F606">
            <w:pPr>
              <w:spacing w:after="0" w:line="276" w:lineRule="auto"/>
              <w:jc w:val="left"/>
            </w:pPr>
            <w:r>
              <w:rPr>
                <w:rFonts w:ascii="Times New Roman" w:hAnsi="Times New Roman" w:eastAsia="宋体"/>
                <w:b w:val="0"/>
                <w:color w:val="000000"/>
                <w:sz w:val="21"/>
              </w:rPr>
              <w:t>分类模型架构</w:t>
            </w:r>
          </w:p>
        </w:tc>
        <w:tc>
          <w:tcPr>
            <w:tcW w:w="4353" w:type="dxa"/>
          </w:tcPr>
          <w:p w14:paraId="1335C88F">
            <w:pPr>
              <w:spacing w:after="0" w:line="276" w:lineRule="auto"/>
              <w:jc w:val="left"/>
            </w:pPr>
            <w:r>
              <w:rPr>
                <w:rFonts w:ascii="Times New Roman" w:hAnsi="Times New Roman" w:eastAsia="宋体"/>
                <w:b w:val="0"/>
                <w:color w:val="000000"/>
                <w:sz w:val="21"/>
              </w:rPr>
              <w:t>§2.4–2.5、§3.1、§3.3–3.4</w:t>
            </w:r>
          </w:p>
        </w:tc>
      </w:tr>
      <w:tr w14:paraId="7638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1E81067A">
            <w:pPr>
              <w:spacing w:after="0" w:line="276" w:lineRule="auto"/>
              <w:jc w:val="left"/>
            </w:pPr>
            <w:r>
              <w:rPr>
                <w:rFonts w:ascii="Times New Roman" w:hAnsi="Times New Roman" w:eastAsia="宋体"/>
                <w:b w:val="0"/>
                <w:color w:val="000000"/>
                <w:sz w:val="21"/>
              </w:rPr>
              <w:t>异步交互协议设计原理</w:t>
            </w:r>
          </w:p>
        </w:tc>
        <w:tc>
          <w:tcPr>
            <w:tcW w:w="4353" w:type="dxa"/>
          </w:tcPr>
          <w:p w14:paraId="09EBAF27">
            <w:pPr>
              <w:spacing w:after="0" w:line="276" w:lineRule="auto"/>
              <w:jc w:val="left"/>
            </w:pPr>
            <w:r>
              <w:rPr>
                <w:rFonts w:ascii="Times New Roman" w:hAnsi="Times New Roman" w:eastAsia="宋体"/>
                <w:b w:val="0"/>
                <w:color w:val="000000"/>
                <w:sz w:val="21"/>
              </w:rPr>
              <w:t>§2.6</w:t>
            </w:r>
          </w:p>
        </w:tc>
      </w:tr>
      <w:tr w14:paraId="6461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231600E6">
            <w:pPr>
              <w:spacing w:after="0" w:line="276" w:lineRule="auto"/>
              <w:jc w:val="left"/>
            </w:pPr>
            <w:r>
              <w:rPr>
                <w:rFonts w:ascii="Times New Roman" w:hAnsi="Times New Roman" w:eastAsia="宋体"/>
                <w:b w:val="0"/>
                <w:color w:val="000000"/>
                <w:sz w:val="21"/>
              </w:rPr>
              <w:t>脑电数据采集标准规范</w:t>
            </w:r>
          </w:p>
        </w:tc>
        <w:tc>
          <w:tcPr>
            <w:tcW w:w="4353" w:type="dxa"/>
          </w:tcPr>
          <w:p w14:paraId="1F01E95B">
            <w:pPr>
              <w:spacing w:after="0" w:line="276" w:lineRule="auto"/>
              <w:jc w:val="left"/>
            </w:pPr>
            <w:r>
              <w:rPr>
                <w:rFonts w:ascii="Times New Roman" w:hAnsi="Times New Roman" w:eastAsia="宋体"/>
                <w:b w:val="0"/>
                <w:color w:val="000000"/>
                <w:sz w:val="21"/>
              </w:rPr>
              <w:t>§2.2</w:t>
            </w:r>
          </w:p>
        </w:tc>
      </w:tr>
      <w:tr w14:paraId="744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107D61E0">
            <w:pPr>
              <w:spacing w:after="0" w:line="276" w:lineRule="auto"/>
              <w:jc w:val="left"/>
            </w:pPr>
            <w:r>
              <w:rPr>
                <w:rFonts w:ascii="Times New Roman" w:hAnsi="Times New Roman" w:eastAsia="宋体"/>
                <w:b w:val="0"/>
                <w:color w:val="000000"/>
                <w:sz w:val="21"/>
              </w:rPr>
              <w:t>实验验证流程与评价指标</w:t>
            </w:r>
          </w:p>
        </w:tc>
        <w:tc>
          <w:tcPr>
            <w:tcW w:w="4353" w:type="dxa"/>
          </w:tcPr>
          <w:p w14:paraId="7895EC9B">
            <w:pPr>
              <w:spacing w:after="0" w:line="276" w:lineRule="auto"/>
              <w:jc w:val="left"/>
            </w:pPr>
            <w:r>
              <w:rPr>
                <w:rFonts w:ascii="Times New Roman" w:hAnsi="Times New Roman" w:eastAsia="宋体"/>
                <w:b w:val="0"/>
                <w:color w:val="000000"/>
                <w:sz w:val="21"/>
              </w:rPr>
              <w:t>§3.0、§3.1–§3.6 + Excel 报告</w:t>
            </w:r>
          </w:p>
        </w:tc>
      </w:tr>
      <w:tr w14:paraId="0C95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39A71EE6">
            <w:pPr>
              <w:spacing w:after="0" w:line="276" w:lineRule="auto"/>
              <w:jc w:val="left"/>
            </w:pPr>
            <w:r>
              <w:rPr>
                <w:rFonts w:ascii="Times New Roman" w:hAnsi="Times New Roman" w:eastAsia="宋体"/>
                <w:b w:val="0"/>
                <w:color w:val="000000"/>
                <w:sz w:val="21"/>
              </w:rPr>
              <w:t>实验数据与分析结论</w:t>
            </w:r>
          </w:p>
        </w:tc>
        <w:tc>
          <w:tcPr>
            <w:tcW w:w="4353" w:type="dxa"/>
          </w:tcPr>
          <w:p w14:paraId="2A55BF96">
            <w:pPr>
              <w:spacing w:after="0" w:line="276" w:lineRule="auto"/>
              <w:jc w:val="left"/>
            </w:pPr>
            <w:r>
              <w:rPr>
                <w:rFonts w:ascii="Times New Roman" w:hAnsi="Times New Roman" w:eastAsia="宋体"/>
                <w:b w:val="0"/>
                <w:color w:val="000000"/>
                <w:sz w:val="21"/>
              </w:rPr>
              <w:t>§3、§4 + Excel 报告</w:t>
            </w:r>
          </w:p>
        </w:tc>
      </w:tr>
      <w:tr w14:paraId="12AF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5A5EBD24">
            <w:pPr>
              <w:spacing w:after="0" w:line="276" w:lineRule="auto"/>
              <w:jc w:val="left"/>
            </w:pPr>
            <w:r>
              <w:rPr>
                <w:rFonts w:ascii="Times New Roman" w:hAnsi="Times New Roman" w:eastAsia="宋体"/>
                <w:b w:val="0"/>
                <w:color w:val="000000"/>
                <w:sz w:val="21"/>
              </w:rPr>
              <w:t>参考文献列表</w:t>
            </w:r>
          </w:p>
        </w:tc>
        <w:tc>
          <w:tcPr>
            <w:tcW w:w="4353" w:type="dxa"/>
          </w:tcPr>
          <w:p w14:paraId="6032993D">
            <w:pPr>
              <w:spacing w:after="0" w:line="276" w:lineRule="auto"/>
              <w:jc w:val="left"/>
            </w:pPr>
            <w:r>
              <w:rPr>
                <w:rFonts w:ascii="Times New Roman" w:hAnsi="Times New Roman" w:eastAsia="宋体"/>
                <w:b w:val="0"/>
                <w:color w:val="000000"/>
                <w:sz w:val="21"/>
              </w:rPr>
              <w:t>参考文献</w:t>
            </w:r>
          </w:p>
        </w:tc>
      </w:tr>
      <w:tr w14:paraId="3353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4353" w:type="dxa"/>
          </w:tcPr>
          <w:p w14:paraId="60F7A234">
            <w:pPr>
              <w:spacing w:after="0" w:line="276" w:lineRule="auto"/>
              <w:jc w:val="left"/>
            </w:pPr>
            <w:r>
              <w:rPr>
                <w:rFonts w:ascii="Times New Roman" w:hAnsi="Times New Roman" w:eastAsia="宋体"/>
                <w:b w:val="0"/>
                <w:color w:val="000000"/>
                <w:sz w:val="21"/>
              </w:rPr>
              <w:t>自采被试规模（赛题目标 ≥20 人）</w:t>
            </w:r>
          </w:p>
        </w:tc>
        <w:tc>
          <w:tcPr>
            <w:tcW w:w="4353" w:type="dxa"/>
          </w:tcPr>
          <w:p w14:paraId="68168E4D">
            <w:pPr>
              <w:spacing w:after="0" w:line="276" w:lineRule="auto"/>
              <w:jc w:val="left"/>
            </w:pPr>
            <w:r>
              <w:rPr>
                <w:rFonts w:ascii="Times New Roman" w:hAnsi="Times New Roman" w:eastAsia="宋体"/>
                <w:b w:val="0"/>
                <w:color w:val="000000"/>
                <w:sz w:val="21"/>
              </w:rPr>
              <w:t>当前登记 20 人（§2.3 / §3.6）；已满足「不少于 20 人」采集目标；伦理知情同意已签署（§2.2）</w:t>
            </w:r>
          </w:p>
        </w:tc>
      </w:tr>
    </w:tbl>
    <w:p w14:paraId="02EC9AD2">
      <w:pPr>
        <w:spacing w:after="60"/>
      </w:pPr>
    </w:p>
    <w:p w14:paraId="1D790E0A">
      <w:pPr>
        <w:pStyle w:val="3"/>
        <w:spacing w:before="280" w:after="160" w:line="312" w:lineRule="auto"/>
        <w:jc w:val="center"/>
      </w:pPr>
      <w:bookmarkStart w:id="33" w:name="_Toc31076"/>
      <w:r>
        <w:rPr>
          <w:rFonts w:ascii="Times New Roman" w:hAnsi="Times New Roman" w:eastAsia="黑体"/>
          <w:b/>
          <w:color w:val="000000"/>
          <w:sz w:val="32"/>
        </w:rPr>
        <w:t>附录 D · 算法公式详述</w:t>
      </w:r>
      <w:bookmarkEnd w:id="33"/>
    </w:p>
    <w:p w14:paraId="142A65D4">
      <w:pPr>
        <w:spacing w:before="0" w:after="120" w:line="312" w:lineRule="auto"/>
        <w:ind w:firstLine="480"/>
        <w:jc w:val="both"/>
      </w:pPr>
      <w:r>
        <w:rPr>
          <w:rFonts w:ascii="Times New Roman" w:hAnsi="Times New Roman" w:eastAsia="宋体"/>
          <w:b w:val="0"/>
          <w:color w:val="000000"/>
          <w:sz w:val="24"/>
        </w:rPr>
        <w:t>正文仅保留两条核心公式（式 (2.1) 固定权重融合、式 (2.2) 增量微调目标）；预处理、温度校准、因果读出与留一被试评测的公式化定义集中在本附录，供复现核查，完整推导另见随附《算法公式与算法详细介绍》成稿。符号约定见 2.4 节符号表。</w:t>
      </w:r>
    </w:p>
    <w:p w14:paraId="05A13045">
      <w:pPr>
        <w:spacing w:before="0" w:after="120" w:line="312" w:lineRule="auto"/>
        <w:ind w:firstLine="480"/>
        <w:jc w:val="both"/>
      </w:pPr>
      <w:r>
        <w:rPr>
          <w:rFonts w:ascii="Times New Roman" w:hAnsi="Times New Roman" w:eastAsia="宋体"/>
          <w:b w:val="0"/>
          <w:color w:val="000000"/>
          <w:sz w:val="24"/>
        </w:rPr>
        <w:t>D.1 预处理与滑窗切片（对应 2.3 节）</w:t>
      </w:r>
    </w:p>
    <w:p w14:paraId="079F6191">
      <w:pPr>
        <w:spacing w:before="0" w:after="120" w:line="312" w:lineRule="auto"/>
        <w:ind w:firstLine="480"/>
        <w:jc w:val="both"/>
      </w:pPr>
      <w:r>
        <w:rPr>
          <w:rFonts w:ascii="Times New Roman" w:hAnsi="Times New Roman" w:eastAsia="宋体"/>
          <w:b w:val="0"/>
          <w:color w:val="000000"/>
          <w:sz w:val="24"/>
        </w:rPr>
        <w:t xml:space="preserve">对单窗原始脑电 </w:t>
      </w:r>
      <m:oMath>
        <m:r>
          <m:rPr/>
          <m:t>X∈</m:t>
        </m:r>
        <m:sSup>
          <m:sSupPr/>
          <m:e>
            <m:r>
              <m:rPr/>
              <m:t>ℝ</m:t>
            </m:r>
          </m:e>
          <m:sup>
            <m:r>
              <m:rPr/>
              <m:t>8×750</m:t>
            </m:r>
          </m:sup>
        </m:sSup>
      </m:oMath>
      <w:r>
        <w:rPr>
          <w:rFonts w:ascii="Times New Roman" w:hAnsi="Times New Roman" w:eastAsia="宋体"/>
          <w:b w:val="0"/>
          <w:color w:val="000000"/>
          <w:sz w:val="24"/>
        </w:rPr>
        <w:t>（矩阵），共平均参考为各时刻减 8 通道均值：</w:t>
      </w:r>
    </w:p>
    <w:p w14:paraId="4D789593">
      <w:pPr>
        <w:spacing w:before="120" w:after="120"/>
        <w:jc w:val="center"/>
      </w:pPr>
      <m:oMathPara>
        <m:oMathParaPr>
          <m:jc m:val="center"/>
        </m:oMathParaPr>
        <m:oMath>
          <m:sSub>
            <m:sSubPr/>
            <m:e>
              <m:limUpp>
                <m:limUppPr/>
                <m:e>
                  <m:r>
                    <m:rPr/>
                    <m:t>x</m:t>
                  </m:r>
                </m:e>
                <m:lim>
                  <m:r>
                    <m:rPr/>
                    <m:t>~</m:t>
                  </m:r>
                </m:lim>
              </m:limUpp>
            </m:e>
            <m:sub>
              <m:r>
                <m:rPr/>
                <m:t>c,t</m:t>
              </m:r>
            </m:sub>
          </m:sSub>
          <m:r>
            <m:rPr/>
            <m:t>=</m:t>
          </m:r>
          <m:sSub>
            <m:sSubPr/>
            <m:e>
              <m:r>
                <m:rPr/>
                <m:t>X</m:t>
              </m:r>
            </m:e>
            <m:sub>
              <m:r>
                <m:rPr/>
                <m:t>c,t</m:t>
              </m:r>
            </m:sub>
          </m:sSub>
          <m:r>
            <m:rPr/>
            <m:t>−</m:t>
          </m:r>
          <m:f>
            <m:fPr/>
            <m:num>
              <m:r>
                <m:rPr/>
                <m:t>1</m:t>
              </m:r>
            </m:num>
            <m:den>
              <m:r>
                <m:rPr/>
                <m:t>8</m:t>
              </m:r>
            </m:den>
          </m:f>
          <m:nary>
            <m:naryPr>
              <m:chr m:val="∑"/>
              <m:grow m:val="1"/>
              <m:limLoc m:val="subSup"/>
            </m:naryPr>
            <m:sub>
              <m:sSup>
                <m:sSupPr/>
                <m:e>
                  <m:r>
                    <m:rPr/>
                    <m:t>c</m:t>
                  </m:r>
                </m:e>
                <m:sup>
                  <m:r>
                    <m:rPr/>
                    <m:t>′</m:t>
                  </m:r>
                </m:sup>
              </m:sSup>
              <m:r>
                <m:rPr/>
                <m:t>=1</m:t>
              </m:r>
            </m:sub>
            <m:sup>
              <m:r>
                <m:rPr/>
                <m:t>8</m:t>
              </m:r>
            </m:sup>
            <m:e>
              <m:sSub>
                <m:sSubPr/>
                <m:e>
                  <m:r>
                    <m:rPr/>
                    <m:t>X</m:t>
                  </m:r>
                </m:e>
                <m:sub>
                  <m:sSup>
                    <m:sSupPr/>
                    <m:e>
                      <m:r>
                        <m:rPr/>
                        <m:t>c</m:t>
                      </m:r>
                    </m:e>
                    <m:sup>
                      <m:r>
                        <m:rPr/>
                        <m:t>′</m:t>
                      </m:r>
                    </m:sup>
                  </m:sSup>
                  <m:r>
                    <m:rPr/>
                    <m:t>,t</m:t>
                  </m:r>
                </m:sub>
              </m:sSub>
            </m:e>
          </m:nary>
          <m:d>
            <m:dPr>
              <m:sepChr m:val=""/>
            </m:dPr>
            <m:e>
              <m:r>
                <m:rPr>
                  <m:sty m:val="p"/>
                </m:rPr>
                <m:t>D.1</m:t>
              </m:r>
            </m:e>
          </m:d>
        </m:oMath>
      </m:oMathPara>
    </w:p>
    <w:p w14:paraId="70375734">
      <w:pPr>
        <w:spacing w:before="0" w:after="120" w:line="312" w:lineRule="auto"/>
        <w:ind w:firstLine="480"/>
        <w:jc w:val="both"/>
      </w:pPr>
      <w:r>
        <w:rPr>
          <w:rFonts w:ascii="Times New Roman" w:hAnsi="Times New Roman" w:eastAsia="宋体"/>
          <w:b w:val="0"/>
          <w:color w:val="000000"/>
          <w:sz w:val="24"/>
        </w:rPr>
        <w:t xml:space="preserve">带通与重采样算子 </w:t>
      </w:r>
      <m:oMath>
        <m:sSub>
          <m:sSubPr/>
          <m:e>
            <m:r>
              <m:rPr/>
              <m:t>ℬ</m:t>
            </m:r>
          </m:e>
          <m:sub>
            <m:r>
              <m:rPr/>
              <m:t>8−30</m:t>
            </m:r>
          </m:sub>
        </m:sSub>
      </m:oMath>
      <w:r>
        <w:rPr>
          <w:rFonts w:ascii="Times New Roman" w:hAnsi="Times New Roman" w:eastAsia="宋体"/>
          <w:b w:val="0"/>
          <w:color w:val="000000"/>
          <w:sz w:val="24"/>
        </w:rPr>
        <w:t>（8–30 Hz 带通后接 250 Hz 重采样）之后逐窗标准化，</w:t>
      </w:r>
      <m:oMath>
        <m:sSub>
          <m:sSubPr/>
          <m:e>
            <m:r>
              <m:rPr/>
              <m:t>μ</m:t>
            </m:r>
          </m:e>
          <m:sub>
            <m:r>
              <m:rPr/>
              <m:t>c</m:t>
            </m:r>
          </m:sub>
        </m:sSub>
        <m:r>
          <m:rPr/>
          <m:t>,</m:t>
        </m:r>
        <m:sSub>
          <m:sSubPr/>
          <m:e>
            <m:r>
              <m:rPr/>
              <m:t>σ</m:t>
            </m:r>
          </m:e>
          <m:sub>
            <m:r>
              <m:rPr/>
              <m:t>c</m:t>
            </m:r>
          </m:sub>
        </m:sSub>
      </m:oMath>
      <w:r>
        <w:rPr>
          <w:rFonts w:ascii="Times New Roman" w:hAnsi="Times New Roman" w:eastAsia="宋体"/>
          <w:b w:val="0"/>
          <w:color w:val="000000"/>
          <w:sz w:val="24"/>
        </w:rPr>
        <w:t xml:space="preserve"> 为该窗该通道的均值与标准差：</w:t>
      </w:r>
    </w:p>
    <w:p w14:paraId="0BECC7C7">
      <w:pPr>
        <w:spacing w:before="120" w:after="120"/>
        <w:jc w:val="center"/>
      </w:pPr>
      <m:oMathPara>
        <m:oMathParaPr>
          <m:jc m:val="center"/>
        </m:oMathParaPr>
        <m:oMath>
          <m:sSub>
            <m:sSubPr/>
            <m:e>
              <m:r>
                <m:rPr/>
                <m:t>z</m:t>
              </m:r>
            </m:e>
            <m:sub>
              <m:r>
                <m:rPr/>
                <m:t>c,t</m:t>
              </m:r>
            </m:sub>
          </m:sSub>
          <m:r>
            <m:rPr/>
            <m:t>=</m:t>
          </m:r>
          <m:f>
            <m:fPr/>
            <m:num>
              <m:sSub>
                <m:sSubPr/>
                <m:e>
                  <m:r>
                    <m:rPr/>
                    <m:t>ℬ</m:t>
                  </m:r>
                </m:e>
                <m:sub>
                  <m:r>
                    <m:rPr/>
                    <m:t>8−30</m:t>
                  </m:r>
                </m:sub>
              </m:sSub>
              <m:r>
                <m:rPr/>
                <m:t>(</m:t>
              </m:r>
              <m:limUpp>
                <m:limUppPr/>
                <m:e>
                  <m:r>
                    <m:rPr/>
                    <m:t>x</m:t>
                  </m:r>
                </m:e>
                <m:lim>
                  <m:r>
                    <m:rPr/>
                    <m:t>~</m:t>
                  </m:r>
                </m:lim>
              </m:limUpp>
              <m:sSub>
                <m:sSubPr/>
                <m:e>
                  <m:r>
                    <m:rPr/>
                    <m:t>)</m:t>
                  </m:r>
                </m:e>
                <m:sub>
                  <m:r>
                    <m:rPr/>
                    <m:t>c,t</m:t>
                  </m:r>
                </m:sub>
              </m:sSub>
              <m:r>
                <m:rPr/>
                <m:t>−</m:t>
              </m:r>
              <m:sSub>
                <m:sSubPr/>
                <m:e>
                  <m:r>
                    <m:rPr/>
                    <m:t>μ</m:t>
                  </m:r>
                </m:e>
                <m:sub>
                  <m:r>
                    <m:rPr/>
                    <m:t>c</m:t>
                  </m:r>
                </m:sub>
              </m:sSub>
            </m:num>
            <m:den>
              <m:sSub>
                <m:sSubPr/>
                <m:e>
                  <m:r>
                    <m:rPr/>
                    <m:t>σ</m:t>
                  </m:r>
                </m:e>
                <m:sub>
                  <m:r>
                    <m:rPr/>
                    <m:t>c</m:t>
                  </m:r>
                </m:sub>
              </m:sSub>
            </m:den>
          </m:f>
          <m:d>
            <m:dPr>
              <m:sepChr m:val=""/>
            </m:dPr>
            <m:e>
              <m:r>
                <m:rPr>
                  <m:sty m:val="p"/>
                </m:rPr>
                <m:t>D.2</m:t>
              </m:r>
            </m:e>
          </m:d>
        </m:oMath>
      </m:oMathPara>
    </w:p>
    <w:p w14:paraId="15B20C6E">
      <w:pPr>
        <w:spacing w:before="0" w:after="120" w:line="312" w:lineRule="auto"/>
        <w:ind w:firstLine="480"/>
        <w:jc w:val="both"/>
      </w:pPr>
      <w:r>
        <w:rPr>
          <w:rFonts w:ascii="Times New Roman" w:hAnsi="Times New Roman" w:eastAsia="宋体"/>
          <w:b w:val="0"/>
          <w:color w:val="000000"/>
          <w:sz w:val="24"/>
        </w:rPr>
        <w:t xml:space="preserve">在线以步长 </w:t>
      </w:r>
      <m:oMath>
        <m:r>
          <m:rPr/>
          <m:t>Δ=25</m:t>
        </m:r>
      </m:oMath>
      <w:r>
        <w:rPr>
          <w:rFonts w:ascii="Times New Roman" w:hAnsi="Times New Roman" w:eastAsia="宋体"/>
          <w:b w:val="0"/>
          <w:color w:val="000000"/>
          <w:sz w:val="24"/>
        </w:rPr>
        <w:t xml:space="preserve"> 点（100 ms）对数据流做因果滑窗切片，窗 </w:t>
      </w:r>
      <m:oMath>
        <m:sSub>
          <m:sSubPr/>
          <m:e>
            <m:r>
              <m:rPr/>
              <m:t>W</m:t>
            </m:r>
          </m:e>
          <m:sub>
            <m:r>
              <m:rPr/>
              <m:t>i</m:t>
            </m:r>
          </m:sub>
        </m:sSub>
      </m:oMath>
      <w:r>
        <w:rPr>
          <w:rFonts w:ascii="Times New Roman" w:hAnsi="Times New Roman" w:eastAsia="宋体"/>
          <w:b w:val="0"/>
          <w:color w:val="000000"/>
          <w:sz w:val="24"/>
        </w:rPr>
        <w:t xml:space="preserve"> 仅含截至时刻 </w:t>
      </w:r>
      <m:oMath>
        <m:r>
          <m:rPr/>
          <m:t>iΔ+750</m:t>
        </m:r>
      </m:oMath>
      <w:r>
        <w:rPr>
          <w:rFonts w:ascii="Times New Roman" w:hAnsi="Times New Roman" w:eastAsia="宋体"/>
          <w:b w:val="0"/>
          <w:color w:val="000000"/>
          <w:sz w:val="24"/>
        </w:rPr>
        <w:t xml:space="preserve"> 的历史数据：</w:t>
      </w:r>
    </w:p>
    <w:p w14:paraId="072F1113">
      <w:pPr>
        <w:spacing w:before="120" w:after="120"/>
        <w:jc w:val="center"/>
      </w:pPr>
      <m:oMathPara>
        <m:oMathParaPr>
          <m:jc m:val="center"/>
        </m:oMathParaPr>
        <m:oMath>
          <m:sSub>
            <m:sSubPr/>
            <m:e>
              <m:r>
                <m:rPr/>
                <m:t>W</m:t>
              </m:r>
            </m:e>
            <m:sub>
              <m:r>
                <m:rPr/>
                <m:t>i</m:t>
              </m:r>
            </m:sub>
          </m:sSub>
          <m:r>
            <m:rPr/>
            <m:t>∈</m:t>
          </m:r>
          <m:sSup>
            <m:sSupPr/>
            <m:e>
              <m:r>
                <m:rPr/>
                <m:t>ℝ</m:t>
              </m:r>
            </m:e>
            <m:sup>
              <m:r>
                <m:rPr/>
                <m:t>8×750</m:t>
              </m:r>
            </m:sup>
          </m:sSup>
          <m:r>
            <m:rPr/>
            <m:t>,(</m:t>
          </m:r>
          <m:sSub>
            <m:sSubPr/>
            <m:e>
              <m:r>
                <m:rPr/>
                <m:t>W</m:t>
              </m:r>
            </m:e>
            <m:sub>
              <m:r>
                <m:rPr/>
                <m:t>i</m:t>
              </m:r>
            </m:sub>
          </m:sSub>
          <m:sSub>
            <m:sSubPr/>
            <m:e>
              <m:r>
                <m:rPr/>
                <m:t>)</m:t>
              </m:r>
            </m:e>
            <m:sub>
              <m:r>
                <m:rPr/>
                <m:t>c,j</m:t>
              </m:r>
            </m:sub>
          </m:sSub>
          <m:r>
            <m:rPr/>
            <m:t>=</m:t>
          </m:r>
          <m:sSub>
            <m:sSubPr/>
            <m:e>
              <m:r>
                <m:rPr/>
                <m:t>z</m:t>
              </m:r>
            </m:e>
            <m:sub>
              <m:r>
                <m:rPr/>
                <m:t>c,iΔ+j</m:t>
              </m:r>
            </m:sub>
          </m:sSub>
          <m:r>
            <m:rPr/>
            <m:t>,j=1,…,750,i=0,1,2,…</m:t>
          </m:r>
          <m:d>
            <m:dPr>
              <m:sepChr m:val=""/>
            </m:dPr>
            <m:e>
              <m:r>
                <m:rPr>
                  <m:sty m:val="p"/>
                </m:rPr>
                <m:t>D.3</m:t>
              </m:r>
            </m:e>
          </m:d>
        </m:oMath>
      </m:oMathPara>
    </w:p>
    <w:p w14:paraId="2788B9FB">
      <w:pPr>
        <w:spacing w:before="0" w:after="120" w:line="312" w:lineRule="auto"/>
        <w:ind w:firstLine="480"/>
        <w:jc w:val="both"/>
      </w:pPr>
      <w:r>
        <w:rPr>
          <w:rFonts w:ascii="Times New Roman" w:hAnsi="Times New Roman" w:eastAsia="宋体"/>
          <w:b w:val="0"/>
          <w:color w:val="000000"/>
          <w:sz w:val="24"/>
        </w:rPr>
        <w:t>D.2 温度校准（对应 2.4 节）</w:t>
      </w:r>
    </w:p>
    <w:p w14:paraId="672D0F04">
      <w:pPr>
        <w:spacing w:before="0" w:after="120" w:line="312" w:lineRule="auto"/>
        <w:ind w:firstLine="480"/>
        <w:jc w:val="both"/>
      </w:pPr>
      <w:r>
        <w:rPr>
          <w:rFonts w:ascii="Times New Roman" w:hAnsi="Times New Roman" w:eastAsia="宋体"/>
          <w:b w:val="0"/>
          <w:color w:val="000000"/>
          <w:sz w:val="24"/>
        </w:rPr>
        <w:t xml:space="preserve">成员 </w:t>
      </w:r>
      <m:oMath>
        <m:r>
          <m:rPr/>
          <m:t>m</m:t>
        </m:r>
      </m:oMath>
      <w:r>
        <w:rPr>
          <w:rFonts w:ascii="Times New Roman" w:hAnsi="Times New Roman" w:eastAsia="宋体"/>
          <w:b w:val="0"/>
          <w:color w:val="000000"/>
          <w:sz w:val="24"/>
        </w:rPr>
        <w:t xml:space="preserve"> 的校准概率由带温度的 softmax 给出：</w:t>
      </w:r>
    </w:p>
    <w:p w14:paraId="6427AE4F">
      <w:pPr>
        <w:spacing w:before="120" w:after="120"/>
        <w:jc w:val="center"/>
      </w:pPr>
      <m:oMathPara>
        <m:oMathParaPr>
          <m:jc m:val="center"/>
        </m:oMathParaPr>
        <m:oMath>
          <m:sSub>
            <m:sSubPr/>
            <m:e>
              <m:limUpp>
                <m:limUppPr/>
                <m:e>
                  <m:r>
                    <m:rPr/>
                    <m:t>p</m:t>
                  </m:r>
                </m:e>
                <m:lim>
                  <m:r>
                    <m:rPr/>
                    <m:t>~</m:t>
                  </m:r>
                </m:lim>
              </m:limUpp>
            </m:e>
            <m:sub>
              <m:r>
                <m:rPr/>
                <m:t>m,k</m:t>
              </m:r>
            </m:sub>
          </m:sSub>
          <m:r>
            <m:rPr/>
            <m:t>=</m:t>
          </m:r>
          <m:f>
            <m:fPr/>
            <m:num>
              <m:r>
                <m:rPr>
                  <m:sty m:val="p"/>
                </m:rPr>
                <m:t>exp</m:t>
              </m:r>
              <m:r>
                <m:rPr/>
                <m:t>(</m:t>
              </m:r>
              <m:sSub>
                <m:sSubPr/>
                <m:e>
                  <m:r>
                    <m:rPr/>
                    <m:t>z</m:t>
                  </m:r>
                </m:e>
                <m:sub>
                  <m:r>
                    <m:rPr/>
                    <m:t>m,k</m:t>
                  </m:r>
                </m:sub>
              </m:sSub>
              <m:r>
                <m:rPr/>
                <m:t>/</m:t>
              </m:r>
              <m:sSub>
                <m:sSubPr/>
                <m:e>
                  <m:r>
                    <m:rPr/>
                    <m:t>τ</m:t>
                  </m:r>
                </m:e>
                <m:sub>
                  <m:r>
                    <m:rPr/>
                    <m:t>m</m:t>
                  </m:r>
                </m:sub>
              </m:sSub>
              <m:r>
                <m:rPr/>
                <m:t>)</m:t>
              </m:r>
            </m:num>
            <m:den>
              <m:nary>
                <m:naryPr>
                  <m:chr m:val="∑"/>
                  <m:grow m:val="1"/>
                  <m:limLoc m:val="subSup"/>
                </m:naryPr>
                <m:sub>
                  <m:sSup>
                    <m:sSupPr/>
                    <m:e>
                      <m:r>
                        <m:rPr/>
                        <m:t>k</m:t>
                      </m:r>
                    </m:e>
                    <m:sup>
                      <m:r>
                        <m:rPr/>
                        <m:t>′</m:t>
                      </m:r>
                    </m:sup>
                  </m:sSup>
                  <m:r>
                    <m:rPr/>
                    <m:t>=1</m:t>
                  </m:r>
                </m:sub>
                <m:sup>
                  <m:r>
                    <m:rPr/>
                    <m:t>3</m:t>
                  </m:r>
                </m:sup>
                <m:e>
                  <m:r>
                    <m:rPr>
                      <m:sty m:val="p"/>
                    </m:rPr>
                    <m:t>exp</m:t>
                  </m:r>
                  <m:r>
                    <m:rPr/>
                    <m:t>(</m:t>
                  </m:r>
                </m:e>
              </m:nary>
              <m:sSub>
                <m:sSubPr/>
                <m:e>
                  <m:r>
                    <m:rPr/>
                    <m:t>z</m:t>
                  </m:r>
                </m:e>
                <m:sub>
                  <m:r>
                    <m:rPr/>
                    <m:t>m,</m:t>
                  </m:r>
                  <m:sSup>
                    <m:sSupPr/>
                    <m:e>
                      <m:r>
                        <m:rPr/>
                        <m:t>k</m:t>
                      </m:r>
                    </m:e>
                    <m:sup>
                      <m:r>
                        <m:rPr/>
                        <m:t>′</m:t>
                      </m:r>
                    </m:sup>
                  </m:sSup>
                </m:sub>
              </m:sSub>
              <m:r>
                <m:rPr/>
                <m:t>/</m:t>
              </m:r>
              <m:sSub>
                <m:sSubPr/>
                <m:e>
                  <m:r>
                    <m:rPr/>
                    <m:t>τ</m:t>
                  </m:r>
                </m:e>
                <m:sub>
                  <m:r>
                    <m:rPr/>
                    <m:t>m</m:t>
                  </m:r>
                </m:sub>
              </m:sSub>
              <m:r>
                <m:rPr/>
                <m:t>)</m:t>
              </m:r>
            </m:den>
          </m:f>
          <m:d>
            <m:dPr>
              <m:sepChr m:val=""/>
            </m:dPr>
            <m:e>
              <m:r>
                <m:rPr>
                  <m:sty m:val="p"/>
                </m:rPr>
                <m:t>D.4</m:t>
              </m:r>
            </m:e>
          </m:d>
        </m:oMath>
      </m:oMathPara>
    </w:p>
    <w:p w14:paraId="5E45D58F">
      <w:pPr>
        <w:spacing w:before="0" w:after="120" w:line="312" w:lineRule="auto"/>
        <w:ind w:firstLine="480"/>
        <w:jc w:val="both"/>
      </w:pPr>
      <w:r>
        <w:rPr>
          <w:rFonts w:ascii="Times New Roman" w:hAnsi="Times New Roman" w:eastAsia="宋体"/>
          <w:b w:val="0"/>
          <w:color w:val="000000"/>
          <w:sz w:val="24"/>
        </w:rPr>
        <w:t>温度参数在验证集上以负对数似然最小化选定后冻结，</w:t>
      </w:r>
      <m:oMath>
        <m:sSub>
          <m:sSubPr/>
          <m:e>
            <m:r>
              <m:rPr/>
              <m:t>N</m:t>
            </m:r>
          </m:e>
          <m:sub>
            <m:r>
              <m:rPr>
                <m:sty m:val="p"/>
              </m:rPr>
              <m:t>val</m:t>
            </m:r>
          </m:sub>
        </m:sSub>
      </m:oMath>
      <w:r>
        <w:rPr>
          <w:rFonts w:ascii="Times New Roman" w:hAnsi="Times New Roman" w:eastAsia="宋体"/>
          <w:b w:val="0"/>
          <w:color w:val="000000"/>
          <w:sz w:val="24"/>
        </w:rPr>
        <w:t xml:space="preserve"> 为验证集样本数，</w:t>
      </w:r>
      <m:oMath>
        <m:sSub>
          <m:sSubPr/>
          <m:e>
            <m:r>
              <m:rPr/>
              <m:t>y</m:t>
            </m:r>
          </m:e>
          <m:sub>
            <m:r>
              <m:rPr/>
              <m:t>i</m:t>
            </m:r>
          </m:sub>
        </m:sSub>
      </m:oMath>
      <w:r>
        <w:rPr>
          <w:rFonts w:ascii="Times New Roman" w:hAnsi="Times New Roman" w:eastAsia="宋体"/>
          <w:b w:val="0"/>
          <w:color w:val="000000"/>
          <w:sz w:val="24"/>
        </w:rPr>
        <w:t xml:space="preserve"> 为第 </w:t>
      </w:r>
      <m:oMath>
        <m:r>
          <m:rPr/>
          <m:t>i</m:t>
        </m:r>
      </m:oMath>
      <w:r>
        <w:rPr>
          <w:rFonts w:ascii="Times New Roman" w:hAnsi="Times New Roman" w:eastAsia="宋体"/>
          <w:b w:val="0"/>
          <w:color w:val="000000"/>
          <w:sz w:val="24"/>
        </w:rPr>
        <w:t xml:space="preserve"> 个样本的真实标签：</w:t>
      </w:r>
    </w:p>
    <w:p w14:paraId="0428CE78">
      <w:pPr>
        <w:spacing w:before="120" w:after="120"/>
        <w:jc w:val="center"/>
      </w:pPr>
      <m:oMathPara>
        <m:oMathParaPr>
          <m:jc m:val="center"/>
        </m:oMathParaPr>
        <m:oMath>
          <m:sSubSup>
            <m:sSubSupPr/>
            <m:e>
              <m:r>
                <m:rPr/>
                <m:t>τ</m:t>
              </m:r>
            </m:e>
            <m:sub>
              <m:r>
                <m:rPr/>
                <m:t>m</m:t>
              </m:r>
            </m:sub>
            <m:sup>
              <m:r>
                <m:rPr/>
                <m:t>∗</m:t>
              </m:r>
            </m:sup>
          </m:sSubSup>
          <m:r>
            <m:rPr/>
            <m:t>=</m:t>
          </m:r>
          <m:sSub>
            <m:sSubPr/>
            <m:e>
              <m:r>
                <m:rPr/>
                <m:t>argmin</m:t>
              </m:r>
            </m:e>
            <m:sub>
              <m:r>
                <m:rPr/>
                <m:t>τ&gt;0</m:t>
              </m:r>
            </m:sub>
          </m:sSub>
          <m:d>
            <m:dPr>
              <m:sepChr m:val="−"/>
            </m:dPr>
            <m:e/>
            <m:e>
              <m:f>
                <m:fPr/>
                <m:num>
                  <m:r>
                    <m:rPr/>
                    <m:t>1</m:t>
                  </m:r>
                </m:num>
                <m:den>
                  <m:sSub>
                    <m:sSubPr/>
                    <m:e>
                      <m:r>
                        <m:rPr/>
                        <m:t>N</m:t>
                      </m:r>
                    </m:e>
                    <m:sub>
                      <m:r>
                        <m:rPr>
                          <m:sty m:val="p"/>
                        </m:rPr>
                        <m:t>val</m:t>
                      </m:r>
                    </m:sub>
                  </m:sSub>
                </m:den>
              </m:f>
              <m:nary>
                <m:naryPr>
                  <m:chr m:val="∑"/>
                  <m:grow m:val="1"/>
                  <m:limLoc m:val="subSup"/>
                  <m:supHide m:val="1"/>
                </m:naryPr>
                <m:sub>
                  <m:r>
                    <m:rPr/>
                    <m:t>i</m:t>
                  </m:r>
                </m:sub>
                <m:sup/>
                <m:e>
                  <m:r>
                    <m:rPr>
                      <m:sty m:val="p"/>
                    </m:rPr>
                    <m:t>log</m:t>
                  </m:r>
                </m:e>
              </m:nary>
              <m:sSubSup>
                <m:sSubSupPr/>
                <m:e>
                  <m:limUpp>
                    <m:limUppPr/>
                    <m:e>
                      <m:r>
                        <m:rPr/>
                        <m:t>p</m:t>
                      </m:r>
                    </m:e>
                    <m:lim>
                      <m:r>
                        <m:rPr/>
                        <m:t>~</m:t>
                      </m:r>
                    </m:lim>
                  </m:limUpp>
                </m:e>
                <m:sub>
                  <m:r>
                    <m:rPr/>
                    <m:t>m,</m:t>
                  </m:r>
                  <m:sSub>
                    <m:sSubPr/>
                    <m:e>
                      <m:r>
                        <m:rPr/>
                        <m:t>y</m:t>
                      </m:r>
                    </m:e>
                    <m:sub>
                      <m:r>
                        <m:rPr/>
                        <m:t>i</m:t>
                      </m:r>
                    </m:sub>
                  </m:sSub>
                </m:sub>
                <m:sup>
                  <m:d>
                    <m:dPr>
                      <m:sepChr m:val=""/>
                    </m:dPr>
                    <m:e>
                      <m:r>
                        <m:rPr/>
                        <m:t>i</m:t>
                      </m:r>
                    </m:e>
                  </m:d>
                </m:sup>
              </m:sSubSup>
            </m:e>
          </m:d>
          <m:d>
            <m:dPr>
              <m:sepChr m:val=""/>
            </m:dPr>
            <m:e>
              <m:r>
                <m:rPr>
                  <m:sty m:val="p"/>
                </m:rPr>
                <m:t>D.5</m:t>
              </m:r>
            </m:e>
          </m:d>
        </m:oMath>
      </m:oMathPara>
    </w:p>
    <w:p w14:paraId="69335FC1">
      <w:pPr>
        <w:spacing w:before="0" w:after="120" w:line="312" w:lineRule="auto"/>
        <w:ind w:firstLine="480"/>
        <w:jc w:val="both"/>
      </w:pPr>
      <w:r>
        <w:rPr>
          <w:rFonts w:ascii="Times New Roman" w:hAnsi="Times New Roman" w:eastAsia="宋体"/>
          <w:b w:val="0"/>
          <w:color w:val="000000"/>
          <w:sz w:val="24"/>
        </w:rPr>
        <w:t>D.3 因果滑窗读出（对应 2.4 与 2.6 节）</w:t>
      </w:r>
    </w:p>
    <w:p w14:paraId="378A7043">
      <w:pPr>
        <w:spacing w:before="0" w:after="120" w:line="312" w:lineRule="auto"/>
        <w:ind w:firstLine="480"/>
        <w:jc w:val="both"/>
      </w:pPr>
      <w:r>
        <w:rPr>
          <w:rFonts w:ascii="Times New Roman" w:hAnsi="Times New Roman" w:eastAsia="宋体"/>
          <w:b w:val="0"/>
          <w:color w:val="000000"/>
          <w:sz w:val="24"/>
        </w:rPr>
        <w:t xml:space="preserve">对融合概率序列（式 (2.1)）做回看 </w:t>
      </w:r>
      <m:oMath>
        <m:r>
          <m:rPr/>
          <m:t>L=2</m:t>
        </m:r>
      </m:oMath>
      <w:r>
        <w:rPr>
          <w:rFonts w:ascii="Times New Roman" w:hAnsi="Times New Roman" w:eastAsia="宋体"/>
          <w:b w:val="0"/>
          <w:color w:val="000000"/>
          <w:sz w:val="24"/>
        </w:rPr>
        <w:t xml:space="preserve"> 窗的均值平滑后取最大概率类得到窗级判定，试次内多数票得到试次结果：</w:t>
      </w:r>
    </w:p>
    <w:p w14:paraId="1302E26A">
      <w:pPr>
        <w:spacing w:before="120" w:after="120"/>
        <w:jc w:val="center"/>
      </w:pPr>
      <m:oMathPara>
        <m:oMathParaPr>
          <m:jc m:val="center"/>
        </m:oMathParaPr>
        <m:oMath>
          <m:sSub>
            <m:sSubPr/>
            <m:e>
              <m:r>
                <m:rPr/>
                <m:t>s</m:t>
              </m:r>
            </m:e>
            <m:sub>
              <m:r>
                <m:rPr/>
                <m:t>t</m:t>
              </m:r>
            </m:sub>
          </m:sSub>
          <m:r>
            <m:rPr/>
            <m:t>=</m:t>
          </m:r>
          <m:f>
            <m:fPr/>
            <m:num>
              <m:r>
                <m:rPr/>
                <m:t>1</m:t>
              </m:r>
            </m:num>
            <m:den>
              <m:r>
                <m:rPr/>
                <m:t>L+1</m:t>
              </m:r>
            </m:den>
          </m:f>
          <m:nary>
            <m:naryPr>
              <m:chr m:val="∑"/>
              <m:grow m:val="1"/>
              <m:limLoc m:val="subSup"/>
            </m:naryPr>
            <m:sub>
              <m:r>
                <m:rPr/>
                <m:t>ℓ=0</m:t>
              </m:r>
            </m:sub>
            <m:sup>
              <m:r>
                <m:rPr/>
                <m:t>L</m:t>
              </m:r>
            </m:sup>
            <m:e>
              <m:sSub>
                <m:sSubPr/>
                <m:e>
                  <m:r>
                    <m:rPr/>
                    <m:t>p</m:t>
                  </m:r>
                </m:e>
                <m:sub>
                  <m:r>
                    <m:rPr/>
                    <m:t>t−ℓ</m:t>
                  </m:r>
                </m:sub>
              </m:sSub>
            </m:e>
          </m:nary>
          <m:r>
            <m:rPr/>
            <m:t>,</m:t>
          </m:r>
          <m:sSub>
            <m:sSubPr/>
            <m:e>
              <m:acc>
                <m:accPr/>
                <m:e>
                  <m:r>
                    <m:rPr/>
                    <m:t>y</m:t>
                  </m:r>
                </m:e>
              </m:acc>
            </m:e>
            <m:sub>
              <m:r>
                <m:rPr/>
                <m:t>t</m:t>
              </m:r>
            </m:sub>
          </m:sSub>
          <m:r>
            <m:rPr/>
            <m:t>=</m:t>
          </m:r>
          <m:sSub>
            <m:sSubPr/>
            <m:e>
              <m:r>
                <m:rPr/>
                <m:t>argmax</m:t>
              </m:r>
            </m:e>
            <m:sub>
              <m:r>
                <m:rPr/>
                <m:t>k</m:t>
              </m:r>
            </m:sub>
          </m:sSub>
          <m:sSub>
            <m:sSubPr/>
            <m:e>
              <m:r>
                <m:rPr/>
                <m:t>s</m:t>
              </m:r>
            </m:e>
            <m:sub>
              <m:r>
                <m:rPr/>
                <m:t>t,k</m:t>
              </m:r>
            </m:sub>
          </m:sSub>
          <m:r>
            <m:rPr/>
            <m:t>,</m:t>
          </m:r>
          <m:acc>
            <m:accPr/>
            <m:e>
              <m:r>
                <m:rPr/>
                <m:t>y</m:t>
              </m:r>
            </m:e>
          </m:acc>
          <m:r>
            <m:rPr/>
            <m:t>=</m:t>
          </m:r>
          <m:r>
            <m:rPr>
              <m:sty m:val="p"/>
            </m:rPr>
            <m:t>mode</m:t>
          </m:r>
          <m:r>
            <m:rPr/>
            <m:t>{</m:t>
          </m:r>
          <m:sSub>
            <m:sSubPr/>
            <m:e>
              <m:acc>
                <m:accPr/>
                <m:e>
                  <m:r>
                    <m:rPr/>
                    <m:t>y</m:t>
                  </m:r>
                </m:e>
              </m:acc>
            </m:e>
            <m:sub>
              <m:r>
                <m:rPr/>
                <m:t>t</m:t>
              </m:r>
            </m:sub>
          </m:sSub>
          <m:r>
            <m:rPr/>
            <m:t>:t∈</m:t>
          </m:r>
          <m:r>
            <m:rPr>
              <m:scr m:val="script"/>
            </m:rPr>
            <m:t>J</m:t>
          </m:r>
          <m:r>
            <m:rPr/>
            <m:t>}</m:t>
          </m:r>
          <m:d>
            <m:dPr>
              <m:sepChr m:val=""/>
            </m:dPr>
            <m:e>
              <m:r>
                <m:rPr>
                  <m:sty m:val="p"/>
                </m:rPr>
                <m:t>D.6</m:t>
              </m:r>
            </m:e>
          </m:d>
        </m:oMath>
      </m:oMathPara>
    </w:p>
    <w:p w14:paraId="0518FB77">
      <w:pPr>
        <w:spacing w:before="0" w:after="120" w:line="312" w:lineRule="auto"/>
        <w:ind w:firstLine="480"/>
        <w:jc w:val="both"/>
      </w:pPr>
      <w:r>
        <w:rPr>
          <w:rFonts w:ascii="Times New Roman" w:hAnsi="Times New Roman" w:eastAsia="宋体"/>
          <w:b w:val="0"/>
          <w:color w:val="000000"/>
          <w:sz w:val="24"/>
        </w:rPr>
        <w:t xml:space="preserve">其中判定窗集合 </w:t>
      </w:r>
      <m:oMath>
        <m:r>
          <m:rPr>
            <m:scr m:val="script"/>
          </m:rPr>
          <m:t>J</m:t>
        </m:r>
      </m:oMath>
      <w:r>
        <w:rPr>
          <w:rFonts w:ascii="Times New Roman" w:hAnsi="Times New Roman" w:eastAsia="宋体"/>
          <w:b w:val="0"/>
          <w:color w:val="000000"/>
          <w:sz w:val="24"/>
        </w:rPr>
        <w:t xml:space="preserve"> 为窗尾相对 Cue 3.0–4.0 s 的 11 档判定点。</w:t>
      </w:r>
    </w:p>
    <w:p w14:paraId="679C3455">
      <w:pPr>
        <w:spacing w:before="0" w:after="120" w:line="312" w:lineRule="auto"/>
        <w:ind w:firstLine="480"/>
        <w:jc w:val="both"/>
      </w:pPr>
      <w:r>
        <w:rPr>
          <w:rFonts w:ascii="Times New Roman" w:hAnsi="Times New Roman" w:eastAsia="宋体"/>
          <w:b w:val="0"/>
          <w:color w:val="000000"/>
          <w:sz w:val="24"/>
        </w:rPr>
        <w:t>D.4 指定集留一被试评测口径（对应 3.4 节）</w:t>
      </w:r>
    </w:p>
    <w:p w14:paraId="6426C47A">
      <w:pPr>
        <w:spacing w:before="0" w:after="120" w:line="312" w:lineRule="auto"/>
        <w:ind w:firstLine="480"/>
        <w:jc w:val="both"/>
      </w:pPr>
      <w:r>
        <w:rPr>
          <w:rFonts w:ascii="Times New Roman" w:hAnsi="Times New Roman" w:eastAsia="宋体"/>
          <w:b w:val="0"/>
          <w:color w:val="000000"/>
          <w:sz w:val="24"/>
        </w:rPr>
        <w:t xml:space="preserve">第 </w:t>
      </w:r>
      <m:oMath>
        <m:r>
          <m:rPr/>
          <m:t>f</m:t>
        </m:r>
      </m:oMath>
      <w:r>
        <w:rPr>
          <w:rFonts w:ascii="Times New Roman" w:hAnsi="Times New Roman" w:eastAsia="宋体"/>
          <w:b w:val="0"/>
          <w:color w:val="000000"/>
          <w:sz w:val="24"/>
        </w:rPr>
        <w:t xml:space="preserve"> 折的融合权仅用其余五折的折外（OOF）预测拟合，</w:t>
      </w:r>
      <m:oMath>
        <m:sSup>
          <m:sSupPr/>
          <m:e>
            <m:r>
              <m:rPr/>
              <m:t>Δ</m:t>
            </m:r>
          </m:e>
          <m:sup>
            <m:r>
              <m:rPr/>
              <m:t>3</m:t>
            </m:r>
          </m:sup>
        </m:sSup>
      </m:oMath>
      <w:r>
        <w:rPr>
          <w:rFonts w:ascii="Times New Roman" w:hAnsi="Times New Roman" w:eastAsia="宋体"/>
          <w:b w:val="0"/>
          <w:color w:val="000000"/>
          <w:sz w:val="24"/>
        </w:rPr>
        <w:t xml:space="preserve"> 为三类权重单纯形，</w:t>
      </w:r>
      <m:oMath>
        <m:sSup>
          <m:sSupPr/>
          <m:e>
            <m:r>
              <m:rPr>
                <m:sty m:val="p"/>
              </m:rPr>
              <m:t>val</m:t>
            </m:r>
          </m:e>
          <m:sup>
            <m:d>
              <m:dPr>
                <m:sepChr m:val="−"/>
              </m:dPr>
              <m:e/>
              <m:e>
                <m:r>
                  <m:rPr/>
                  <m:t>f</m:t>
                </m:r>
              </m:e>
            </m:d>
          </m:sup>
        </m:sSup>
      </m:oMath>
      <w:r>
        <w:rPr>
          <w:rFonts w:ascii="Times New Roman" w:hAnsi="Times New Roman" w:eastAsia="宋体"/>
          <w:b w:val="0"/>
          <w:color w:val="000000"/>
          <w:sz w:val="24"/>
        </w:rPr>
        <w:t xml:space="preserve"> 为除第 </w:t>
      </w:r>
      <m:oMath>
        <m:r>
          <m:rPr/>
          <m:t>f</m:t>
        </m:r>
      </m:oMath>
      <w:r>
        <w:rPr>
          <w:rFonts w:ascii="Times New Roman" w:hAnsi="Times New Roman" w:eastAsia="宋体"/>
          <w:b w:val="0"/>
          <w:color w:val="000000"/>
          <w:sz w:val="24"/>
        </w:rPr>
        <w:t xml:space="preserve"> 折外的验证集；测试读数为六折概率平均：</w:t>
      </w:r>
    </w:p>
    <w:p w14:paraId="47D69E70">
      <w:pPr>
        <w:spacing w:before="120" w:after="120"/>
        <w:jc w:val="center"/>
      </w:pPr>
      <m:oMathPara>
        <m:oMathParaPr>
          <m:jc m:val="center"/>
        </m:oMathParaPr>
        <m:oMath>
          <m:sSubSup>
            <m:sSubSupPr/>
            <m:e>
              <m:r>
                <m:rPr/>
                <m:t>w</m:t>
              </m:r>
            </m:e>
            <m:sub>
              <m:r>
                <m:rPr/>
                <m:t>f</m:t>
              </m:r>
            </m:sub>
            <m:sup>
              <m:r>
                <m:rPr/>
                <m:t>∗</m:t>
              </m:r>
            </m:sup>
          </m:sSubSup>
          <m:r>
            <m:rPr/>
            <m:t>=</m:t>
          </m:r>
          <m:sSub>
            <m:sSubPr/>
            <m:e>
              <m:r>
                <m:rPr/>
                <m:t>argmax</m:t>
              </m:r>
            </m:e>
            <m:sub>
              <m:r>
                <m:rPr/>
                <m:t>w∈</m:t>
              </m:r>
              <m:sSup>
                <m:sSupPr/>
                <m:e>
                  <m:r>
                    <m:rPr/>
                    <m:t>Δ</m:t>
                  </m:r>
                </m:e>
                <m:sup>
                  <m:r>
                    <m:rPr/>
                    <m:t>3</m:t>
                  </m:r>
                </m:sup>
              </m:sSup>
            </m:sub>
          </m:sSub>
          <m:sSub>
            <m:sSubPr/>
            <m:e>
              <m:r>
                <m:rPr>
                  <m:sty m:val="p"/>
                </m:rPr>
                <m:t>Acc</m:t>
              </m:r>
            </m:e>
            <m:sub>
              <m:sSup>
                <m:sSupPr/>
                <m:e>
                  <m:r>
                    <m:rPr>
                      <m:sty m:val="p"/>
                    </m:rPr>
                    <m:t>val</m:t>
                  </m:r>
                </m:e>
                <m:sup>
                  <m:d>
                    <m:dPr>
                      <m:sepChr m:val="−"/>
                    </m:dPr>
                    <m:e/>
                    <m:e>
                      <m:r>
                        <m:rPr/>
                        <m:t>f</m:t>
                      </m:r>
                    </m:e>
                  </m:d>
                </m:sup>
              </m:sSup>
            </m:sub>
          </m:sSub>
          <m:r>
            <m:rPr/>
            <m:t>(w),</m:t>
          </m:r>
          <m:sSub>
            <m:sSubPr/>
            <m:e>
              <m:r>
                <m:rPr/>
                <m:t>p</m:t>
              </m:r>
            </m:e>
            <m:sub>
              <m:r>
                <m:rPr>
                  <m:sty m:val="p"/>
                </m:rPr>
                <m:t>test</m:t>
              </m:r>
            </m:sub>
          </m:sSub>
          <m:r>
            <m:rPr/>
            <m:t>=</m:t>
          </m:r>
          <m:f>
            <m:fPr/>
            <m:num>
              <m:r>
                <m:rPr/>
                <m:t>1</m:t>
              </m:r>
            </m:num>
            <m:den>
              <m:r>
                <m:rPr/>
                <m:t>6</m:t>
              </m:r>
            </m:den>
          </m:f>
          <m:nary>
            <m:naryPr>
              <m:chr m:val="∑"/>
              <m:grow m:val="1"/>
              <m:limLoc m:val="subSup"/>
            </m:naryPr>
            <m:sub>
              <m:r>
                <m:rPr/>
                <m:t>f=1</m:t>
              </m:r>
            </m:sub>
            <m:sup>
              <m:r>
                <m:rPr/>
                <m:t>6</m:t>
              </m:r>
            </m:sup>
            <m:e>
              <m:nary>
                <m:naryPr>
                  <m:chr m:val="∑"/>
                  <m:grow m:val="1"/>
                  <m:limLoc m:val="subSup"/>
                </m:naryPr>
                <m:sub>
                  <m:r>
                    <m:rPr/>
                    <m:t>m=1</m:t>
                  </m:r>
                </m:sub>
                <m:sup>
                  <m:r>
                    <m:rPr/>
                    <m:t>4</m:t>
                  </m:r>
                </m:sup>
                <m:e>
                  <m:sSubSup>
                    <m:sSubSupPr/>
                    <m:e>
                      <m:r>
                        <m:rPr/>
                        <m:t>w</m:t>
                      </m:r>
                    </m:e>
                    <m:sub>
                      <m:r>
                        <m:rPr/>
                        <m:t>f,m</m:t>
                      </m:r>
                    </m:sub>
                    <m:sup>
                      <m:r>
                        <m:rPr/>
                        <m:t>∗</m:t>
                      </m:r>
                    </m:sup>
                  </m:sSubSup>
                </m:e>
              </m:nary>
            </m:e>
          </m:nary>
          <m:sSubSup>
            <m:sSubSupPr/>
            <m:e>
              <m:limUpp>
                <m:limUppPr/>
                <m:e>
                  <m:r>
                    <m:rPr/>
                    <m:t>p</m:t>
                  </m:r>
                </m:e>
                <m:lim>
                  <m:r>
                    <m:rPr/>
                    <m:t>~</m:t>
                  </m:r>
                </m:lim>
              </m:limUpp>
            </m:e>
            <m:sub>
              <m:r>
                <m:rPr/>
                <m:t>m</m:t>
              </m:r>
            </m:sub>
            <m:sup>
              <m:d>
                <m:dPr>
                  <m:sepChr m:val=""/>
                </m:dPr>
                <m:e>
                  <m:r>
                    <m:rPr/>
                    <m:t>f</m:t>
                  </m:r>
                </m:e>
              </m:d>
            </m:sup>
          </m:sSubSup>
          <m:d>
            <m:dPr>
              <m:sepChr m:val=""/>
            </m:dPr>
            <m:e>
              <m:r>
                <m:rPr>
                  <m:sty m:val="p"/>
                </m:rPr>
                <m:t>D.7</m:t>
              </m:r>
            </m:e>
          </m:d>
        </m:oMath>
      </m:oMathPara>
    </w:p>
    <w:p w14:paraId="0518D3FC">
      <w:pPr>
        <w:spacing w:before="0" w:after="120" w:line="312" w:lineRule="auto"/>
        <w:ind w:firstLine="480"/>
        <w:jc w:val="both"/>
      </w:pPr>
      <w:r>
        <w:rPr>
          <w:rFonts w:ascii="Times New Roman" w:hAnsi="Times New Roman" w:eastAsia="宋体"/>
          <w:b w:val="0"/>
          <w:color w:val="000000"/>
          <w:sz w:val="24"/>
        </w:rPr>
        <w:t>折内口径在全部 OOF 上拟合一次再同批评估（</w:t>
      </w:r>
      <m:oMath>
        <m:sSubSup>
          <m:sSubSupPr/>
          <m:e>
            <m:r>
              <m:rPr/>
              <m:t>w</m:t>
            </m:r>
          </m:e>
          <m:sub>
            <m:r>
              <m:rPr>
                <m:sty m:val="p"/>
              </m:rPr>
              <m:t>all</m:t>
            </m:r>
          </m:sub>
          <m:sup>
            <m:r>
              <m:rPr/>
              <m:t>∗</m:t>
            </m:r>
          </m:sup>
        </m:sSubSup>
      </m:oMath>
      <w:r>
        <w:rPr>
          <w:rFonts w:ascii="Times New Roman" w:hAnsi="Times New Roman" w:eastAsia="宋体"/>
          <w:b w:val="0"/>
          <w:color w:val="000000"/>
          <w:sz w:val="24"/>
        </w:rPr>
        <w:t xml:space="preserve">）；留一被试口径对每折用 </w:t>
      </w:r>
      <m:oMath>
        <m:sSubSup>
          <m:sSubSupPr/>
          <m:e>
            <m:r>
              <m:rPr/>
              <m:t>w</m:t>
            </m:r>
          </m:e>
          <m:sub>
            <m:r>
              <m:rPr/>
              <m:t>f</m:t>
            </m:r>
          </m:sub>
          <m:sup>
            <m:r>
              <m:rPr/>
              <m:t>∗</m:t>
            </m:r>
          </m:sup>
        </m:sSubSup>
      </m:oMath>
      <w:r>
        <w:rPr>
          <w:rFonts w:ascii="Times New Roman" w:hAnsi="Times New Roman" w:eastAsia="宋体"/>
          <w:b w:val="0"/>
          <w:color w:val="000000"/>
          <w:sz w:val="24"/>
        </w:rPr>
        <w:t xml:space="preserve"> 评估后取均值：</w:t>
      </w:r>
    </w:p>
    <w:p w14:paraId="34C49FA1">
      <w:pPr>
        <w:spacing w:before="120" w:after="120"/>
        <w:jc w:val="center"/>
      </w:pPr>
      <m:oMathPara>
        <m:oMathParaPr>
          <m:jc m:val="center"/>
        </m:oMathParaPr>
        <m:oMath>
          <m:sSub>
            <m:sSubPr/>
            <m:e>
              <m:r>
                <m:rPr>
                  <m:sty m:val="p"/>
                </m:rPr>
                <m:t>Acc</m:t>
              </m:r>
            </m:e>
            <m:sub>
              <m:r>
                <m:rPr>
                  <m:sty m:val="p"/>
                </m:rPr>
                <m:t>in</m:t>
              </m:r>
            </m:sub>
          </m:sSub>
          <m:r>
            <m:rPr/>
            <m:t>=</m:t>
          </m:r>
          <m:r>
            <m:rPr>
              <m:sty m:val="p"/>
            </m:rPr>
            <m:t>Acc</m:t>
          </m:r>
          <m:r>
            <m:rPr/>
            <m:t>(</m:t>
          </m:r>
          <m:sSubSup>
            <m:sSubSupPr/>
            <m:e>
              <m:r>
                <m:rPr/>
                <m:t>w</m:t>
              </m:r>
            </m:e>
            <m:sub>
              <m:r>
                <m:rPr>
                  <m:sty m:val="p"/>
                </m:rPr>
                <m:t>all</m:t>
              </m:r>
            </m:sub>
            <m:sup>
              <m:r>
                <m:rPr/>
                <m:t>∗</m:t>
              </m:r>
            </m:sup>
          </m:sSubSup>
          <m:r>
            <m:rPr/>
            <m:t>;</m:t>
          </m:r>
          <m:r>
            <m:rPr>
              <m:sty m:val="p"/>
            </m:rPr>
            <m:t>allOOF</m:t>
          </m:r>
          <m:r>
            <m:rPr/>
            <m:t>),</m:t>
          </m:r>
          <m:sSub>
            <m:sSubPr/>
            <m:e>
              <m:r>
                <m:rPr>
                  <m:sty m:val="p"/>
                </m:rPr>
                <m:t>Acc</m:t>
              </m:r>
            </m:e>
            <m:sub>
              <m:r>
                <m:rPr>
                  <m:sty m:val="p"/>
                </m:rPr>
                <m:t>nest</m:t>
              </m:r>
            </m:sub>
          </m:sSub>
          <m:r>
            <m:rPr/>
            <m:t>=</m:t>
          </m:r>
          <m:f>
            <m:fPr/>
            <m:num>
              <m:r>
                <m:rPr/>
                <m:t>1</m:t>
              </m:r>
            </m:num>
            <m:den>
              <m:r>
                <m:rPr/>
                <m:t>6</m:t>
              </m:r>
            </m:den>
          </m:f>
          <m:nary>
            <m:naryPr>
              <m:chr m:val="∑"/>
              <m:grow m:val="1"/>
              <m:limLoc m:val="subSup"/>
            </m:naryPr>
            <m:sub>
              <m:r>
                <m:rPr/>
                <m:t>f=1</m:t>
              </m:r>
            </m:sub>
            <m:sup>
              <m:r>
                <m:rPr/>
                <m:t>6</m:t>
              </m:r>
            </m:sup>
            <m:e>
              <m:r>
                <m:rPr>
                  <m:sty m:val="p"/>
                </m:rPr>
                <m:t>Acc</m:t>
              </m:r>
            </m:e>
          </m:nary>
          <m:r>
            <m:rPr/>
            <m:t>(</m:t>
          </m:r>
          <m:sSubSup>
            <m:sSubSupPr/>
            <m:e>
              <m:r>
                <m:rPr/>
                <m:t>w</m:t>
              </m:r>
            </m:e>
            <m:sub>
              <m:r>
                <m:rPr/>
                <m:t>f</m:t>
              </m:r>
            </m:sub>
            <m:sup>
              <m:r>
                <m:rPr/>
                <m:t>∗</m:t>
              </m:r>
            </m:sup>
          </m:sSubSup>
          <m:r>
            <m:rPr/>
            <m:t>;f)</m:t>
          </m:r>
          <m:d>
            <m:dPr>
              <m:sepChr m:val=""/>
            </m:dPr>
            <m:e>
              <m:r>
                <m:rPr>
                  <m:sty m:val="p"/>
                </m:rPr>
                <m:t>D.8</m:t>
              </m:r>
            </m:e>
          </m:d>
        </m:oMath>
      </m:oMathPara>
    </w:p>
    <w:p w14:paraId="5C2178D5">
      <w:pPr>
        <w:spacing w:before="0" w:after="120" w:line="312" w:lineRule="auto"/>
        <w:ind w:firstLine="480"/>
        <w:jc w:val="both"/>
      </w:pPr>
      <w:r>
        <w:rPr>
          <w:rFonts w:ascii="Times New Roman" w:hAnsi="Times New Roman" w:eastAsia="宋体"/>
          <w:b w:val="0"/>
          <w:color w:val="000000"/>
          <w:sz w:val="24"/>
        </w:rPr>
        <w:t>两者之差即折内融合的乐观偏置，3.4 节量化为 +4.7 个百分点（55.80% 对 51.11%）。</w:t>
      </w:r>
    </w:p>
    <w:p w14:paraId="4EA1F118">
      <w:pPr>
        <w:pStyle w:val="3"/>
        <w:spacing w:before="280" w:after="160" w:line="312" w:lineRule="auto"/>
        <w:jc w:val="center"/>
      </w:pPr>
      <w:bookmarkStart w:id="34" w:name="_Toc529"/>
      <w:r>
        <w:rPr>
          <w:rFonts w:ascii="Times New Roman" w:hAnsi="Times New Roman" w:eastAsia="黑体"/>
          <w:b/>
          <w:color w:val="000000"/>
          <w:sz w:val="32"/>
        </w:rPr>
        <w:t>文献核查说明</w:t>
      </w:r>
      <w:bookmarkEnd w:id="34"/>
    </w:p>
    <w:p w14:paraId="55BE3BE8">
      <w:pPr>
        <w:spacing w:before="0" w:after="120" w:line="312" w:lineRule="auto"/>
        <w:ind w:firstLine="480"/>
        <w:jc w:val="both"/>
      </w:pPr>
      <w:r>
        <w:rPr>
          <w:rFonts w:ascii="Times New Roman" w:hAnsi="Times New Roman" w:eastAsia="宋体"/>
          <w:b w:val="0"/>
          <w:color w:val="000000"/>
          <w:sz w:val="24"/>
        </w:rPr>
        <w:t>参考文献核查说明：[1]–[4]、[6]–[8]、[11]–[16] 为领域经典与工具文档；[5] Stieger 2021 经 DOI 10.1038/s41597-021-00883-1 核实（Scientific Data 8:98；公开描述 62 人，本报告跨库实验使用其中 24 人可复现子集）；[9]、[17]、[18] 分别经 PubMed/arXiv 核实；[10] 已在 §3.2 引用。无虚假文献。</w:t>
      </w:r>
    </w:p>
    <w:p w14:paraId="5AB25EA6">
      <w:pPr>
        <w:spacing w:before="0" w:after="120" w:line="312" w:lineRule="auto"/>
        <w:ind w:firstLine="480"/>
        <w:jc w:val="both"/>
      </w:pPr>
      <w:r>
        <w:rPr>
          <w:rFonts w:ascii="Times New Roman" w:hAnsi="Times New Roman" w:eastAsia="宋体"/>
          <w:b w:val="0"/>
          <w:color w:val="000000"/>
          <w:sz w:val="24"/>
        </w:rPr>
        <w:t>数字表示法对账说明：本报告正文、表格与结果图中的准确率类指标统一以百分数表示（如 61.88%）；随附 Excel 离线验证报告与代码包登记表中的同一数字以小数表示（0.6188），两者等值、仅为表示法差异（61.88% = 0.6188，51.11%±6.57% = 0.5111±0.0657），数值口径与对账锚点完全一致；图 14（BCI2a 适配曲线）纵轴刻度与脚注沿用小数表示，数值等值。</w:t>
      </w:r>
    </w:p>
    <w:sectPr>
      <w:footerReference r:id="rId5" w:type="default"/>
      <w:pgSz w:w="11906" w:h="16838"/>
      <w:pgMar w:top="1440" w:right="1600" w:bottom="1440" w:left="16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2DF5B">
    <w:pPr>
      <w:pStyle w:val="25"/>
      <w:jc w:val="center"/>
    </w:pPr>
    <w:r>
      <w:fldChar w:fldCharType="begin"/>
    </w:r>
    <w:r>
      <w:instrText xml:space="preserve">PAGE \* arabic \* MERGEFORMAT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9F47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22933</Words>
  <Characters>30783</Characters>
  <Lines>0</Lines>
  <Paragraphs>0</Paragraphs>
  <TotalTime>1</TotalTime>
  <ScaleCrop>false</ScaleCrop>
  <LinksUpToDate>false</LinksUpToDate>
  <CharactersWithSpaces>33116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WPS_1788604618</cp:lastModifiedBy>
  <dcterms:modified xsi:type="dcterms:W3CDTF">2026-09-09T02:00:19Z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eyJoZGlkIjoiNjk3NzcwNDAwODM0NWIzNzJmOWJmYjQ0YmJkYTQ0NGUiLCJ1c2VySWQiOiIxMzc0NTQ4MTQyMTcifQ==</vt:lpwstr>
  </property>
  <property fmtid="{D5CDD505-2E9C-101B-9397-08002B2CF9AE}" pid="3" name="KSOProductBuildVer">
    <vt:lpwstr>2052-12.1.0.28032</vt:lpwstr>
  </property>
  <property fmtid="{D5CDD505-2E9C-101B-9397-08002B2CF9AE}" pid="4" name="ICV">
    <vt:lpwstr>C32DE55072C347389EF19E36C94B5455_12</vt:lpwstr>
  </property>
</Properties>
</file>