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401D68">
      <w:pPr>
        <w:rPr>
          <w:rFonts w:hint="eastAsia"/>
          <w:sz w:val="34"/>
          <w:szCs w:val="34"/>
        </w:rPr>
      </w:pPr>
    </w:p>
    <w:p w14:paraId="325E021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基于运动想象的脑-机交互系统技术方案</w:t>
      </w:r>
    </w:p>
    <w:p w14:paraId="3F25BAE3">
      <w:pPr>
        <w:rPr>
          <w:rFonts w:hint="eastAsia"/>
          <w:sz w:val="34"/>
          <w:szCs w:val="34"/>
        </w:rPr>
      </w:pPr>
    </w:p>
    <w:p w14:paraId="1FA53572">
      <w:pPr>
        <w:rPr>
          <w:rFonts w:hint="eastAsia"/>
          <w:sz w:val="34"/>
          <w:szCs w:val="34"/>
        </w:rPr>
      </w:pPr>
    </w:p>
    <w:p w14:paraId="1B06C9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一、赛事背景与项目整体需求</w:t>
      </w:r>
    </w:p>
    <w:p w14:paraId="181A14FE">
      <w:pPr>
        <w:rPr>
          <w:rFonts w:hint="eastAsia"/>
          <w:sz w:val="34"/>
          <w:szCs w:val="34"/>
        </w:rPr>
      </w:pPr>
    </w:p>
    <w:p w14:paraId="29E6FD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1.1 应用背景</w:t>
      </w:r>
    </w:p>
    <w:p w14:paraId="32BD58F2">
      <w:pPr>
        <w:rPr>
          <w:rFonts w:hint="eastAsia"/>
          <w:sz w:val="34"/>
          <w:szCs w:val="34"/>
        </w:rPr>
      </w:pPr>
    </w:p>
    <w:p w14:paraId="23A6665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当前我国老龄化进程持续加速，脑卒中患者数量庞大，多数患者遗留运动功能障碍，对智能康复、辅助移动类设备产生巨大刚性需求。现有智能辅具大多依靠环境感知或用户残存肌力进行控制，无法直接解读大脑主动运动意图，使用自主性与安全性存在明显短板。</w:t>
      </w:r>
    </w:p>
    <w:p w14:paraId="72F940DA">
      <w:pPr>
        <w:rPr>
          <w:rFonts w:hint="eastAsia"/>
          <w:sz w:val="34"/>
          <w:szCs w:val="34"/>
        </w:rPr>
      </w:pPr>
    </w:p>
    <w:p w14:paraId="41021F1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运动想象脑机接口（MI-BCI）仅依靠用户想象肢体动作即可生成控制指令，是智能康复设备的核心技术方向。目前该技术从实验室走向实际应用仍存在三大核心技术瓶颈：</w:t>
      </w:r>
    </w:p>
    <w:p w14:paraId="07E49B1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第一，日常环境存在电磁干扰与生理噪声，运动想象脑电信号本身微弱、个体差异大，难以实现高鲁棒性、高精度信号解码；</w:t>
      </w:r>
    </w:p>
    <w:p w14:paraId="093928B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第二，缺乏成熟的异步交互逻辑，无法精准区分用户控制状态与空闲状态，存在使用安全隐患；</w:t>
      </w:r>
    </w:p>
    <w:p w14:paraId="09C5EC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第三，传统算法依赖大量训练样本，新用户快速个性化适配、低延迟实时运算的难题尚未解决。</w:t>
      </w:r>
    </w:p>
    <w:p w14:paraId="444E7733">
      <w:pPr>
        <w:rPr>
          <w:rFonts w:hint="eastAsia"/>
          <w:sz w:val="34"/>
          <w:szCs w:val="34"/>
        </w:rPr>
      </w:pPr>
    </w:p>
    <w:p w14:paraId="01E1A6A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同时，运动想象操作方式因人而异，初学者摸索周期长、上手难度高，严重制约该技术规模化推广。</w:t>
      </w:r>
    </w:p>
    <w:p w14:paraId="0C6B0BB6">
      <w:pPr>
        <w:rPr>
          <w:rFonts w:hint="eastAsia"/>
          <w:sz w:val="34"/>
          <w:szCs w:val="34"/>
        </w:rPr>
      </w:pPr>
    </w:p>
    <w:p w14:paraId="241A86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1.2 赛事核心需求</w:t>
      </w:r>
    </w:p>
    <w:p w14:paraId="558291D6">
      <w:pPr>
        <w:rPr>
          <w:rFonts w:hint="eastAsia"/>
          <w:sz w:val="34"/>
          <w:szCs w:val="34"/>
        </w:rPr>
      </w:pPr>
    </w:p>
    <w:p w14:paraId="29045D6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 完成左手运动想象、右手运动想象、静息（空闲）状态三类认知信号的精准分类与实时识别，搭建完整脑电采集、解码、在线交互系统；</w:t>
      </w:r>
    </w:p>
    <w:p w14:paraId="325C0D4C">
      <w:pPr>
        <w:rPr>
          <w:rFonts w:hint="eastAsia"/>
          <w:sz w:val="34"/>
          <w:szCs w:val="34"/>
        </w:rPr>
      </w:pPr>
    </w:p>
    <w:p w14:paraId="4D56CE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 实现被试与算法双向适配：通过智能引导方式帮助用户快速掌握运动想象技巧、缩短训练周期；依托算法自适应优化，匹配不同用户脑电特征，提升整体识别准确率；</w:t>
      </w:r>
    </w:p>
    <w:p w14:paraId="312D5366">
      <w:pPr>
        <w:rPr>
          <w:rFonts w:hint="eastAsia"/>
          <w:sz w:val="34"/>
          <w:szCs w:val="34"/>
        </w:rPr>
      </w:pPr>
    </w:p>
    <w:p w14:paraId="6CE351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 自行采集不少于20名受试者数据完成模型训练、离线验证与在线演示，保证方案可验证、可复现、可落地；</w:t>
      </w:r>
    </w:p>
    <w:p w14:paraId="6C5517D9">
      <w:pPr>
        <w:rPr>
          <w:rFonts w:hint="eastAsia"/>
          <w:sz w:val="34"/>
          <w:szCs w:val="34"/>
        </w:rPr>
      </w:pPr>
    </w:p>
    <w:p w14:paraId="7C5CA1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4. 攻克噪声环境鲁棒解码、控制/空闲状态判别、少样本个性化适配、低延迟实时运算四大技术难题。</w:t>
      </w:r>
    </w:p>
    <w:p w14:paraId="52EC5C3E">
      <w:pPr>
        <w:rPr>
          <w:rFonts w:hint="eastAsia"/>
          <w:sz w:val="34"/>
          <w:szCs w:val="34"/>
        </w:rPr>
      </w:pPr>
    </w:p>
    <w:p w14:paraId="10CC0D7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1.3 前期基础工作</w:t>
      </w:r>
    </w:p>
    <w:p w14:paraId="24EC1E06">
      <w:pPr>
        <w:rPr>
          <w:rFonts w:hint="eastAsia"/>
          <w:sz w:val="34"/>
          <w:szCs w:val="34"/>
        </w:rPr>
      </w:pPr>
    </w:p>
    <w:p w14:paraId="2F3D45B0">
      <w:pPr>
        <w:rPr>
          <w:rFonts w:hint="eastAsia"/>
          <w:sz w:val="34"/>
          <w:szCs w:val="34"/>
          <w:lang w:eastAsia="zh-CN"/>
        </w:rPr>
      </w:pPr>
      <w:r>
        <w:rPr>
          <w:rFonts w:hint="eastAsia"/>
          <w:sz w:val="34"/>
          <w:szCs w:val="34"/>
        </w:rPr>
        <w:t>第一步：</w:t>
      </w:r>
      <w:r>
        <w:rPr>
          <w:rFonts w:hint="eastAsia"/>
          <w:sz w:val="34"/>
          <w:szCs w:val="34"/>
          <w:lang w:eastAsia="zh-CN"/>
        </w:rPr>
        <w:t>利用公开数据集预训练一个模型（因为自行采集到二十个人的数据集不足以训练一个模型）</w:t>
      </w:r>
    </w:p>
    <w:p w14:paraId="5FE364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第二步，自行</w:t>
      </w:r>
      <w:r>
        <w:rPr>
          <w:rFonts w:hint="eastAsia"/>
          <w:sz w:val="34"/>
          <w:szCs w:val="34"/>
        </w:rPr>
        <w:t>采集20名被试脑电数据，</w:t>
      </w:r>
      <w:r>
        <w:rPr>
          <w:rFonts w:hint="eastAsia"/>
          <w:sz w:val="34"/>
          <w:szCs w:val="34"/>
          <w:lang w:eastAsia="zh-CN"/>
        </w:rPr>
        <w:t>在已经训练好的</w:t>
      </w:r>
      <w:r>
        <w:rPr>
          <w:rFonts w:hint="eastAsia"/>
          <w:sz w:val="34"/>
          <w:szCs w:val="34"/>
        </w:rPr>
        <w:t>基线模型</w:t>
      </w:r>
      <w:r>
        <w:rPr>
          <w:rFonts w:hint="eastAsia"/>
          <w:sz w:val="34"/>
          <w:szCs w:val="34"/>
          <w:lang w:eastAsia="zh-CN"/>
        </w:rPr>
        <w:t>进行微调（微调模型大部分或者全部）</w:t>
      </w:r>
      <w:r>
        <w:rPr>
          <w:rFonts w:hint="eastAsia"/>
          <w:sz w:val="34"/>
          <w:szCs w:val="34"/>
        </w:rPr>
        <w:t>，作为后续算法迁移、离线验证的基础底座。</w:t>
      </w:r>
    </w:p>
    <w:p w14:paraId="2FC1AF4A">
      <w:pPr>
        <w:rPr>
          <w:rFonts w:hint="eastAsia"/>
          <w:sz w:val="34"/>
          <w:szCs w:val="34"/>
        </w:rPr>
      </w:pPr>
    </w:p>
    <w:p w14:paraId="3EC4B2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二、网页游戏诱导设计 + 标准化实验范式</w:t>
      </w:r>
    </w:p>
    <w:p w14:paraId="73B7D133">
      <w:pPr>
        <w:rPr>
          <w:rFonts w:hint="eastAsia"/>
          <w:sz w:val="34"/>
          <w:szCs w:val="34"/>
        </w:rPr>
      </w:pPr>
    </w:p>
    <w:p w14:paraId="714DBC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2.1 网页游戏诱导设计</w:t>
      </w:r>
    </w:p>
    <w:p w14:paraId="6B021F0A">
      <w:pPr>
        <w:rPr>
          <w:rFonts w:hint="eastAsia"/>
          <w:sz w:val="34"/>
          <w:szCs w:val="34"/>
        </w:rPr>
      </w:pPr>
    </w:p>
    <w:p w14:paraId="58ADD2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搭建轻量化网页游戏交互界面，搭配动态动画与精细化文字指令，以游戏化形式完成运动想象引导：</w:t>
      </w:r>
    </w:p>
    <w:p w14:paraId="2A5690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左手想象模块：搭配左手抓握网球动态动画 + 对应操作指令；</w:t>
      </w:r>
    </w:p>
    <w:p w14:paraId="1F0562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右手想象模块：搭配右手书写文字动态动画 + 对应操作指令。</w:t>
      </w:r>
    </w:p>
    <w:p w14:paraId="3278A542">
      <w:pPr>
        <w:rPr>
          <w:rFonts w:hint="eastAsia"/>
          <w:sz w:val="34"/>
          <w:szCs w:val="34"/>
        </w:rPr>
      </w:pPr>
    </w:p>
    <w:p w14:paraId="65606C3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2.2 自研固定实验范式</w:t>
      </w:r>
    </w:p>
    <w:p w14:paraId="4DE05553">
      <w:pPr>
        <w:rPr>
          <w:rFonts w:hint="eastAsia"/>
          <w:sz w:val="34"/>
          <w:szCs w:val="34"/>
        </w:rPr>
      </w:pPr>
    </w:p>
    <w:p w14:paraId="505C3408">
      <w:pPr>
        <w:rPr>
          <w:rFonts w:hint="eastAsia"/>
          <w:sz w:val="34"/>
          <w:szCs w:val="34"/>
        </w:rPr>
      </w:pPr>
      <w:r>
        <w:t>左手和右手任务的单试次总时长设置为6秒，采用固定时序流程，并统一将数据重采样或保持为250 Hz：</w:t>
      </w:r>
    </w:p>
    <w:p>
      <w:r>
        <w:t>固定通道顺序：Cz、C3、C4、CP3、FC4、FC3、CP4、CPz。该顺序同时作为模型输入通道轴顺序，所有数据集、训练、微调与在线推理均不得按字母或原始文件顺序重新排列。</w:t>
      </w:r>
    </w:p>
    <w:p>
      <w:r>
        <w:t>通道索引映射：0=Cz，1=C3，2=C4，3=CP3，4=FC4，5=FC3，6=CP4，7=CPz。</w:t>
      </w:r>
    </w:p>
    <w:p w14:paraId="5EC39265">
      <w:pPr>
        <w:rPr>
          <w:rFonts w:hint="eastAsia"/>
          <w:sz w:val="34"/>
          <w:szCs w:val="34"/>
        </w:rPr>
      </w:pPr>
    </w:p>
    <w:p w14:paraId="0B8485F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 0~2s：实验准备阶段；</w:t>
      </w:r>
    </w:p>
    <w:p w14:paraId="34432831">
      <w:pPr>
        <w:rPr>
          <w:rFonts w:hint="eastAsia"/>
          <w:sz w:val="34"/>
          <w:szCs w:val="34"/>
        </w:rPr>
      </w:pPr>
    </w:p>
    <w:p w14:paraId="6FCFB1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 2s 时刻：视觉提示线索（Cue）弹出；</w:t>
      </w:r>
    </w:p>
    <w:p w14:paraId="526DEC33">
      <w:pPr>
        <w:rPr>
          <w:rFonts w:hint="eastAsia"/>
          <w:sz w:val="34"/>
          <w:szCs w:val="34"/>
        </w:rPr>
      </w:pPr>
    </w:p>
    <w:p w14:paraId="7D5F127C">
      <w:pPr>
        <w:rPr>
          <w:rFonts w:hint="eastAsia"/>
          <w:sz w:val="34"/>
          <w:szCs w:val="34"/>
        </w:rPr>
      </w:pPr>
      <w:r>
        <w:t>3. 2~6 s：完整运动想象阶段，固定截取单试次绝对时间2~6 s作为特征数据，共4 s、1000个时间点；该窗口等价于Cue出现后0~4 s；</w:t>
      </w:r>
    </w:p>
    <w:p w14:paraId="0D669E92">
      <w:pPr>
        <w:rPr>
          <w:rFonts w:hint="eastAsia"/>
          <w:sz w:val="34"/>
          <w:szCs w:val="34"/>
        </w:rPr>
      </w:pPr>
    </w:p>
    <w:p w14:paraId="4E4B984F">
      <w:pPr>
        <w:rPr>
          <w:rFonts w:hint="eastAsia"/>
          <w:sz w:val="34"/>
          <w:szCs w:val="34"/>
        </w:rPr>
      </w:pPr>
      <w:r>
        <w:t>4. 静息类采用独立静息试次或公开数据中的合格休息段：整个2~6 s保持放松、不进行任何运动想象，同样截取4 s、1000个时间点。BCI IV 2a 中仅保留左手和右手原始试次，双脚和舌头丢弃；静息样本从相邻任务之间无Cue、无运动想象、无伪迹的连续休息/准备段提取。</w:t>
      </w:r>
    </w:p>
    <w:p w14:paraId="2475952C">
      <w:pPr>
        <w:rPr>
          <w:rFonts w:hint="eastAsia"/>
          <w:sz w:val="34"/>
          <w:szCs w:val="34"/>
        </w:rPr>
      </w:pPr>
    </w:p>
    <w:p w14:paraId="45099E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2.3 实验前置流程</w:t>
      </w:r>
    </w:p>
    <w:p w14:paraId="52090004">
      <w:pPr>
        <w:rPr>
          <w:rFonts w:hint="eastAsia"/>
          <w:sz w:val="34"/>
          <w:szCs w:val="34"/>
        </w:rPr>
      </w:pPr>
    </w:p>
    <w:p w14:paraId="7D482E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被试正式训练开始前，统一开展三轮同流程预实验，预实验任务、时序与正式训练完全一致，同步完成信号校验、状态监测与特征留存：</w:t>
      </w:r>
    </w:p>
    <w:p w14:paraId="2CA30F50">
      <w:pPr>
        <w:rPr>
          <w:rFonts w:hint="eastAsia"/>
          <w:sz w:val="34"/>
          <w:szCs w:val="34"/>
        </w:rPr>
      </w:pPr>
    </w:p>
    <w:p w14:paraId="0A0FDF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 计算大脑运动皮层各响应通道的ERD数值；</w:t>
      </w:r>
    </w:p>
    <w:p w14:paraId="4D4FA0CE">
      <w:pPr>
        <w:rPr>
          <w:rFonts w:hint="eastAsia"/>
          <w:sz w:val="34"/>
          <w:szCs w:val="34"/>
        </w:rPr>
      </w:pPr>
    </w:p>
    <w:p w14:paraId="43AFA4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 依据ERD指标判断被试是否产生有效运动想象，区分有效控制状态与空闲状态；</w:t>
      </w:r>
    </w:p>
    <w:p w14:paraId="20894055">
      <w:pPr>
        <w:rPr>
          <w:rFonts w:hint="eastAsia"/>
          <w:sz w:val="34"/>
          <w:szCs w:val="34"/>
        </w:rPr>
      </w:pPr>
    </w:p>
    <w:p w14:paraId="174CB2D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 搭载单通道脑电注意力实时计算模块，与ERD指标配合完成用户全状态监测；</w:t>
      </w:r>
    </w:p>
    <w:p w14:paraId="3250B8B7">
      <w:pPr>
        <w:rPr>
          <w:rFonts w:hint="eastAsia"/>
          <w:sz w:val="34"/>
          <w:szCs w:val="34"/>
        </w:rPr>
      </w:pPr>
    </w:p>
    <w:p w14:paraId="045CF0A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4. 提取并保存基线模型中贡献率最高的关键特征、通道特征、频域特征，为后续特征比对与模型微调提供基准依据。</w:t>
      </w:r>
    </w:p>
    <w:p w14:paraId="6E51D920">
      <w:pPr>
        <w:rPr>
          <w:rFonts w:hint="eastAsia"/>
          <w:sz w:val="34"/>
          <w:szCs w:val="34"/>
        </w:rPr>
      </w:pPr>
    </w:p>
    <w:p w14:paraId="45D0DA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三、少样本个性化智能分级训练方案</w:t>
      </w:r>
    </w:p>
    <w:p w14:paraId="52A99036">
      <w:pPr>
        <w:rPr>
          <w:rFonts w:hint="eastAsia"/>
          <w:sz w:val="34"/>
          <w:szCs w:val="34"/>
        </w:rPr>
      </w:pPr>
    </w:p>
    <w:p w14:paraId="7A5D83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依托20名被试</w:t>
      </w:r>
      <w:r>
        <w:rPr>
          <w:rFonts w:hint="eastAsia"/>
          <w:sz w:val="34"/>
          <w:szCs w:val="34"/>
          <w:lang w:eastAsia="zh-CN"/>
        </w:rPr>
        <w:t>微调完</w:t>
      </w:r>
      <w:r>
        <w:rPr>
          <w:rFonts w:hint="eastAsia"/>
          <w:sz w:val="34"/>
          <w:szCs w:val="34"/>
        </w:rPr>
        <w:t>的通用基线模型，嵌入网页游戏后台，搭建粗颗粒度→细颗粒度两级训练体系，以少量试次实现新用户模型个性化适配，达成用户、算法双向协同优化。</w:t>
      </w:r>
    </w:p>
    <w:p w14:paraId="0AA3616C">
      <w:pPr>
        <w:rPr>
          <w:rFonts w:hint="eastAsia"/>
          <w:sz w:val="34"/>
          <w:szCs w:val="34"/>
        </w:rPr>
      </w:pPr>
    </w:p>
    <w:p w14:paraId="546EBC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3.1 第一阶段：粗颗粒度游戏训练</w:t>
      </w:r>
    </w:p>
    <w:p w14:paraId="25AC2E32">
      <w:pPr>
        <w:rPr>
          <w:rFonts w:hint="eastAsia"/>
          <w:sz w:val="34"/>
          <w:szCs w:val="34"/>
        </w:rPr>
      </w:pPr>
    </w:p>
    <w:p w14:paraId="65CB6E1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 游戏设计：基于</w:t>
      </w:r>
      <w:bookmarkStart w:id="0" w:name="_GoBack"/>
      <w:bookmarkEnd w:id="0"/>
      <w:r>
        <w:rPr>
          <w:rFonts w:hint="eastAsia"/>
          <w:sz w:val="34"/>
          <w:szCs w:val="34"/>
        </w:rPr>
        <w:t>模型搭建简易网页诱导游戏，界面简洁、任务逻辑简单，降低新手入门难度；</w:t>
      </w:r>
    </w:p>
    <w:p w14:paraId="5441C808">
      <w:pPr>
        <w:rPr>
          <w:rFonts w:hint="eastAsia"/>
          <w:sz w:val="34"/>
          <w:szCs w:val="34"/>
        </w:rPr>
      </w:pPr>
    </w:p>
    <w:p w14:paraId="3E2146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 阶段目标：采集用户个体化脑电差异特征；</w:t>
      </w:r>
    </w:p>
    <w:p w14:paraId="08E5D39F">
      <w:pPr>
        <w:rPr>
          <w:rFonts w:hint="eastAsia"/>
          <w:sz w:val="34"/>
          <w:szCs w:val="34"/>
        </w:rPr>
      </w:pPr>
    </w:p>
    <w:p w14:paraId="1081AC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 模型自学习逻辑：将实时采集的个体特征，与基线模型留存的基准特征进行比对分析，完成第一轮模型在线自学习与参数微调。</w:t>
      </w:r>
    </w:p>
    <w:p w14:paraId="3C9F0032">
      <w:pPr>
        <w:rPr>
          <w:rFonts w:hint="eastAsia"/>
          <w:sz w:val="34"/>
          <w:szCs w:val="34"/>
        </w:rPr>
      </w:pPr>
    </w:p>
    <w:p w14:paraId="68A55DD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3.2 第二阶段：细颗粒度闭环游戏训练</w:t>
      </w:r>
    </w:p>
    <w:p w14:paraId="144A9BCB">
      <w:pPr>
        <w:rPr>
          <w:rFonts w:hint="eastAsia"/>
          <w:sz w:val="34"/>
          <w:szCs w:val="34"/>
        </w:rPr>
      </w:pPr>
    </w:p>
    <w:p w14:paraId="3B06CB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 模型基底：加载20名被试训练完成的通用基线模型；</w:t>
      </w:r>
    </w:p>
    <w:p w14:paraId="51782BE1">
      <w:pPr>
        <w:rPr>
          <w:rFonts w:hint="eastAsia"/>
          <w:sz w:val="34"/>
          <w:szCs w:val="34"/>
        </w:rPr>
      </w:pPr>
    </w:p>
    <w:p w14:paraId="2FC2305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 游戏交互形式：采用第三人称虚拟机械臂控制交互模式；</w:t>
      </w:r>
    </w:p>
    <w:p w14:paraId="06FFD29B">
      <w:pPr>
        <w:rPr>
          <w:rFonts w:hint="eastAsia"/>
          <w:sz w:val="34"/>
          <w:szCs w:val="34"/>
        </w:rPr>
      </w:pPr>
    </w:p>
    <w:p w14:paraId="3D7141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 机械臂位移调控规则：运动想象总时长为4秒，以1秒作为最小计算单位，统计单秒分类平均准确率；单秒平均准确率达到100%，机械臂抬升1个位移单位，共设置4个位移档位，适配左手、右手、静息三类任务状态；</w:t>
      </w:r>
    </w:p>
    <w:p w14:paraId="3D0085F9">
      <w:pPr>
        <w:rPr>
          <w:rFonts w:hint="eastAsia"/>
          <w:sz w:val="34"/>
          <w:szCs w:val="34"/>
        </w:rPr>
      </w:pPr>
    </w:p>
    <w:p w14:paraId="3E65D29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4. 误差特征提取：单个试次结束后，提取机械臂当前位置与目标位置的偏移误差，作为核心交互特征；</w:t>
      </w:r>
    </w:p>
    <w:p w14:paraId="64B6D31A">
      <w:pPr>
        <w:rPr>
          <w:rFonts w:hint="eastAsia"/>
          <w:sz w:val="34"/>
          <w:szCs w:val="34"/>
        </w:rPr>
      </w:pPr>
    </w:p>
    <w:p w14:paraId="4E24E28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5. 多维融合特征：综合机械臂偏移误差、基线模型固有特征、8~13Hz频段功率特征、个体化最优通道特征，组合形成模型微调输入集。</w:t>
      </w:r>
    </w:p>
    <w:p w14:paraId="1B4B8FE9">
      <w:pPr>
        <w:rPr>
          <w:rFonts w:hint="eastAsia"/>
          <w:sz w:val="34"/>
          <w:szCs w:val="34"/>
        </w:rPr>
      </w:pPr>
    </w:p>
    <w:p w14:paraId="331853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3.3 分组在线模型微调规则</w:t>
      </w:r>
    </w:p>
    <w:p w14:paraId="4CF61199">
      <w:pPr>
        <w:rPr>
          <w:rFonts w:hint="eastAsia"/>
          <w:sz w:val="34"/>
          <w:szCs w:val="34"/>
        </w:rPr>
      </w:pPr>
    </w:p>
    <w:p w14:paraId="2EFC3B1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1. 分组规则：左手、右手、静息三类状态各取1个试次，三者组合为一个模型微调小组；</w:t>
      </w:r>
    </w:p>
    <w:p w14:paraId="6BEED014">
      <w:pPr>
        <w:rPr>
          <w:rFonts w:hint="eastAsia"/>
          <w:sz w:val="34"/>
          <w:szCs w:val="34"/>
        </w:rPr>
      </w:pPr>
    </w:p>
    <w:p w14:paraId="4304AA5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2. 微调机制：每完成一组实验，系统基于多维融合特征，在线自适应调整、实时矫正分类器参数；</w:t>
      </w:r>
    </w:p>
    <w:p w14:paraId="0E4DFDC1">
      <w:pPr>
        <w:rPr>
          <w:rFonts w:hint="eastAsia"/>
          <w:sz w:val="34"/>
          <w:szCs w:val="34"/>
        </w:rPr>
      </w:pPr>
    </w:p>
    <w:p w14:paraId="5C0A7C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3. 闭环逻辑：分级训练、特征提取、分组微调循环运行，实现新用户少样本快速模型适配。</w:t>
      </w:r>
    </w:p>
    <w:p w14:paraId="687068C2">
      <w:pPr>
        <w:rPr>
          <w:rFonts w:hint="eastAsia"/>
          <w:sz w:val="34"/>
          <w:szCs w:val="34"/>
        </w:rPr>
      </w:pPr>
    </w:p>
    <w:p w14:paraId="0C6B1327">
      <w:pPr>
        <w:rPr>
          <w:rFonts w:hint="eastAsia"/>
          <w:sz w:val="34"/>
          <w:szCs w:val="34"/>
        </w:rPr>
      </w:pPr>
    </w:p>
    <w:p w14:paraId="168512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四</w:t>
      </w:r>
      <w:r>
        <w:rPr>
          <w:rFonts w:hint="eastAsia"/>
          <w:sz w:val="34"/>
          <w:szCs w:val="34"/>
        </w:rPr>
        <w:t>、系统整体运行链路</w:t>
      </w:r>
    </w:p>
    <w:p w14:paraId="2FFA22EA">
      <w:pPr>
        <w:rPr>
          <w:rFonts w:hint="eastAsia"/>
          <w:sz w:val="34"/>
          <w:szCs w:val="34"/>
          <w:lang w:eastAsia="zh-CN"/>
        </w:rPr>
      </w:pPr>
      <w:r>
        <w:rPr>
          <w:rFonts w:hint="eastAsia"/>
          <w:sz w:val="34"/>
          <w:szCs w:val="34"/>
          <w:lang w:eastAsia="zh-CN"/>
        </w:rPr>
        <w:t>公开数据训练</w:t>
      </w:r>
      <w:r>
        <w:rPr>
          <w:rFonts w:hint="default"/>
          <w:sz w:val="34"/>
          <w:szCs w:val="34"/>
          <w:lang w:val="en-US" w:eastAsia="zh-CN"/>
        </w:rPr>
        <w:t xml:space="preserve"> </w:t>
      </w:r>
      <w:r>
        <w:rPr>
          <w:rFonts w:hint="eastAsia"/>
          <w:sz w:val="34"/>
          <w:szCs w:val="34"/>
        </w:rPr>
        <w:t xml:space="preserve">→ </w:t>
      </w:r>
      <w:r>
        <w:rPr>
          <w:rFonts w:hint="eastAsia"/>
          <w:sz w:val="34"/>
          <w:szCs w:val="34"/>
          <w:lang w:eastAsia="zh-CN"/>
        </w:rPr>
        <w:t>通用模型</w:t>
      </w:r>
    </w:p>
    <w:p w14:paraId="6DD93A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20名受试者数据采集 → </w:t>
      </w:r>
      <w:r>
        <w:rPr>
          <w:rFonts w:hint="eastAsia"/>
          <w:sz w:val="34"/>
          <w:szCs w:val="34"/>
          <w:lang w:eastAsia="zh-CN"/>
        </w:rPr>
        <w:t>微调模型（微调模型大部分或者全部）</w:t>
      </w:r>
    </w:p>
    <w:p w14:paraId="5252FD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新用户三轮前置预实验（状态检测 + 特征标定）</w:t>
      </w:r>
    </w:p>
    <w:p w14:paraId="29E897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粗颗粒度游戏训练（采集个体特征 + 首轮模型自学习微调）</w:t>
      </w:r>
    </w:p>
    <w:p w14:paraId="46BA26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细颗粒度机械臂闭环交互训练</w:t>
      </w:r>
    </w:p>
    <w:p w14:paraId="31EDAB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多维特征提取 + 三类状态试次分组</w:t>
      </w:r>
    </w:p>
    <w:p w14:paraId="114894A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分组在线实时微调分类器</w:t>
      </w:r>
    </w:p>
    <w:p w14:paraId="214E9F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生成用户专属个性化模型</w:t>
      </w:r>
    </w:p>
    <w:p w14:paraId="2704837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→ 三类状态实时分类 + 在线交互演示（离线验证、在线演示）</w:t>
      </w:r>
    </w:p>
    <w:p w14:paraId="25CB8BC6">
      <w:pPr>
        <w:rPr>
          <w:sz w:val="34"/>
          <w:szCs w:val="34"/>
        </w:rPr>
      </w:pPr>
      <w:r>
        <w:rPr>
          <w:rFonts w:hint="eastAsia"/>
          <w:sz w:val="30"/>
          <w:szCs w:val="30"/>
        </w:rPr>
        <w:t>本系统采用“迁移学习（Transfer Learning）+ 少样本个性化适配（Few-shot Adaptation）+ 在线校准（Online Calibration）”的三级优化框架。首先利用公开运动想象数据集学习通用脑电表征，再基于20名受试者自采数据构建通用模型，最后通过少样本在线微调和实时校准实现新用户的快速个体化适配。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ingdings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Symbol">
    <w:altName w:val="Symbol"/>
    <w:panose1 w:val="05050102010706020507"/>
    <w:charset w:val="00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2026-06-12T06:33:56Z</dcterms:created>
  <dc:creator>iPhone</dc:creator>
  <cp:lastModifiedBy>iPhone</cp:lastModifiedBy>
  <dcterms:modified xsi:type="dcterms:W3CDTF">2026-06-12T10:18:45Z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2052-12.45.1</vt:lpwstr>
  </property>
  <property fmtid="{D5CDD505-2E9C-101B-9397-08002B2CF9AE}" pid="3" name="ICV">
    <vt:lpwstr>A85C96CE9C2E6421D4562A6A10500911_31</vt:lpwstr>
  </property>
</Properties>
</file>