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E6B55A7">
      <w:pPr>
        <w:spacing w:before="480" w:after="480" w:line="288" w:lineRule="auto"/>
        <w:ind w:left="0"/>
      </w:pPr>
      <w:r>
        <w:rPr>
          <w:rFonts w:ascii="Arial" w:hAnsi="Arial" w:eastAsia="等线" w:cs="Arial"/>
          <w:b/>
          <w:sz w:val="52"/>
        </w:rPr>
        <w:t>统一EEG数据预处理流水线（Unified EEG Preprocessing Pipeline）——跨数据集通用标准</w:t>
      </w:r>
    </w:p>
    <w:p w14:paraId="5C234779">
      <w:pPr>
        <w:spacing w:before="380" w:after="140" w:line="288" w:lineRule="auto"/>
        <w:ind w:left="0"/>
        <w:jc w:val="left"/>
        <w:outlineLvl w:val="0"/>
      </w:pPr>
      <w:bookmarkStart w:id="0" w:name="heading_0"/>
      <w:r>
        <w:rPr>
          <w:rFonts w:ascii="Arial" w:hAnsi="Arial" w:eastAsia="等线" w:cs="Arial"/>
          <w:b/>
          <w:sz w:val="36"/>
        </w:rPr>
        <w:t>统一 EEG 数据预处理流水线（Unified EEG Preprocessing Pipeline）</w:t>
      </w:r>
      <w:bookmarkEnd w:id="0"/>
    </w:p>
    <w:p w14:paraId="652F0B09">
      <w:pPr>
        <w:spacing w:before="320" w:after="120" w:line="288" w:lineRule="auto"/>
        <w:ind w:left="0"/>
        <w:jc w:val="left"/>
        <w:outlineLvl w:val="1"/>
      </w:pPr>
      <w:bookmarkStart w:id="1" w:name="heading_1"/>
      <w:r>
        <w:rPr>
          <w:rFonts w:ascii="Arial" w:hAnsi="Arial" w:eastAsia="等线" w:cs="Arial"/>
          <w:b/>
          <w:sz w:val="32"/>
        </w:rPr>
        <w:t>适用于：BCI Competition IV 2a、OpenBMI、OpenBCI 自采数据（跨数据集通用离线标准化流程）</w:t>
      </w:r>
      <w:bookmarkEnd w:id="1"/>
    </w:p>
    <w:p w14:paraId="4906FE7C">
      <w:pPr>
        <w:spacing w:before="120" w:after="120" w:line="288" w:lineRule="auto"/>
        <w:ind w:left="0"/>
        <w:jc w:val="left"/>
      </w:pPr>
    </w:p>
    <w:p w14:paraId="07C6A359">
      <w:pPr>
        <w:spacing w:before="320" w:after="120" w:line="288" w:lineRule="auto"/>
        <w:ind w:left="0"/>
        <w:jc w:val="left"/>
        <w:outlineLvl w:val="1"/>
      </w:pPr>
      <w:bookmarkStart w:id="2" w:name="heading_2"/>
      <w:r>
        <w:rPr>
          <w:rFonts w:ascii="Arial" w:hAnsi="Arial" w:eastAsia="等线" w:cs="Arial"/>
          <w:b/>
          <w:sz w:val="32"/>
        </w:rPr>
        <w:t>核心思想</w:t>
      </w:r>
      <w:bookmarkEnd w:id="2"/>
    </w:p>
    <w:p w14:paraId="39BBCB8D">
      <w:pPr>
        <w:spacing w:before="120" w:after="120" w:line="288" w:lineRule="auto"/>
        <w:ind w:left="0"/>
        <w:jc w:val="left"/>
      </w:pPr>
      <w:r>
        <w:t>摒弃「数据集单独处理」模式，构建全数据集同质归一化流水线。所有原始数据经过本流程后，统一通道数、采样率、时间窗、标签体系、幅值分布与张量维度，保证离线预训练模型具备跨数据集、跨设备、跨被试和跨会话的通用特征提取能力，并为后续有标签少样本个体化微调提供统一数据底座。</w:t>
      </w:r>
    </w:p>
    <w:p w14:paraId="17E8F396">
      <w:pPr>
        <w:spacing w:before="320" w:after="120" w:line="288" w:lineRule="auto"/>
        <w:ind w:left="0"/>
        <w:jc w:val="left"/>
        <w:outlineLvl w:val="1"/>
      </w:pPr>
      <w:bookmarkStart w:id="3" w:name="heading_3"/>
      <w:r>
        <w:rPr>
          <w:rFonts w:ascii="Arial" w:hAnsi="Arial" w:eastAsia="等线" w:cs="Arial"/>
          <w:b/>
          <w:sz w:val="32"/>
        </w:rPr>
        <w:t>完整总流程图</w:t>
      </w:r>
      <w:bookmarkEnd w:id="3"/>
    </w:p>
    <w:p w14:paraId="47A0787A">
      <w:pPr>
        <w:spacing w:before="120" w:after="120" w:line="288" w:lineRule="auto"/>
        <w:ind w:left="0"/>
        <w:jc w:val="left"/>
      </w:pPr>
      <w:r>
        <w:rPr>
          <w:rFonts w:ascii="Arial" w:hAnsi="Arial" w:eastAsia="等线" w:cs="Arial"/>
          <w:sz w:val="22"/>
        </w:rPr>
        <w:t>Raw EEG Data</w:t>
      </w:r>
      <w:r>
        <w:rPr>
          <w:rFonts w:ascii="Arial" w:hAnsi="Arial" w:eastAsia="等线" w:cs="Arial"/>
          <w:sz w:val="22"/>
        </w:rPr>
        <w:br w:type="textWrapping"/>
      </w:r>
      <w:r>
        <w:rPr>
          <w:rFonts w:ascii="Arial" w:hAnsi="Arial" w:eastAsia="等线" w:cs="Arial"/>
          <w:sz w:val="22"/>
        </w:rPr>
        <w:t>→ 数据读取</w:t>
      </w:r>
      <w:r>
        <w:rPr>
          <w:rFonts w:ascii="Arial" w:hAnsi="Arial" w:eastAsia="等线" w:cs="Arial"/>
          <w:sz w:val="22"/>
        </w:rPr>
        <w:br w:type="textWrapping"/>
      </w:r>
      <w:r>
        <w:rPr>
          <w:rFonts w:ascii="Arial" w:hAnsi="Arial" w:eastAsia="等线" w:cs="Arial"/>
          <w:sz w:val="22"/>
        </w:rPr>
        <w:t>→ 数据集同质化统一</w:t>
      </w:r>
      <w:r>
        <w:rPr>
          <w:rFonts w:ascii="Arial" w:hAnsi="Arial" w:eastAsia="等线" w:cs="Arial"/>
          <w:sz w:val="22"/>
        </w:rPr>
        <w:br w:type="textWrapping"/>
      </w:r>
      <w:r>
        <w:rPr>
          <w:rFonts w:ascii="Arial" w:hAnsi="Arial" w:eastAsia="等线" w:cs="Arial"/>
          <w:sz w:val="22"/>
        </w:rPr>
        <w:t>→ 目标通道筛选</w:t>
      </w:r>
      <w:r>
        <w:rPr>
          <w:rFonts w:ascii="Arial" w:hAnsi="Arial" w:eastAsia="等线" w:cs="Arial"/>
          <w:sz w:val="22"/>
        </w:rPr>
        <w:br w:type="textWrapping"/>
      </w:r>
      <w:r>
        <w:rPr>
          <w:rFonts w:ascii="Arial" w:hAnsi="Arial" w:eastAsia="等线" w:cs="Arial"/>
          <w:sz w:val="22"/>
        </w:rPr>
        <w:t>→ CAR 公共平均重参考</w:t>
      </w:r>
      <w:r>
        <w:rPr>
          <w:rFonts w:ascii="Arial" w:hAnsi="Arial" w:eastAsia="等线" w:cs="Arial"/>
          <w:sz w:val="22"/>
        </w:rPr>
        <w:br w:type="textWrapping"/>
      </w:r>
      <w:r>
        <w:rPr>
          <w:rFonts w:ascii="Arial" w:hAnsi="Arial" w:eastAsia="等线" w:cs="Arial"/>
          <w:sz w:val="22"/>
        </w:rPr>
        <w:t>→ 工频陷波滤波</w:t>
      </w:r>
      <w:r>
        <w:rPr>
          <w:rFonts w:ascii="Arial" w:hAnsi="Arial" w:eastAsia="等线" w:cs="Arial"/>
          <w:sz w:val="22"/>
        </w:rPr>
        <w:br w:type="textWrapping"/>
      </w:r>
      <w:r>
        <w:rPr>
          <w:rFonts w:ascii="Arial" w:hAnsi="Arial" w:eastAsia="等线" w:cs="Arial"/>
          <w:sz w:val="22"/>
        </w:rPr>
        <w:t>→ 运动想象带通滤波</w:t>
      </w:r>
      <w:r>
        <w:rPr>
          <w:rFonts w:ascii="Arial" w:hAnsi="Arial" w:eastAsia="等线" w:cs="Arial"/>
          <w:sz w:val="22"/>
        </w:rPr>
        <w:br w:type="textWrapping"/>
      </w:r>
      <w:r>
        <w:rPr>
          <w:rFonts w:ascii="Arial" w:hAnsi="Arial" w:eastAsia="等线" w:cs="Arial"/>
          <w:sz w:val="22"/>
        </w:rPr>
        <w:t>→ Epoch 分段提取</w:t>
      </w:r>
      <w:r>
        <w:rPr>
          <w:rFonts w:ascii="Arial" w:hAnsi="Arial" w:eastAsia="等线" w:cs="Arial"/>
          <w:sz w:val="22"/>
        </w:rPr>
        <w:br w:type="textWrapping"/>
      </w:r>
      <w:r>
        <w:rPr>
          <w:rFonts w:ascii="Arial" w:hAnsi="Arial" w:eastAsia="等线" w:cs="Arial"/>
          <w:sz w:val="22"/>
        </w:rPr>
        <w:t>→ 基线校正</w:t>
      </w:r>
      <w:r>
        <w:rPr>
          <w:rFonts w:ascii="Arial" w:hAnsi="Arial" w:eastAsia="等线" w:cs="Arial"/>
          <w:sz w:val="22"/>
        </w:rPr>
        <w:br w:type="textWrapping"/>
      </w:r>
      <w:r>
        <w:rPr>
          <w:rFonts w:ascii="Arial" w:hAnsi="Arial" w:eastAsia="等线" w:cs="Arial"/>
          <w:sz w:val="22"/>
        </w:rPr>
        <w:t>→ 分类时间窗截取</w:t>
      </w:r>
      <w:r>
        <w:rPr>
          <w:rFonts w:ascii="Arial" w:hAnsi="Arial" w:eastAsia="等线" w:cs="Arial"/>
          <w:sz w:val="22"/>
        </w:rPr>
        <w:br w:type="textWrapping"/>
      </w:r>
      <w:r>
        <w:rPr>
          <w:rFonts w:ascii="Arial" w:hAnsi="Arial" w:eastAsia="等线" w:cs="Arial"/>
          <w:sz w:val="22"/>
        </w:rPr>
        <w:t>→ 统一重采样</w:t>
      </w:r>
      <w:r>
        <w:rPr>
          <w:rFonts w:ascii="Arial" w:hAnsi="Arial" w:eastAsia="等线" w:cs="Arial"/>
          <w:sz w:val="22"/>
        </w:rPr>
        <w:br w:type="textWrapping"/>
      </w:r>
      <w:r>
        <w:rPr>
          <w:rFonts w:ascii="Arial" w:hAnsi="Arial" w:eastAsia="等线" w:cs="Arial"/>
          <w:sz w:val="22"/>
        </w:rPr>
        <w:t>→ 单试次 Z-score 标准化</w:t>
      </w:r>
      <w:r>
        <w:rPr>
          <w:rFonts w:ascii="Arial" w:hAnsi="Arial" w:eastAsia="等线" w:cs="Arial"/>
          <w:sz w:val="22"/>
        </w:rPr>
        <w:br w:type="textWrapping"/>
      </w:r>
      <w:r>
        <w:rPr>
          <w:rFonts w:ascii="Arial" w:hAnsi="Arial" w:eastAsia="等线" w:cs="Arial"/>
          <w:sz w:val="22"/>
        </w:rPr>
        <w:t>→ 张量维度规整</w:t>
      </w:r>
      <w:r>
        <w:rPr>
          <w:rFonts w:ascii="Arial" w:hAnsi="Arial" w:eastAsia="等线" w:cs="Arial"/>
          <w:sz w:val="22"/>
        </w:rPr>
        <w:br w:type="textWrapping"/>
      </w:r>
      <w:r>
        <w:rPr>
          <w:rFonts w:ascii="Arial" w:hAnsi="Arial" w:eastAsia="等线" w:cs="Arial"/>
          <w:sz w:val="22"/>
        </w:rPr>
        <w:t>→ 训练 / 验证 / 测试集划分</w:t>
      </w:r>
      <w:r>
        <w:rPr>
          <w:rFonts w:ascii="Arial" w:hAnsi="Arial" w:eastAsia="等线" w:cs="Arial"/>
          <w:sz w:val="22"/>
        </w:rPr>
        <w:br w:type="textWrapping"/>
      </w:r>
      <w:r>
        <w:rPr>
          <w:rFonts w:ascii="Arial" w:hAnsi="Arial" w:eastAsia="等线" w:cs="Arial"/>
          <w:sz w:val="22"/>
        </w:rPr>
        <w:t>→ 通用 EEGNet 离线训练</w:t>
      </w:r>
    </w:p>
    <w:p w14:paraId="66AD6B95">
      <w:pPr>
        <w:pBdr>
          <w:bottom w:val="single" w:color="DEE0E3" w:sz="2" w:space="0"/>
          <w:between w:val="single" w:color="DEE0E3" w:sz="2" w:space="0"/>
        </w:pBdr>
        <w:spacing w:before="120" w:after="120" w:line="288" w:lineRule="auto"/>
        <w:ind w:left="0"/>
      </w:pPr>
    </w:p>
    <w:p w14:paraId="7328C497">
      <w:pPr>
        <w:spacing w:before="380" w:after="140" w:line="288" w:lineRule="auto"/>
        <w:ind w:left="0"/>
        <w:jc w:val="left"/>
        <w:outlineLvl w:val="0"/>
      </w:pPr>
      <w:bookmarkStart w:id="4" w:name="heading_4"/>
      <w:r>
        <w:rPr>
          <w:rFonts w:ascii="Arial" w:hAnsi="Arial" w:eastAsia="等线" w:cs="Arial"/>
          <w:b/>
          <w:sz w:val="36"/>
        </w:rPr>
        <w:t>逐步骤详细标准（可直接写入论文方法部分）</w:t>
      </w:r>
      <w:bookmarkEnd w:id="4"/>
    </w:p>
    <w:p w14:paraId="5A80DB08">
      <w:pPr>
        <w:spacing w:before="320" w:after="120" w:line="288" w:lineRule="auto"/>
        <w:ind w:left="0"/>
        <w:jc w:val="left"/>
        <w:outlineLvl w:val="1"/>
      </w:pPr>
      <w:bookmarkStart w:id="5" w:name="heading_5"/>
      <w:r>
        <w:rPr>
          <w:rFonts w:ascii="Arial" w:hAnsi="Arial" w:eastAsia="等线" w:cs="Arial"/>
          <w:b/>
          <w:sz w:val="32"/>
        </w:rPr>
        <w:t>Step 1 数据读取（Data Loading）</w:t>
      </w:r>
      <w:bookmarkEnd w:id="5"/>
    </w:p>
    <w:p w14:paraId="0AF46C95">
      <w:pPr>
        <w:spacing w:before="300" w:after="120" w:line="288" w:lineRule="auto"/>
        <w:ind w:left="0"/>
        <w:jc w:val="left"/>
        <w:outlineLvl w:val="2"/>
      </w:pPr>
      <w:bookmarkStart w:id="6" w:name="heading_6"/>
      <w:r>
        <w:rPr>
          <w:rFonts w:ascii="Arial" w:hAnsi="Arial" w:eastAsia="等线" w:cs="Arial"/>
          <w:b/>
          <w:sz w:val="30"/>
        </w:rPr>
        <w:t>功能</w:t>
      </w:r>
      <w:bookmarkEnd w:id="6"/>
    </w:p>
    <w:p w14:paraId="3463AFBB">
      <w:pPr>
        <w:spacing w:before="120" w:after="120" w:line="288" w:lineRule="auto"/>
        <w:ind w:left="0"/>
        <w:jc w:val="left"/>
      </w:pPr>
      <w:r>
        <w:rPr>
          <w:rFonts w:ascii="Arial" w:hAnsi="Arial" w:eastAsia="等线" w:cs="Arial"/>
          <w:sz w:val="22"/>
        </w:rPr>
        <w:t>解析不同设备、不同公开数据集的原始存储格式，统一提取基础信息，</w:t>
      </w:r>
      <w:r>
        <w:rPr>
          <w:rFonts w:ascii="Arial" w:hAnsi="Arial" w:eastAsia="等线" w:cs="Arial"/>
          <w:b/>
          <w:sz w:val="22"/>
        </w:rPr>
        <w:t>不做任何信号修改</w:t>
      </w:r>
      <w:r>
        <w:rPr>
          <w:rFonts w:ascii="Arial" w:hAnsi="Arial" w:eastAsia="等线" w:cs="Arial"/>
          <w:sz w:val="22"/>
        </w:rPr>
        <w:t>。</w:t>
      </w:r>
    </w:p>
    <w:p w14:paraId="1FEA10DC">
      <w:pPr>
        <w:spacing w:before="300" w:after="120" w:line="288" w:lineRule="auto"/>
        <w:ind w:left="0"/>
        <w:jc w:val="left"/>
        <w:outlineLvl w:val="2"/>
      </w:pPr>
      <w:bookmarkStart w:id="7" w:name="heading_7"/>
      <w:r>
        <w:rPr>
          <w:rFonts w:ascii="Arial" w:hAnsi="Arial" w:eastAsia="等线" w:cs="Arial"/>
          <w:b/>
          <w:sz w:val="30"/>
        </w:rPr>
        <w:t>支持格式</w:t>
      </w:r>
      <w:bookmarkEnd w:id="7"/>
    </w:p>
    <w:p w14:paraId="26C7F13B">
      <w:pPr>
        <w:numPr>
          <w:ilvl w:val="0"/>
          <w:numId w:val="1"/>
        </w:numPr>
        <w:spacing w:before="120" w:after="120" w:line="288" w:lineRule="auto"/>
        <w:ind w:left="0"/>
        <w:jc w:val="left"/>
      </w:pPr>
      <w:r>
        <w:rPr>
          <w:rFonts w:ascii="Arial" w:hAnsi="Arial" w:eastAsia="等线" w:cs="Arial"/>
          <w:sz w:val="22"/>
        </w:rPr>
        <w:t>BCI IV 2a：</w:t>
      </w:r>
      <w:r>
        <w:rPr>
          <w:rFonts w:ascii="Consolas" w:hAnsi="Consolas" w:eastAsia="Consolas" w:cs="Consolas"/>
          <w:sz w:val="22"/>
          <w:shd w:val="clear" w:fill="EFF0F1"/>
        </w:rPr>
        <w:t>.gdf / .mat</w:t>
      </w:r>
    </w:p>
    <w:p w14:paraId="6319735A">
      <w:pPr>
        <w:numPr>
          <w:ilvl w:val="0"/>
          <w:numId w:val="2"/>
        </w:numPr>
        <w:spacing w:before="120" w:after="120" w:line="288" w:lineRule="auto"/>
        <w:ind w:left="0"/>
        <w:jc w:val="left"/>
      </w:pPr>
      <w:r>
        <w:rPr>
          <w:rFonts w:ascii="Arial" w:hAnsi="Arial" w:eastAsia="等线" w:cs="Arial"/>
          <w:sz w:val="22"/>
        </w:rPr>
        <w:t>OpenBMI：</w:t>
      </w:r>
      <w:r>
        <w:rPr>
          <w:rFonts w:ascii="Consolas" w:hAnsi="Consolas" w:eastAsia="Consolas" w:cs="Consolas"/>
          <w:sz w:val="22"/>
          <w:shd w:val="clear" w:fill="EFF0F1"/>
        </w:rPr>
        <w:t>.mat</w:t>
      </w:r>
    </w:p>
    <w:p w14:paraId="2538A5BB">
      <w:pPr>
        <w:numPr>
          <w:ilvl w:val="0"/>
          <w:numId w:val="3"/>
        </w:numPr>
        <w:spacing w:before="120" w:after="120" w:line="288" w:lineRule="auto"/>
        <w:ind w:left="0"/>
        <w:jc w:val="left"/>
      </w:pPr>
      <w:r>
        <w:rPr>
          <w:rFonts w:ascii="Arial" w:hAnsi="Arial" w:eastAsia="等线" w:cs="Arial"/>
          <w:sz w:val="22"/>
        </w:rPr>
        <w:t>自采 OpenBCI：</w:t>
      </w:r>
      <w:r>
        <w:rPr>
          <w:rFonts w:ascii="Consolas" w:hAnsi="Consolas" w:eastAsia="Consolas" w:cs="Consolas"/>
          <w:sz w:val="22"/>
          <w:shd w:val="clear" w:fill="EFF0F1"/>
        </w:rPr>
        <w:t>.csv</w:t>
      </w:r>
    </w:p>
    <w:p w14:paraId="25EC694C">
      <w:pPr>
        <w:spacing w:before="300" w:after="120" w:line="288" w:lineRule="auto"/>
        <w:ind w:left="0"/>
        <w:jc w:val="left"/>
        <w:outlineLvl w:val="2"/>
      </w:pPr>
      <w:bookmarkStart w:id="8" w:name="heading_8"/>
      <w:r>
        <w:rPr>
          <w:rFonts w:ascii="Arial" w:hAnsi="Arial" w:eastAsia="等线" w:cs="Arial"/>
          <w:b/>
          <w:sz w:val="30"/>
        </w:rPr>
        <w:t>统一读取字段</w:t>
      </w:r>
      <w:bookmarkEnd w:id="8"/>
    </w:p>
    <w:p w14:paraId="73D807D4">
      <w:pPr>
        <w:numPr>
          <w:ilvl w:val="0"/>
          <w:numId w:val="4"/>
        </w:numPr>
        <w:spacing w:before="120" w:after="120" w:line="288" w:lineRule="auto"/>
        <w:ind w:left="0"/>
        <w:jc w:val="left"/>
      </w:pPr>
      <w:r>
        <w:rPr>
          <w:rFonts w:ascii="Arial" w:hAnsi="Arial" w:eastAsia="等线" w:cs="Arial"/>
          <w:sz w:val="22"/>
        </w:rPr>
        <w:t>EEG 原始信号矩阵</w:t>
      </w:r>
    </w:p>
    <w:p w14:paraId="719A8E21">
      <w:pPr>
        <w:numPr>
          <w:ilvl w:val="0"/>
          <w:numId w:val="5"/>
        </w:numPr>
        <w:spacing w:before="120" w:after="120" w:line="288" w:lineRule="auto"/>
        <w:ind w:left="0"/>
        <w:jc w:val="left"/>
      </w:pPr>
      <w:r>
        <w:rPr>
          <w:rFonts w:ascii="Arial" w:hAnsi="Arial" w:eastAsia="等线" w:cs="Arial"/>
          <w:sz w:val="22"/>
        </w:rPr>
        <w:t>采样率 Fs</w:t>
      </w:r>
    </w:p>
    <w:p w14:paraId="77887C1A">
      <w:pPr>
        <w:numPr>
          <w:ilvl w:val="0"/>
          <w:numId w:val="6"/>
        </w:numPr>
        <w:spacing w:before="120" w:after="120" w:line="288" w:lineRule="auto"/>
        <w:ind w:left="0"/>
        <w:jc w:val="left"/>
      </w:pPr>
      <w:r>
        <w:rPr>
          <w:rFonts w:ascii="Arial" w:hAnsi="Arial" w:eastAsia="等线" w:cs="Arial"/>
          <w:sz w:val="22"/>
        </w:rPr>
        <w:t>通道名称列表</w:t>
      </w:r>
    </w:p>
    <w:p w14:paraId="4E6DDC6B">
      <w:pPr>
        <w:numPr>
          <w:ilvl w:val="0"/>
          <w:numId w:val="7"/>
        </w:numPr>
        <w:spacing w:before="120" w:after="120" w:line="288" w:lineRule="auto"/>
        <w:ind w:left="0"/>
        <w:jc w:val="left"/>
      </w:pPr>
      <w:r>
        <w:rPr>
          <w:rFonts w:ascii="Arial" w:hAnsi="Arial" w:eastAsia="等线" w:cs="Arial"/>
          <w:sz w:val="22"/>
        </w:rPr>
        <w:t>触发标记 Event / Cue</w:t>
      </w:r>
    </w:p>
    <w:p w14:paraId="4F24BBA1">
      <w:pPr>
        <w:numPr>
          <w:ilvl w:val="0"/>
          <w:numId w:val="8"/>
        </w:numPr>
        <w:spacing w:before="120" w:after="120" w:line="288" w:lineRule="auto"/>
        <w:ind w:left="0"/>
        <w:jc w:val="left"/>
      </w:pPr>
      <w:r>
        <w:rPr>
          <w:rFonts w:ascii="Arial" w:hAnsi="Arial" w:eastAsia="等线" w:cs="Arial"/>
          <w:sz w:val="22"/>
        </w:rPr>
        <w:t>类别 Label</w:t>
      </w:r>
    </w:p>
    <w:p w14:paraId="07063B20">
      <w:pPr>
        <w:numPr>
          <w:ilvl w:val="0"/>
          <w:numId w:val="9"/>
        </w:numPr>
        <w:spacing w:before="120" w:after="120" w:line="288" w:lineRule="auto"/>
        <w:ind w:left="0"/>
        <w:jc w:val="left"/>
      </w:pPr>
      <w:r>
        <w:rPr>
          <w:rFonts w:ascii="Arial" w:hAnsi="Arial" w:eastAsia="等线" w:cs="Arial"/>
          <w:sz w:val="22"/>
        </w:rPr>
        <w:t>伪迹标记 Artifact Mask</w:t>
      </w:r>
    </w:p>
    <w:p w14:paraId="74844425">
      <w:pPr>
        <w:spacing w:before="300" w:after="120" w:line="288" w:lineRule="auto"/>
        <w:ind w:left="0"/>
        <w:jc w:val="left"/>
        <w:outlineLvl w:val="2"/>
      </w:pPr>
      <w:bookmarkStart w:id="9" w:name="heading_9"/>
      <w:r>
        <w:rPr>
          <w:rFonts w:ascii="Arial" w:hAnsi="Arial" w:eastAsia="等线" w:cs="Arial"/>
          <w:b/>
          <w:sz w:val="30"/>
        </w:rPr>
        <w:t>读取规则</w:t>
      </w:r>
      <w:bookmarkEnd w:id="9"/>
    </w:p>
    <w:p w14:paraId="7F4F303C">
      <w:pPr>
        <w:numPr>
          <w:ilvl w:val="0"/>
          <w:numId w:val="10"/>
        </w:numPr>
        <w:spacing w:before="120" w:after="120" w:line="288" w:lineRule="auto"/>
        <w:ind w:left="0"/>
        <w:jc w:val="left"/>
      </w:pPr>
      <w:r>
        <w:rPr>
          <w:rFonts w:ascii="Arial" w:hAnsi="Arial" w:eastAsia="等线" w:cs="Arial"/>
          <w:sz w:val="22"/>
        </w:rPr>
        <w:t>保留完整连续原始信号，不裁剪、不滤波、不丢弃数据</w:t>
      </w:r>
    </w:p>
    <w:p w14:paraId="048C2A67">
      <w:pPr>
        <w:numPr>
          <w:ilvl w:val="0"/>
          <w:numId w:val="11"/>
        </w:numPr>
        <w:spacing w:before="120" w:after="120" w:line="288" w:lineRule="auto"/>
        <w:ind w:left="0"/>
        <w:jc w:val="left"/>
      </w:pPr>
      <w:r>
        <w:rPr>
          <w:rFonts w:ascii="Arial" w:hAnsi="Arial" w:eastAsia="等线" w:cs="Arial"/>
          <w:sz w:val="22"/>
        </w:rPr>
        <w:t>完整保留伪迹标记，用于后续脏样本剔除</w:t>
      </w:r>
    </w:p>
    <w:p w14:paraId="5E478682">
      <w:pPr>
        <w:pBdr>
          <w:bottom w:val="single" w:color="DEE0E3" w:sz="2" w:space="0"/>
          <w:between w:val="single" w:color="DEE0E3" w:sz="2" w:space="0"/>
        </w:pBdr>
        <w:spacing w:before="120" w:after="120" w:line="288" w:lineRule="auto"/>
        <w:ind w:left="0"/>
      </w:pPr>
    </w:p>
    <w:p w14:paraId="34685262">
      <w:pPr>
        <w:spacing w:before="320" w:after="120" w:line="288" w:lineRule="auto"/>
        <w:ind w:left="0"/>
        <w:jc w:val="left"/>
        <w:outlineLvl w:val="1"/>
      </w:pPr>
      <w:bookmarkStart w:id="10" w:name="heading_10"/>
      <w:r>
        <w:rPr>
          <w:rFonts w:ascii="Arial" w:hAnsi="Arial" w:eastAsia="等线" w:cs="Arial"/>
          <w:b/>
          <w:sz w:val="32"/>
        </w:rPr>
        <w:t>Step 2 数据集同质化统一（Dataset Harmonization）</w:t>
      </w:r>
      <w:bookmarkEnd w:id="10"/>
    </w:p>
    <w:p w14:paraId="3371D718">
      <w:pPr>
        <w:spacing w:before="300" w:after="120" w:line="288" w:lineRule="auto"/>
        <w:ind w:left="0"/>
        <w:jc w:val="left"/>
        <w:outlineLvl w:val="2"/>
      </w:pPr>
      <w:bookmarkStart w:id="11" w:name="heading_11"/>
      <w:r>
        <w:rPr>
          <w:rFonts w:ascii="Arial" w:hAnsi="Arial" w:eastAsia="等线" w:cs="Arial"/>
          <w:b/>
          <w:sz w:val="30"/>
        </w:rPr>
        <w:t>目的</w:t>
      </w:r>
      <w:bookmarkEnd w:id="11"/>
    </w:p>
    <w:p w14:paraId="60C47D8D">
      <w:pPr>
        <w:spacing w:before="120" w:after="120" w:line="288" w:lineRule="auto"/>
        <w:ind w:left="0"/>
        <w:jc w:val="left"/>
      </w:pPr>
      <w:r>
        <w:rPr>
          <w:rFonts w:ascii="Arial" w:hAnsi="Arial" w:eastAsia="等线" w:cs="Arial"/>
          <w:sz w:val="22"/>
        </w:rPr>
        <w:t>消除不同数据集</w:t>
      </w:r>
      <w:r>
        <w:rPr>
          <w:rFonts w:ascii="Arial" w:hAnsi="Arial" w:eastAsia="等线" w:cs="Arial"/>
          <w:b/>
          <w:sz w:val="22"/>
        </w:rPr>
        <w:t>类别体系、标签编码、无效样本</w:t>
      </w:r>
      <w:r>
        <w:rPr>
          <w:rFonts w:ascii="Arial" w:hAnsi="Arial" w:eastAsia="等线" w:cs="Arial"/>
          <w:sz w:val="22"/>
        </w:rPr>
        <w:t>差异，实现全局任务定义统一。</w:t>
      </w:r>
    </w:p>
    <w:p w14:paraId="667ECD2F">
      <w:pPr>
        <w:spacing w:before="300" w:after="120" w:line="288" w:lineRule="auto"/>
        <w:ind w:left="0"/>
        <w:jc w:val="left"/>
        <w:outlineLvl w:val="2"/>
      </w:pPr>
      <w:bookmarkStart w:id="12" w:name="heading_12"/>
      <w:r>
        <w:rPr>
          <w:rFonts w:ascii="Arial" w:hAnsi="Arial" w:eastAsia="等线" w:cs="Arial"/>
          <w:b/>
          <w:sz w:val="30"/>
        </w:rPr>
        <w:t>统一规则</w:t>
      </w:r>
      <w:bookmarkEnd w:id="12"/>
    </w:p>
    <w:p w14:paraId="6EE86468">
      <w:pPr>
        <w:numPr>
          <w:ilvl w:val="0"/>
          <w:numId w:val="12"/>
        </w:numPr>
        <w:spacing w:before="120" w:after="120" w:line="288" w:lineRule="auto"/>
        <w:ind w:left="0"/>
        <w:jc w:val="left"/>
      </w:pPr>
      <w:r>
        <w:rPr>
          <w:rFonts w:ascii="Arial" w:hAnsi="Arial" w:eastAsia="等线" w:cs="Arial"/>
          <w:b/>
          <w:sz w:val="22"/>
        </w:rPr>
        <w:t>剔除无效样本</w:t>
      </w:r>
    </w:p>
    <w:p w14:paraId="557FD902">
      <w:pPr>
        <w:numPr>
          <w:ilvl w:val="0"/>
          <w:numId w:val="13"/>
        </w:numPr>
        <w:spacing w:before="120" w:after="120" w:line="288" w:lineRule="auto"/>
        <w:ind w:left="0"/>
        <w:jc w:val="left"/>
      </w:pPr>
      <w:r>
        <w:rPr>
          <w:rFonts w:ascii="Arial" w:hAnsi="Arial" w:eastAsia="等线" w:cs="Arial"/>
          <w:sz w:val="22"/>
        </w:rPr>
        <w:t>无标记试次</w:t>
      </w:r>
    </w:p>
    <w:p w14:paraId="76B73351">
      <w:pPr>
        <w:numPr>
          <w:ilvl w:val="0"/>
          <w:numId w:val="14"/>
        </w:numPr>
        <w:spacing w:before="120" w:after="120" w:line="288" w:lineRule="auto"/>
        <w:ind w:left="0"/>
        <w:jc w:val="left"/>
      </w:pPr>
      <w:r>
        <w:t>双脚、舌头等非目标运动想象试次（BCI IV 2a 中直接丢弃，不得映射为静息）</w:t>
      </w:r>
    </w:p>
    <w:p w14:paraId="439920BD">
      <w:pPr>
        <w:numPr>
          <w:ilvl w:val="0"/>
          <w:numId w:val="15"/>
        </w:numPr>
        <w:spacing w:before="120" w:after="120" w:line="288" w:lineRule="auto"/>
        <w:ind w:left="0"/>
        <w:jc w:val="left"/>
      </w:pPr>
      <w:r>
        <w:rPr>
          <w:rFonts w:ascii="Arial" w:hAnsi="Arial" w:eastAsia="等线" w:cs="Arial"/>
          <w:sz w:val="22"/>
        </w:rPr>
        <w:t>人工标记 Artifact Trial（伪迹污染试次）</w:t>
      </w:r>
    </w:p>
    <w:p w14:paraId="5BCF638A">
      <w:pPr>
        <w:numPr>
          <w:ilvl w:val="0"/>
          <w:numId w:val="16"/>
        </w:numPr>
        <w:spacing w:before="120" w:after="120" w:line="288" w:lineRule="auto"/>
        <w:ind w:left="0"/>
        <w:jc w:val="left"/>
      </w:pPr>
      <w:r>
        <w:rPr>
          <w:rFonts w:ascii="Arial" w:hAnsi="Arial" w:eastAsia="等线" w:cs="Arial"/>
          <w:b/>
          <w:sz w:val="22"/>
        </w:rPr>
        <w:t>标签体系全局统一（三分类标准）</w:t>
      </w:r>
    </w:p>
    <w:p w14:paraId="59749E35">
      <w:pPr>
        <w:numPr>
          <w:ilvl w:val="0"/>
          <w:numId w:val="17"/>
        </w:numPr>
        <w:spacing w:before="120" w:after="120" w:line="288" w:lineRule="auto"/>
        <w:ind w:left="0"/>
        <w:jc w:val="left"/>
      </w:pPr>
      <w:r>
        <w:rPr>
          <w:rFonts w:ascii="Arial" w:hAnsi="Arial" w:eastAsia="等线" w:cs="Arial"/>
          <w:sz w:val="22"/>
        </w:rPr>
        <w:t>左手运动想象 → 0</w:t>
      </w:r>
    </w:p>
    <w:p w14:paraId="38C6D18D">
      <w:pPr>
        <w:numPr>
          <w:ilvl w:val="0"/>
          <w:numId w:val="18"/>
        </w:numPr>
        <w:spacing w:before="120" w:after="120" w:line="288" w:lineRule="auto"/>
        <w:ind w:left="0"/>
        <w:jc w:val="left"/>
      </w:pPr>
      <w:r>
        <w:rPr>
          <w:rFonts w:ascii="Arial" w:hAnsi="Arial" w:eastAsia="等线" w:cs="Arial"/>
          <w:sz w:val="22"/>
        </w:rPr>
        <w:t>右手运动想象 → 1</w:t>
      </w:r>
    </w:p>
    <w:p w14:paraId="07E904D3">
      <w:pPr>
        <w:numPr>
          <w:ilvl w:val="0"/>
          <w:numId w:val="19"/>
        </w:numPr>
        <w:spacing w:before="120" w:after="120" w:line="288" w:lineRule="auto"/>
        <w:ind w:left="0"/>
        <w:jc w:val="left"/>
      </w:pPr>
      <w:r>
        <w:rPr>
          <w:rFonts w:ascii="Arial" w:hAnsi="Arial" w:eastAsia="等线" w:cs="Arial"/>
          <w:sz w:val="22"/>
        </w:rPr>
        <w:t>静止放松 → 2</w:t>
      </w:r>
    </w:p>
    <w:tbl>
      <w:tblPr>
        <w:tblStyle w:val="2"/>
        <w:tblW w:w="0" w:type="auto"/>
        <w:tblInd w:w="0" w:type="dxa"/>
        <w:tblBorders>
          <w:top w:val="single" w:color="auto" w:sz="0" w:space="0"/>
          <w:left w:val="single" w:color="auto" w:sz="0" w:space="0"/>
          <w:bottom w:val="single" w:color="auto" w:sz="0" w:space="0"/>
          <w:right w:val="single" w:color="auto" w:sz="0" w:space="0"/>
          <w:insideH w:val="single" w:color="auto" w:sz="0" w:space="0"/>
          <w:insideV w:val="single" w:color="auto" w:sz="0" w:space="0"/>
        </w:tblBorders>
        <w:tblLayout w:type="fixed"/>
        <w:tblCellMar>
          <w:top w:w="0" w:type="dxa"/>
          <w:left w:w="10" w:type="dxa"/>
          <w:bottom w:w="0" w:type="dxa"/>
          <w:right w:w="10" w:type="dxa"/>
        </w:tblCellMar>
      </w:tblPr>
      <w:tblGrid>
        <w:gridCol w:w="8280"/>
      </w:tblGrid>
      <w:tr w14:paraId="3789B709">
        <w:tblPrEx>
          <w:tblBorders>
            <w:top w:val="single" w:color="auto" w:sz="0" w:space="0"/>
            <w:left w:val="single" w:color="auto" w:sz="0" w:space="0"/>
            <w:bottom w:val="single" w:color="auto" w:sz="0" w:space="0"/>
            <w:right w:val="single" w:color="auto" w:sz="0" w:space="0"/>
            <w:insideH w:val="single" w:color="auto" w:sz="0" w:space="0"/>
            <w:insideV w:val="single" w:color="auto" w:sz="0" w:space="0"/>
          </w:tblBorders>
          <w:tblCellMar>
            <w:top w:w="0" w:type="dxa"/>
            <w:left w:w="10" w:type="dxa"/>
            <w:bottom w:w="0" w:type="dxa"/>
            <w:right w:w="10" w:type="dxa"/>
          </w:tblCellMar>
        </w:tblPrEx>
        <w:tc>
          <w:tcPr>
            <w:tcW w:w="8280" w:type="dxa"/>
            <w:tcBorders>
              <w:top w:val="nil"/>
              <w:left w:val="single" w:color="BBBFC4" w:sz="18" w:space="0"/>
              <w:bottom w:val="nil"/>
              <w:right w:val="nil"/>
            </w:tcBorders>
            <w:tcMar>
              <w:top w:w="60" w:type="dxa"/>
              <w:left w:w="120" w:type="dxa"/>
              <w:bottom w:w="30" w:type="dxa"/>
              <w:right w:w="120" w:type="dxa"/>
            </w:tcMar>
          </w:tcPr>
          <w:p>
            <w:r>
              <w:t>BCI IV 2a 仅保留左手、右手原始任务试次；双脚、舌头直接丢弃；静息类从无Cue、无运动想象、无伪迹的休息/准备连续段提取。</w:t>
            </w:r>
          </w:p>
        </w:tc>
      </w:tr>
    </w:tbl>
    <w:p w14:paraId="120CD734">
      <w:pPr>
        <w:numPr>
          <w:ilvl w:val="0"/>
          <w:numId w:val="20"/>
        </w:numPr>
        <w:spacing w:before="120" w:after="120" w:line="288" w:lineRule="auto"/>
        <w:ind w:left="0"/>
        <w:jc w:val="left"/>
      </w:pPr>
      <w:r>
        <w:rPr>
          <w:rFonts w:ascii="Arial" w:hAnsi="Arial" w:eastAsia="等线" w:cs="Arial"/>
          <w:b/>
          <w:sz w:val="22"/>
        </w:rPr>
        <w:t>统一任务范式逻辑</w:t>
      </w:r>
      <w:r>
        <w:rPr>
          <w:rFonts w:ascii="Arial" w:hAnsi="Arial" w:eastAsia="等线" w:cs="Arial"/>
          <w:sz w:val="22"/>
        </w:rPr>
        <w:br w:type="textWrapping"/>
      </w:r>
      <w:r>
        <w:rPr>
          <w:rFonts w:ascii="Arial" w:hAnsi="Arial" w:eastAsia="等线" w:cs="Arial"/>
          <w:sz w:val="22"/>
        </w:rPr>
        <w:t>所有数据统一为「提示出现 → 持续想象 → 结束」标准 MI 范式，保证模型学习任务逻辑一致。</w:t>
      </w:r>
    </w:p>
    <w:p>
      <w:r>
        <w:t>BCI Competition IV 2a 专用映射与截取规则</w:t>
      </w:r>
    </w:p>
    <w:p>
      <w:r>
        <w:t>1. 左手和右手仅保留原始类别标签1、2，并统一编码为0、1；双脚和舌头试次直接丢弃，不得改标为静息。</w:t>
      </w:r>
    </w:p>
    <w:p>
      <w:r>
        <w:t>2. 左手/右手任务窗采用单试次绝对时间 t=2.0~6.0 s。由于 Cue 在 t=2.0 s 出现，该窗口等价于 Cue 后0~4.0 s。</w:t>
      </w:r>
    </w:p>
    <w:p>
      <w:r>
        <w:t>3. 静息类编码为2，从相邻任务之间无 Cue、无运动想象且无伪迹的连续休息/准备段提取固定4.0 s。优先取下一次 Cue 前4.0 s；若与上一任务窗重叠、长度不足或含伪迹，则丢弃该静息候选窗。</w:t>
      </w:r>
    </w:p>
    <w:p>
      <w:r>
        <w:t>4. 静息样本不得包含双脚或舌头运动想象数据，并按受试者、会话与左右手样本进行数量平衡，避免类别失衡。</w:t>
      </w:r>
    </w:p>
    <w:p w14:paraId="6745E591">
      <w:pPr>
        <w:pBdr>
          <w:bottom w:val="single" w:color="DEE0E3" w:sz="2" w:space="0"/>
          <w:between w:val="single" w:color="DEE0E3" w:sz="2" w:space="0"/>
        </w:pBdr>
        <w:spacing w:before="120" w:after="120" w:line="288" w:lineRule="auto"/>
        <w:ind w:left="0"/>
      </w:pPr>
    </w:p>
    <w:p w14:paraId="769C81DA">
      <w:pPr>
        <w:spacing w:before="320" w:after="120" w:line="288" w:lineRule="auto"/>
        <w:ind w:left="0"/>
        <w:jc w:val="left"/>
        <w:outlineLvl w:val="1"/>
      </w:pPr>
      <w:bookmarkStart w:id="13" w:name="heading_13"/>
      <w:r>
        <w:rPr>
          <w:rFonts w:ascii="Arial" w:hAnsi="Arial" w:eastAsia="等线" w:cs="Arial"/>
          <w:b/>
          <w:sz w:val="32"/>
        </w:rPr>
        <w:t>Step 3 通道统一筛选（Channel Selection）</w:t>
      </w:r>
      <w:bookmarkEnd w:id="13"/>
    </w:p>
    <w:p w14:paraId="21FFF138">
      <w:pPr>
        <w:spacing w:before="300" w:after="120" w:line="288" w:lineRule="auto"/>
        <w:ind w:left="0"/>
        <w:jc w:val="left"/>
        <w:outlineLvl w:val="2"/>
      </w:pPr>
      <w:bookmarkStart w:id="14" w:name="heading_14"/>
      <w:r>
        <w:rPr>
          <w:rFonts w:ascii="Arial" w:hAnsi="Arial" w:eastAsia="等线" w:cs="Arial"/>
          <w:b/>
          <w:sz w:val="30"/>
        </w:rPr>
        <w:t>核心意义</w:t>
      </w:r>
      <w:bookmarkEnd w:id="14"/>
    </w:p>
    <w:p w14:paraId="3D895814">
      <w:pPr>
        <w:spacing w:before="120" w:after="120" w:line="288" w:lineRule="auto"/>
        <w:ind w:left="0"/>
        <w:jc w:val="left"/>
      </w:pPr>
      <w:r>
        <w:rPr>
          <w:rFonts w:ascii="Arial" w:hAnsi="Arial" w:eastAsia="等线" w:cs="Arial"/>
          <w:sz w:val="22"/>
        </w:rPr>
        <w:t>模型卷积核的</w:t>
      </w:r>
      <w:r>
        <w:rPr>
          <w:rFonts w:ascii="Arial" w:hAnsi="Arial" w:eastAsia="等线" w:cs="Arial"/>
          <w:b/>
          <w:sz w:val="22"/>
        </w:rPr>
        <w:t>空间感受野必须固定</w:t>
      </w:r>
      <w:r>
        <w:rPr>
          <w:rFonts w:ascii="Arial" w:hAnsi="Arial" w:eastAsia="等线" w:cs="Arial"/>
          <w:sz w:val="22"/>
        </w:rPr>
        <w:t>，跨数据集通道不一致会导致预训练完全失效。</w:t>
      </w:r>
    </w:p>
    <w:p w14:paraId="624C31B9">
      <w:pPr>
        <w:spacing w:before="300" w:after="120" w:line="288" w:lineRule="auto"/>
        <w:ind w:left="0"/>
        <w:jc w:val="left"/>
        <w:outlineLvl w:val="2"/>
      </w:pPr>
      <w:bookmarkStart w:id="15" w:name="heading_15"/>
      <w:r>
        <w:rPr>
          <w:rFonts w:ascii="Arial" w:hAnsi="Arial" w:eastAsia="等线" w:cs="Arial"/>
          <w:b/>
          <w:sz w:val="30"/>
        </w:rPr>
        <w:t>全局固定 8 通道（匹配自研 OpenBCI 硬件）</w:t>
      </w:r>
      <w:bookmarkEnd w:id="15"/>
    </w:p>
    <w:p w14:paraId="73FFBC00">
      <w:pPr>
        <w:spacing w:before="120" w:after="120" w:line="288" w:lineRule="auto"/>
        <w:ind w:left="0"/>
        <w:jc w:val="left"/>
      </w:pPr>
      <w:r>
        <w:t>Cz、C3、C4、CP3、FC4、FC3、CP4、CPz</w:t>
      </w:r>
    </w:p>
    <w:p>
      <w:r>
        <w:t>固定通道顺序：Cz、C3、C4、CP3、FC4、FC3、CP4、CPz。该顺序同时作为模型输入通道轴顺序，所有数据集、训练、微调与在线推理均不得按字母或原始文件顺序重新排列。</w:t>
      </w:r>
    </w:p>
    <w:p>
      <w:r>
        <w:t>通道索引映射：0=Cz，1=C3，2=C4，3=CP3，4=FC4，5=FC3，6=CP4，7=CPz。</w:t>
      </w:r>
    </w:p>
    <w:p w14:paraId="7549B4AD">
      <w:pPr>
        <w:spacing w:before="300" w:after="120" w:line="288" w:lineRule="auto"/>
        <w:ind w:left="0"/>
        <w:jc w:val="left"/>
        <w:outlineLvl w:val="2"/>
      </w:pPr>
      <w:bookmarkStart w:id="16" w:name="heading_16"/>
      <w:r>
        <w:rPr>
          <w:rFonts w:ascii="Arial" w:hAnsi="Arial" w:eastAsia="等线" w:cs="Arial"/>
          <w:b/>
          <w:sz w:val="30"/>
        </w:rPr>
        <w:t>执行规则</w:t>
      </w:r>
      <w:bookmarkEnd w:id="16"/>
    </w:p>
    <w:p w14:paraId="6479051A">
      <w:pPr>
        <w:numPr>
          <w:ilvl w:val="0"/>
          <w:numId w:val="21"/>
        </w:numPr>
        <w:spacing w:before="120" w:after="120" w:line="288" w:lineRule="auto"/>
        <w:ind w:left="0"/>
        <w:jc w:val="left"/>
      </w:pPr>
      <w:r>
        <w:rPr>
          <w:rFonts w:ascii="Arial" w:hAnsi="Arial" w:eastAsia="等线" w:cs="Arial"/>
          <w:sz w:val="22"/>
        </w:rPr>
        <w:t>公开数据集多余通道</w:t>
      </w:r>
      <w:r>
        <w:rPr>
          <w:rFonts w:ascii="Arial" w:hAnsi="Arial" w:eastAsia="等线" w:cs="Arial"/>
          <w:b/>
          <w:sz w:val="22"/>
        </w:rPr>
        <w:t>直接剔除</w:t>
      </w:r>
    </w:p>
    <w:p w14:paraId="67413565">
      <w:pPr>
        <w:numPr>
          <w:ilvl w:val="0"/>
          <w:numId w:val="22"/>
        </w:numPr>
        <w:spacing w:before="120" w:after="120" w:line="288" w:lineRule="auto"/>
        <w:ind w:left="0"/>
        <w:jc w:val="left"/>
      </w:pPr>
      <w:r>
        <w:rPr>
          <w:rFonts w:ascii="Arial" w:hAnsi="Arial" w:eastAsia="等线" w:cs="Arial"/>
          <w:sz w:val="22"/>
        </w:rPr>
        <w:t>缺失通道不补零、不插值，严格对齐上述 8 通道拓扑</w:t>
      </w:r>
    </w:p>
    <w:p w14:paraId="120BA61A">
      <w:pPr>
        <w:numPr>
          <w:ilvl w:val="0"/>
          <w:numId w:val="23"/>
        </w:numPr>
        <w:spacing w:before="120" w:after="120" w:line="288" w:lineRule="auto"/>
        <w:ind w:left="0"/>
        <w:jc w:val="left"/>
      </w:pPr>
      <w:r>
        <w:rPr>
          <w:rFonts w:ascii="Arial" w:hAnsi="Arial" w:eastAsia="等线" w:cs="Arial"/>
          <w:sz w:val="22"/>
        </w:rPr>
        <w:t>所有数据集最终输出：</w:t>
      </w:r>
      <w:r>
        <w:rPr>
          <w:rFonts w:ascii="Arial" w:hAnsi="Arial" w:eastAsia="等线" w:cs="Arial"/>
          <w:b/>
          <w:sz w:val="22"/>
        </w:rPr>
        <w:t>固定 8 通道脑电</w:t>
      </w:r>
    </w:p>
    <w:p w14:paraId="236D7423">
      <w:pPr>
        <w:spacing w:before="120" w:after="120" w:line="288" w:lineRule="auto"/>
        <w:ind w:left="0"/>
        <w:jc w:val="left"/>
      </w:pPr>
      <w:r>
        <w:rPr>
          <w:rFonts w:ascii="Arial" w:hAnsi="Arial" w:eastAsia="等线" w:cs="Arial"/>
          <w:sz w:val="22"/>
        </w:rPr>
        <w:t>保证：</w:t>
      </w:r>
      <w:r>
        <w:rPr>
          <w:rFonts w:ascii="Arial" w:hAnsi="Arial" w:eastAsia="等线" w:cs="Arial"/>
          <w:b/>
          <w:sz w:val="22"/>
        </w:rPr>
        <w:t>预训练、微调、在线推理，通道空间拓扑完全一致</w:t>
      </w:r>
      <w:r>
        <w:rPr>
          <w:rFonts w:ascii="Arial" w:hAnsi="Arial" w:eastAsia="等线" w:cs="Arial"/>
          <w:sz w:val="22"/>
        </w:rPr>
        <w:t>。</w:t>
      </w:r>
    </w:p>
    <w:p w14:paraId="26FAE823">
      <w:pPr>
        <w:pBdr>
          <w:bottom w:val="single" w:color="DEE0E3" w:sz="2" w:space="0"/>
          <w:between w:val="single" w:color="DEE0E3" w:sz="2" w:space="0"/>
        </w:pBdr>
        <w:spacing w:before="120" w:after="120" w:line="288" w:lineRule="auto"/>
        <w:ind w:left="0"/>
      </w:pPr>
    </w:p>
    <w:p w14:paraId="35523473">
      <w:pPr>
        <w:spacing w:before="320" w:after="120" w:line="288" w:lineRule="auto"/>
        <w:ind w:left="0"/>
        <w:jc w:val="left"/>
        <w:outlineLvl w:val="1"/>
      </w:pPr>
      <w:bookmarkStart w:id="17" w:name="heading_17"/>
      <w:r>
        <w:rPr>
          <w:rFonts w:ascii="Arial" w:hAnsi="Arial" w:eastAsia="等线" w:cs="Arial"/>
          <w:b/>
          <w:sz w:val="32"/>
        </w:rPr>
        <w:t>Step 4 公共平均重参考 CAR（Common Average Reference）</w:t>
      </w:r>
      <w:bookmarkEnd w:id="17"/>
    </w:p>
    <w:p w14:paraId="463BF15F">
      <w:pPr>
        <w:spacing w:before="300" w:after="120" w:line="288" w:lineRule="auto"/>
        <w:ind w:left="0"/>
        <w:jc w:val="left"/>
        <w:outlineLvl w:val="2"/>
      </w:pPr>
      <w:bookmarkStart w:id="18" w:name="heading_18"/>
      <w:r>
        <w:rPr>
          <w:rFonts w:ascii="Arial" w:hAnsi="Arial" w:eastAsia="等线" w:cs="Arial"/>
          <w:b/>
          <w:sz w:val="30"/>
        </w:rPr>
        <w:t>原理公式</w:t>
      </w:r>
      <w:bookmarkEnd w:id="18"/>
    </w:p>
    <w:p w14:paraId="0FF28ED2">
      <w:pPr>
        <w:spacing w:before="300" w:after="120" w:line="288" w:lineRule="auto"/>
        <w:ind w:left="0"/>
        <w:jc w:val="left"/>
        <w:outlineLvl w:val="2"/>
      </w:pPr>
      <w:bookmarkStart w:id="19" w:name="heading_19"/>
      <w:r>
        <w:rPr>
          <w:rFonts w:ascii="Arial" w:hAnsi="Arial" w:eastAsia="等线" w:cs="Arial"/>
          <w:b/>
          <w:sz w:val="30"/>
        </w:rPr>
        <w:t>作用（MI 任务关键）</w:t>
      </w:r>
      <w:bookmarkEnd w:id="19"/>
    </w:p>
    <w:p w14:paraId="2DAE2F9D">
      <w:pPr>
        <w:numPr>
          <w:ilvl w:val="0"/>
          <w:numId w:val="24"/>
        </w:numPr>
        <w:spacing w:before="120" w:after="120" w:line="288" w:lineRule="auto"/>
        <w:ind w:left="0"/>
        <w:jc w:val="left"/>
      </w:pPr>
      <w:r>
        <w:rPr>
          <w:rFonts w:ascii="Arial" w:hAnsi="Arial" w:eastAsia="等线" w:cs="Arial"/>
          <w:sz w:val="22"/>
        </w:rPr>
        <w:t>消除全局公共噪声、参考电极偏移</w:t>
      </w:r>
    </w:p>
    <w:p w14:paraId="2DFE1D11">
      <w:pPr>
        <w:numPr>
          <w:ilvl w:val="0"/>
          <w:numId w:val="25"/>
        </w:numPr>
        <w:spacing w:before="120" w:after="120" w:line="288" w:lineRule="auto"/>
        <w:ind w:left="0"/>
        <w:jc w:val="left"/>
      </w:pPr>
      <w:r>
        <w:rPr>
          <w:rFonts w:ascii="Arial" w:hAnsi="Arial" w:eastAsia="等线" w:cs="Arial"/>
          <w:sz w:val="22"/>
        </w:rPr>
        <w:t>增强左右运动皮层 C3/C4 的 ERD 不对称差异</w:t>
      </w:r>
    </w:p>
    <w:p w14:paraId="02F3276C">
      <w:pPr>
        <w:numPr>
          <w:ilvl w:val="0"/>
          <w:numId w:val="26"/>
        </w:numPr>
        <w:spacing w:before="120" w:after="120" w:line="288" w:lineRule="auto"/>
        <w:ind w:left="0"/>
        <w:jc w:val="left"/>
      </w:pPr>
      <w:r>
        <w:rPr>
          <w:rFonts w:ascii="Arial" w:hAnsi="Arial" w:eastAsia="等线" w:cs="Arial"/>
          <w:sz w:val="22"/>
        </w:rPr>
        <w:t>提升空间分辨率，是运动想象 BCI 标配预处理</w:t>
      </w:r>
    </w:p>
    <w:p w14:paraId="2F324D58">
      <w:pPr>
        <w:spacing w:before="300" w:after="120" w:line="288" w:lineRule="auto"/>
        <w:ind w:left="0"/>
        <w:jc w:val="left"/>
        <w:outlineLvl w:val="2"/>
      </w:pPr>
      <w:bookmarkStart w:id="20" w:name="heading_20"/>
      <w:r>
        <w:rPr>
          <w:rFonts w:ascii="Arial" w:hAnsi="Arial" w:eastAsia="等线" w:cs="Arial"/>
          <w:b/>
          <w:sz w:val="30"/>
        </w:rPr>
        <w:t>执行时机</w:t>
      </w:r>
      <w:bookmarkEnd w:id="20"/>
    </w:p>
    <w:p w14:paraId="14E12D09">
      <w:pPr>
        <w:spacing w:before="120" w:after="120" w:line="288" w:lineRule="auto"/>
        <w:ind w:left="0"/>
        <w:jc w:val="left"/>
      </w:pPr>
      <w:r>
        <w:rPr>
          <w:rFonts w:ascii="Arial" w:hAnsi="Arial" w:eastAsia="等线" w:cs="Arial"/>
          <w:sz w:val="22"/>
        </w:rPr>
        <w:t>滤波</w:t>
      </w:r>
      <w:r>
        <w:rPr>
          <w:rFonts w:ascii="Arial" w:hAnsi="Arial" w:eastAsia="等线" w:cs="Arial"/>
          <w:b/>
          <w:sz w:val="22"/>
        </w:rPr>
        <w:t>之前</w:t>
      </w:r>
      <w:r>
        <w:rPr>
          <w:rFonts w:ascii="Arial" w:hAnsi="Arial" w:eastAsia="等线" w:cs="Arial"/>
          <w:sz w:val="22"/>
        </w:rPr>
        <w:t>执行，保证噪声基底统一。</w:t>
      </w:r>
    </w:p>
    <w:p w14:paraId="74D0569A">
      <w:pPr>
        <w:pBdr>
          <w:bottom w:val="single" w:color="DEE0E3" w:sz="2" w:space="0"/>
          <w:between w:val="single" w:color="DEE0E3" w:sz="2" w:space="0"/>
        </w:pBdr>
        <w:spacing w:before="120" w:after="120" w:line="288" w:lineRule="auto"/>
        <w:ind w:left="0"/>
      </w:pPr>
    </w:p>
    <w:p w14:paraId="2AABC073">
      <w:pPr>
        <w:spacing w:before="320" w:after="120" w:line="288" w:lineRule="auto"/>
        <w:ind w:left="0"/>
        <w:jc w:val="left"/>
        <w:outlineLvl w:val="1"/>
      </w:pPr>
      <w:bookmarkStart w:id="21" w:name="heading_21"/>
      <w:r>
        <w:rPr>
          <w:rFonts w:ascii="Arial" w:hAnsi="Arial" w:eastAsia="等线" w:cs="Arial"/>
          <w:b/>
          <w:sz w:val="32"/>
        </w:rPr>
        <w:t>Step 5 双层滤波（Notch + Band-pass）</w:t>
      </w:r>
      <w:bookmarkEnd w:id="21"/>
    </w:p>
    <w:p w14:paraId="4D6076A8">
      <w:pPr>
        <w:spacing w:before="300" w:after="120" w:line="288" w:lineRule="auto"/>
        <w:ind w:left="0"/>
        <w:jc w:val="left"/>
        <w:outlineLvl w:val="2"/>
      </w:pPr>
      <w:bookmarkStart w:id="22" w:name="heading_22"/>
      <w:r>
        <w:rPr>
          <w:rFonts w:ascii="Arial" w:hAnsi="Arial" w:eastAsia="等线" w:cs="Arial"/>
          <w:b/>
          <w:sz w:val="30"/>
        </w:rPr>
        <w:t>5.1 工频陷波滤波 Notch</w:t>
      </w:r>
      <w:bookmarkEnd w:id="22"/>
    </w:p>
    <w:p w14:paraId="5F41B780">
      <w:pPr>
        <w:numPr>
          <w:ilvl w:val="0"/>
          <w:numId w:val="27"/>
        </w:numPr>
        <w:spacing w:before="120" w:after="120" w:line="288" w:lineRule="auto"/>
        <w:ind w:left="0"/>
        <w:jc w:val="left"/>
      </w:pPr>
      <w:r>
        <w:rPr>
          <w:rFonts w:ascii="Arial" w:hAnsi="Arial" w:eastAsia="等线" w:cs="Arial"/>
          <w:sz w:val="22"/>
        </w:rPr>
        <w:t>频率：50 Hz（国内市电标准）</w:t>
      </w:r>
    </w:p>
    <w:p w14:paraId="6C4C0600">
      <w:pPr>
        <w:numPr>
          <w:ilvl w:val="0"/>
          <w:numId w:val="28"/>
        </w:numPr>
        <w:spacing w:before="120" w:after="120" w:line="288" w:lineRule="auto"/>
        <w:ind w:left="0"/>
        <w:jc w:val="left"/>
      </w:pPr>
      <w:r>
        <w:rPr>
          <w:rFonts w:ascii="Arial" w:hAnsi="Arial" w:eastAsia="等线" w:cs="Arial"/>
          <w:sz w:val="22"/>
        </w:rPr>
        <w:t>作用：去除设备工频干扰、线缆耦合噪声</w:t>
      </w:r>
    </w:p>
    <w:p w14:paraId="52FDEEB1">
      <w:pPr>
        <w:spacing w:before="300" w:after="120" w:line="288" w:lineRule="auto"/>
        <w:ind w:left="0"/>
        <w:jc w:val="left"/>
        <w:outlineLvl w:val="2"/>
      </w:pPr>
      <w:bookmarkStart w:id="23" w:name="heading_23"/>
      <w:r>
        <w:rPr>
          <w:rFonts w:ascii="Arial" w:hAnsi="Arial" w:eastAsia="等线" w:cs="Arial"/>
          <w:b/>
          <w:sz w:val="30"/>
        </w:rPr>
        <w:t>5.2 运动想象带通滤波 Band-pass</w:t>
      </w:r>
      <w:bookmarkEnd w:id="23"/>
    </w:p>
    <w:p w14:paraId="02004F3C">
      <w:pPr>
        <w:numPr>
          <w:ilvl w:val="0"/>
          <w:numId w:val="29"/>
        </w:numPr>
        <w:spacing w:before="120" w:after="120" w:line="288" w:lineRule="auto"/>
        <w:ind w:left="0"/>
        <w:jc w:val="left"/>
      </w:pPr>
      <w:r>
        <w:rPr>
          <w:rFonts w:ascii="Arial" w:hAnsi="Arial" w:eastAsia="等线" w:cs="Arial"/>
          <w:sz w:val="22"/>
        </w:rPr>
        <w:t>通带：</w:t>
      </w:r>
      <w:r>
        <w:rPr>
          <w:rFonts w:ascii="Arial" w:hAnsi="Arial" w:eastAsia="等线" w:cs="Arial"/>
          <w:b/>
          <w:sz w:val="22"/>
        </w:rPr>
        <w:t>8–30 Hz</w:t>
      </w:r>
    </w:p>
    <w:p w14:paraId="458A7DB4">
      <w:pPr>
        <w:numPr>
          <w:ilvl w:val="0"/>
          <w:numId w:val="30"/>
        </w:numPr>
        <w:spacing w:before="120" w:after="120" w:line="288" w:lineRule="auto"/>
        <w:ind w:left="0"/>
        <w:jc w:val="left"/>
      </w:pPr>
      <w:r>
        <w:rPr>
          <w:rFonts w:ascii="Arial" w:hAnsi="Arial" w:eastAsia="等线" w:cs="Arial"/>
          <w:sz w:val="22"/>
        </w:rPr>
        <w:t>保留核心节律：</w:t>
      </w:r>
    </w:p>
    <w:p w14:paraId="25F0243A">
      <w:pPr>
        <w:numPr>
          <w:ilvl w:val="0"/>
          <w:numId w:val="31"/>
        </w:numPr>
        <w:spacing w:before="120" w:after="120" w:line="288" w:lineRule="auto"/>
        <w:ind w:left="453"/>
        <w:jc w:val="left"/>
      </w:pPr>
      <w:r>
        <w:rPr>
          <w:rFonts w:ascii="Arial" w:hAnsi="Arial" w:eastAsia="等线" w:cs="Arial"/>
          <w:sz w:val="22"/>
        </w:rPr>
        <w:t>μ 节律（8–13 Hz）：初级运动皮层静息振荡</w:t>
      </w:r>
    </w:p>
    <w:p w14:paraId="1EDC1949">
      <w:pPr>
        <w:numPr>
          <w:ilvl w:val="0"/>
          <w:numId w:val="32"/>
        </w:numPr>
        <w:spacing w:before="120" w:after="120" w:line="288" w:lineRule="auto"/>
        <w:ind w:left="453"/>
        <w:jc w:val="left"/>
      </w:pPr>
      <w:r>
        <w:rPr>
          <w:rFonts w:ascii="Arial" w:hAnsi="Arial" w:eastAsia="等线" w:cs="Arial"/>
          <w:sz w:val="22"/>
        </w:rPr>
        <w:t>β 节律（13–30 Hz）：运动想象抑制特征 ERD</w:t>
      </w:r>
    </w:p>
    <w:p w14:paraId="2E3A889C">
      <w:pPr>
        <w:spacing w:before="300" w:after="120" w:line="288" w:lineRule="auto"/>
        <w:ind w:left="0"/>
        <w:jc w:val="left"/>
        <w:outlineLvl w:val="2"/>
      </w:pPr>
      <w:bookmarkStart w:id="24" w:name="heading_24"/>
      <w:r>
        <w:rPr>
          <w:rFonts w:ascii="Arial" w:hAnsi="Arial" w:eastAsia="等线" w:cs="Arial"/>
          <w:b/>
          <w:sz w:val="30"/>
        </w:rPr>
        <w:t>滤波效果</w:t>
      </w:r>
      <w:bookmarkEnd w:id="24"/>
    </w:p>
    <w:p w14:paraId="4F732A43">
      <w:pPr>
        <w:spacing w:before="120" w:after="120" w:line="288" w:lineRule="auto"/>
        <w:ind w:left="0"/>
        <w:jc w:val="left"/>
      </w:pPr>
      <w:r>
        <w:rPr>
          <w:rFonts w:ascii="Arial" w:hAnsi="Arial" w:eastAsia="等线" w:cs="Arial"/>
          <w:sz w:val="22"/>
        </w:rPr>
        <w:t>彻底滤除低频漂移、高频肌电噪声、心电干扰，</w:t>
      </w:r>
      <w:r>
        <w:rPr>
          <w:rFonts w:ascii="Arial" w:hAnsi="Arial" w:eastAsia="等线" w:cs="Arial"/>
          <w:b/>
          <w:sz w:val="22"/>
        </w:rPr>
        <w:t>只保留运动想象有效特征频段</w:t>
      </w:r>
      <w:r>
        <w:rPr>
          <w:rFonts w:ascii="Arial" w:hAnsi="Arial" w:eastAsia="等线" w:cs="Arial"/>
          <w:sz w:val="22"/>
        </w:rPr>
        <w:t>。</w:t>
      </w:r>
    </w:p>
    <w:p w14:paraId="2E5924D3">
      <w:pPr>
        <w:pBdr>
          <w:bottom w:val="single" w:color="DEE0E3" w:sz="2" w:space="0"/>
          <w:between w:val="single" w:color="DEE0E3" w:sz="2" w:space="0"/>
        </w:pBdr>
        <w:spacing w:before="120" w:after="120" w:line="288" w:lineRule="auto"/>
        <w:ind w:left="0"/>
      </w:pPr>
    </w:p>
    <w:p w14:paraId="62990A9C">
      <w:pPr>
        <w:spacing w:before="320" w:after="120" w:line="288" w:lineRule="auto"/>
        <w:ind w:left="0"/>
        <w:jc w:val="left"/>
        <w:outlineLvl w:val="1"/>
      </w:pPr>
      <w:bookmarkStart w:id="25" w:name="heading_25"/>
      <w:r>
        <w:rPr>
          <w:rFonts w:ascii="Arial" w:hAnsi="Arial" w:eastAsia="等线" w:cs="Arial"/>
          <w:b/>
          <w:sz w:val="32"/>
        </w:rPr>
        <w:t>Step 6 Epoch 分段提取（Epoch Extraction）</w:t>
      </w:r>
      <w:bookmarkEnd w:id="25"/>
    </w:p>
    <w:p w14:paraId="3B6E93E9">
      <w:pPr>
        <w:spacing w:before="300" w:after="120" w:line="288" w:lineRule="auto"/>
        <w:ind w:left="0"/>
        <w:jc w:val="left"/>
        <w:outlineLvl w:val="2"/>
      </w:pPr>
      <w:bookmarkStart w:id="26" w:name="heading_26"/>
      <w:bookmarkEnd w:id="26"/>
      <w:r>
        <w:t>统一截取区间</w:t>
      </w:r>
    </w:p>
    <w:p w14:paraId="527106F4">
      <w:pPr>
        <w:spacing w:before="120" w:after="120" w:line="288" w:lineRule="auto"/>
        <w:ind w:left="0"/>
        <w:jc w:val="left"/>
      </w:pPr>
      <w:r>
        <w:t>左手/右手任务 Epoch：Cue 前 -0.5 s ~ Cue 后 4.0 s；其中 Cue 前 -0.5~0 s 仅用于基线校正，模型输入使用 Cue 后 0~4.0 s。</w:t>
      </w:r>
    </w:p>
    <w:p>
      <w:r>
        <w:t>静息 Epoch：从通过上述约束的连续休息/准备段直接截取4.0 s。静息窗使用自身前0.5 s均值进行通道基线归零，但不缩短最终4.0 s输入长度。</w:t>
      </w:r>
    </w:p>
    <w:p w14:paraId="36AA1944">
      <w:pPr>
        <w:spacing w:before="300" w:after="120" w:line="288" w:lineRule="auto"/>
        <w:ind w:left="0"/>
        <w:jc w:val="left"/>
        <w:outlineLvl w:val="2"/>
      </w:pPr>
      <w:bookmarkStart w:id="27" w:name="heading_27"/>
      <w:r>
        <w:rPr>
          <w:rFonts w:ascii="Arial" w:hAnsi="Arial" w:eastAsia="等线" w:cs="Arial"/>
          <w:b/>
          <w:sz w:val="30"/>
        </w:rPr>
        <w:t>为什么保留前置 0.5s</w:t>
      </w:r>
      <w:bookmarkEnd w:id="27"/>
    </w:p>
    <w:p w14:paraId="228841DE">
      <w:pPr>
        <w:spacing w:before="120" w:after="120" w:line="288" w:lineRule="auto"/>
        <w:ind w:left="0"/>
        <w:jc w:val="left"/>
      </w:pPr>
      <w:r>
        <w:rPr>
          <w:rFonts w:ascii="Arial" w:hAnsi="Arial" w:eastAsia="等线" w:cs="Arial"/>
          <w:sz w:val="22"/>
        </w:rPr>
        <w:t>为</w:t>
      </w:r>
      <w:r>
        <w:rPr>
          <w:rFonts w:ascii="Arial" w:hAnsi="Arial" w:eastAsia="等线" w:cs="Arial"/>
          <w:b/>
          <w:sz w:val="22"/>
        </w:rPr>
        <w:t>基线校正</w:t>
      </w:r>
      <w:r>
        <w:rPr>
          <w:rFonts w:ascii="Arial" w:hAnsi="Arial" w:eastAsia="等线" w:cs="Arial"/>
          <w:sz w:val="22"/>
        </w:rPr>
        <w:t>提供纯净静息基准，是标准化必不可少区间。</w:t>
      </w:r>
    </w:p>
    <w:p w14:paraId="4D684764">
      <w:pPr>
        <w:spacing w:before="300" w:after="120" w:line="288" w:lineRule="auto"/>
        <w:ind w:left="0"/>
        <w:jc w:val="left"/>
        <w:outlineLvl w:val="2"/>
      </w:pPr>
      <w:bookmarkStart w:id="28" w:name="heading_28"/>
      <w:r>
        <w:rPr>
          <w:rFonts w:ascii="Arial" w:hAnsi="Arial" w:eastAsia="等线" w:cs="Arial"/>
          <w:b/>
          <w:sz w:val="30"/>
        </w:rPr>
        <w:t>输出</w:t>
      </w:r>
      <w:bookmarkEnd w:id="28"/>
    </w:p>
    <w:p w14:paraId="58D57086">
      <w:pPr>
        <w:spacing w:before="120" w:after="120" w:line="288" w:lineRule="auto"/>
        <w:ind w:left="0"/>
        <w:jc w:val="left"/>
      </w:pPr>
      <w:r>
        <w:rPr>
          <w:rFonts w:ascii="Arial" w:hAnsi="Arial" w:eastAsia="等线" w:cs="Arial"/>
          <w:sz w:val="22"/>
        </w:rPr>
        <w:t>每一个试次为独立 Epoch 样本。</w:t>
      </w:r>
    </w:p>
    <w:p w14:paraId="5BF98F0C">
      <w:pPr>
        <w:pBdr>
          <w:bottom w:val="single" w:color="DEE0E3" w:sz="2" w:space="0"/>
          <w:between w:val="single" w:color="DEE0E3" w:sz="2" w:space="0"/>
        </w:pBdr>
        <w:spacing w:before="120" w:after="120" w:line="288" w:lineRule="auto"/>
        <w:ind w:left="0"/>
      </w:pPr>
    </w:p>
    <w:p w14:paraId="6C36BEC6">
      <w:pPr>
        <w:spacing w:before="320" w:after="120" w:line="288" w:lineRule="auto"/>
        <w:ind w:left="0"/>
        <w:jc w:val="left"/>
        <w:outlineLvl w:val="1"/>
      </w:pPr>
      <w:bookmarkStart w:id="29" w:name="heading_29"/>
      <w:r>
        <w:rPr>
          <w:rFonts w:ascii="Arial" w:hAnsi="Arial" w:eastAsia="等线" w:cs="Arial"/>
          <w:b/>
          <w:sz w:val="32"/>
        </w:rPr>
        <w:t>Step 7 基线校正（Baseline Correction）</w:t>
      </w:r>
      <w:bookmarkEnd w:id="29"/>
    </w:p>
    <w:p w14:paraId="01AF19F8">
      <w:pPr>
        <w:spacing w:before="300" w:after="120" w:line="288" w:lineRule="auto"/>
        <w:ind w:left="0"/>
        <w:jc w:val="left"/>
        <w:outlineLvl w:val="2"/>
      </w:pPr>
      <w:bookmarkStart w:id="30" w:name="heading_30"/>
      <w:r>
        <w:rPr>
          <w:rFonts w:ascii="Arial" w:hAnsi="Arial" w:eastAsia="等线" w:cs="Arial"/>
          <w:b/>
          <w:sz w:val="30"/>
        </w:rPr>
        <w:t>基线区间</w:t>
      </w:r>
      <w:bookmarkEnd w:id="30"/>
    </w:p>
    <w:p w14:paraId="19568A4E">
      <w:pPr>
        <w:spacing w:before="120" w:after="120" w:line="288" w:lineRule="auto"/>
        <w:ind w:left="0"/>
        <w:jc w:val="left"/>
      </w:pPr>
      <w:r>
        <w:rPr>
          <w:rFonts w:ascii="Arial" w:hAnsi="Arial" w:eastAsia="等线" w:cs="Arial"/>
          <w:b/>
          <w:sz w:val="22"/>
        </w:rPr>
        <w:t>[-0.5 s, 0 s] 静息段</w:t>
      </w:r>
    </w:p>
    <w:p w14:paraId="6723BB80">
      <w:pPr>
        <w:spacing w:before="300" w:after="120" w:line="288" w:lineRule="auto"/>
        <w:ind w:left="0"/>
        <w:jc w:val="left"/>
        <w:outlineLvl w:val="2"/>
      </w:pPr>
      <w:bookmarkStart w:id="31" w:name="heading_31"/>
      <w:r>
        <w:rPr>
          <w:rFonts w:ascii="Arial" w:hAnsi="Arial" w:eastAsia="等线" w:cs="Arial"/>
          <w:b/>
          <w:sz w:val="30"/>
        </w:rPr>
        <w:t>计算方式</w:t>
      </w:r>
      <w:bookmarkEnd w:id="31"/>
    </w:p>
    <w:p w14:paraId="4B8B70DB">
      <w:pPr>
        <w:numPr>
          <w:ilvl w:val="0"/>
          <w:numId w:val="33"/>
        </w:numPr>
        <w:spacing w:before="120" w:after="120" w:line="288" w:lineRule="auto"/>
        <w:ind w:left="0"/>
        <w:jc w:val="left"/>
      </w:pPr>
      <w:r>
        <w:rPr>
          <w:rFonts w:ascii="Arial" w:hAnsi="Arial" w:eastAsia="等线" w:cs="Arial"/>
          <w:sz w:val="22"/>
        </w:rPr>
        <w:t xml:space="preserve">计算单通道静息均值 </w:t>
      </w:r>
      <m:oMath>
        <m:sSub>
          <m:sSubPr/>
          <m:e>
            <m:r>
              <m:rPr/>
              <w:rPr>
                <w:rFonts w:ascii="Cambria Math" w:hAnsi="Cambria Math"/>
              </w:rPr>
              <m:t>μ</m:t>
            </m:r>
          </m:e>
          <m:sub>
            <m:r>
              <m:rPr/>
              <w:rPr>
                <w:rFonts w:ascii="Cambria Math" w:hAnsi="Cambria Math"/>
              </w:rPr>
              <m:t>baseline</m:t>
            </m:r>
          </m:sub>
        </m:sSub>
      </m:oMath>
    </w:p>
    <w:p w14:paraId="1318E618">
      <w:pPr>
        <w:numPr>
          <w:ilvl w:val="0"/>
          <w:numId w:val="34"/>
        </w:numPr>
        <w:spacing w:before="120" w:after="120" w:line="288" w:lineRule="auto"/>
        <w:ind w:left="0"/>
        <w:jc w:val="left"/>
      </w:pPr>
      <w:r>
        <w:rPr>
          <w:rFonts w:ascii="Arial" w:hAnsi="Arial" w:eastAsia="等线" w:cs="Arial"/>
          <w:sz w:val="22"/>
        </w:rPr>
        <w:t>整段 Epoch 减去基线均值：</w:t>
      </w:r>
    </w:p>
    <w:p w14:paraId="26EC2A62">
      <w:pPr>
        <w:spacing w:before="300" w:after="120" w:line="288" w:lineRule="auto"/>
        <w:ind w:left="0"/>
        <w:jc w:val="left"/>
        <w:outlineLvl w:val="2"/>
      </w:pPr>
      <w:bookmarkStart w:id="32" w:name="heading_32"/>
      <w:r>
        <w:rPr>
          <w:rFonts w:ascii="Arial" w:hAnsi="Arial" w:eastAsia="等线" w:cs="Arial"/>
          <w:b/>
          <w:sz w:val="30"/>
        </w:rPr>
        <w:t>核心作用（与 Z-score 严格区分）</w:t>
      </w:r>
      <w:bookmarkEnd w:id="32"/>
    </w:p>
    <w:p w14:paraId="326DD3DF">
      <w:pPr>
        <w:spacing w:before="120" w:after="120" w:line="288" w:lineRule="auto"/>
        <w:ind w:left="0"/>
        <w:jc w:val="left"/>
      </w:pPr>
      <w:r>
        <w:rPr>
          <w:rFonts w:ascii="Arial" w:hAnsi="Arial" w:eastAsia="等线" w:cs="Arial"/>
          <w:sz w:val="22"/>
        </w:rPr>
        <w:t>消除</w:t>
      </w:r>
      <w:r>
        <w:rPr>
          <w:rFonts w:ascii="Arial" w:hAnsi="Arial" w:eastAsia="等线" w:cs="Arial"/>
          <w:b/>
          <w:sz w:val="22"/>
        </w:rPr>
        <w:t>单日、单会话、单次佩戴</w:t>
      </w:r>
      <w:r>
        <w:rPr>
          <w:rFonts w:ascii="Arial" w:hAnsi="Arial" w:eastAsia="等线" w:cs="Arial"/>
          <w:sz w:val="22"/>
        </w:rPr>
        <w:t>带来的整体电压偏移 Offset。</w:t>
      </w:r>
      <w:r>
        <w:rPr>
          <w:rFonts w:ascii="Arial" w:hAnsi="Arial" w:eastAsia="等线" w:cs="Arial"/>
          <w:sz w:val="22"/>
        </w:rPr>
        <w:br w:type="textWrapping"/>
      </w:r>
      <w:r>
        <w:rPr>
          <w:rFonts w:ascii="Arial" w:hAnsi="Arial" w:eastAsia="等线" w:cs="Arial"/>
          <w:sz w:val="22"/>
        </w:rPr>
        <w:t>解决：不同日期、不同电极阻抗、不同出汗导致的基线漂移。</w:t>
      </w:r>
    </w:p>
    <w:p w14:paraId="5BFEA53B">
      <w:pPr>
        <w:pBdr>
          <w:bottom w:val="single" w:color="DEE0E3" w:sz="2" w:space="0"/>
          <w:between w:val="single" w:color="DEE0E3" w:sz="2" w:space="0"/>
        </w:pBdr>
        <w:spacing w:before="120" w:after="120" w:line="288" w:lineRule="auto"/>
        <w:ind w:left="0"/>
      </w:pPr>
    </w:p>
    <w:p w14:paraId="4E77E3BD">
      <w:pPr>
        <w:spacing w:before="320" w:after="120" w:line="288" w:lineRule="auto"/>
        <w:ind w:left="0"/>
        <w:jc w:val="left"/>
        <w:outlineLvl w:val="1"/>
      </w:pPr>
      <w:bookmarkStart w:id="33" w:name="heading_33"/>
      <w:r>
        <w:rPr>
          <w:rFonts w:ascii="Arial" w:hAnsi="Arial" w:eastAsia="等线" w:cs="Arial"/>
          <w:b/>
          <w:sz w:val="32"/>
        </w:rPr>
        <w:t>Step 8 分类时间窗截取（Classification Window）</w:t>
      </w:r>
      <w:bookmarkEnd w:id="33"/>
    </w:p>
    <w:p w14:paraId="79118779">
      <w:pPr>
        <w:spacing w:before="300" w:after="120" w:line="288" w:lineRule="auto"/>
        <w:ind w:left="0"/>
        <w:jc w:val="left"/>
        <w:outlineLvl w:val="2"/>
      </w:pPr>
      <w:bookmarkStart w:id="34" w:name="heading_34"/>
      <w:r>
        <w:rPr>
          <w:rFonts w:ascii="Arial" w:hAnsi="Arial" w:eastAsia="等线" w:cs="Arial"/>
          <w:b/>
          <w:sz w:val="30"/>
        </w:rPr>
        <w:t>统一推理有效窗口</w:t>
      </w:r>
      <w:bookmarkEnd w:id="34"/>
    </w:p>
    <w:p w14:paraId="05604273">
      <w:pPr>
        <w:spacing w:before="120" w:after="120" w:line="288" w:lineRule="auto"/>
        <w:ind w:left="0"/>
        <w:jc w:val="left"/>
      </w:pPr>
      <w:r>
        <w:t>单试次绝对时间 t=2.0~6.0 s（共4 s）。BCI IV 2a 的 Cue 在 t=2.0 s 出现，因此该窗口等价于 Cue 后 0~4.0 s。</w:t>
      </w:r>
    </w:p>
    <w:p w14:paraId="2C119A54">
      <w:pPr>
        <w:spacing w:before="300" w:after="120" w:line="288" w:lineRule="auto"/>
        <w:ind w:left="0"/>
        <w:jc w:val="left"/>
        <w:outlineLvl w:val="2"/>
      </w:pPr>
      <w:bookmarkStart w:id="35" w:name="heading_35"/>
      <w:r>
        <w:rPr>
          <w:rFonts w:ascii="Arial" w:hAnsi="Arial" w:eastAsia="等线" w:cs="Arial"/>
          <w:b/>
          <w:sz w:val="30"/>
        </w:rPr>
        <w:t>学术依据</w:t>
      </w:r>
      <w:bookmarkEnd w:id="35"/>
    </w:p>
    <w:p w14:paraId="772C9D46">
      <w:pPr>
        <w:spacing w:before="120" w:after="120" w:line="288" w:lineRule="auto"/>
        <w:ind w:left="0"/>
        <w:jc w:val="left"/>
      </w:pPr>
      <w:r>
        <w:t>该窗口覆盖 Cue 出现后的完整4秒运动想象阶段，并排除 Cue 出现前的准备阶段；左手和右手采用完全相同的截取规则。</w:t>
      </w:r>
    </w:p>
    <w:p w14:paraId="03C874E4">
      <w:pPr>
        <w:spacing w:before="300" w:after="120" w:line="288" w:lineRule="auto"/>
        <w:ind w:left="0"/>
        <w:jc w:val="left"/>
        <w:outlineLvl w:val="2"/>
      </w:pPr>
      <w:bookmarkStart w:id="36" w:name="heading_36"/>
      <w:r>
        <w:rPr>
          <w:rFonts w:ascii="Arial" w:hAnsi="Arial" w:eastAsia="等线" w:cs="Arial"/>
          <w:b/>
          <w:sz w:val="30"/>
        </w:rPr>
        <w:t>最终有效信号</w:t>
      </w:r>
      <w:bookmarkEnd w:id="36"/>
    </w:p>
    <w:p w14:paraId="43F5960A">
      <w:pPr>
        <w:spacing w:before="120" w:after="120" w:line="288" w:lineRule="auto"/>
        <w:ind w:left="0"/>
        <w:jc w:val="left"/>
      </w:pPr>
      <w:r>
        <w:rPr>
          <w:rFonts w:ascii="Arial" w:hAnsi="Arial" w:eastAsia="等线" w:cs="Arial"/>
          <w:sz w:val="22"/>
        </w:rPr>
        <w:t>仅保留稳定 ERD/ERS 特征区间。</w:t>
      </w:r>
    </w:p>
    <w:p w14:paraId="1EFAFBC4">
      <w:pPr>
        <w:pBdr>
          <w:bottom w:val="single" w:color="DEE0E3" w:sz="2" w:space="0"/>
          <w:between w:val="single" w:color="DEE0E3" w:sz="2" w:space="0"/>
        </w:pBdr>
        <w:spacing w:before="120" w:after="120" w:line="288" w:lineRule="auto"/>
        <w:ind w:left="0"/>
      </w:pPr>
    </w:p>
    <w:p w14:paraId="1513DBD4">
      <w:pPr>
        <w:spacing w:before="320" w:after="120" w:line="288" w:lineRule="auto"/>
        <w:ind w:left="0"/>
        <w:jc w:val="left"/>
        <w:outlineLvl w:val="1"/>
      </w:pPr>
      <w:bookmarkStart w:id="37" w:name="heading_37"/>
      <w:r>
        <w:rPr>
          <w:rFonts w:ascii="Arial" w:hAnsi="Arial" w:eastAsia="等线" w:cs="Arial"/>
          <w:b/>
          <w:sz w:val="32"/>
        </w:rPr>
        <w:t>Step 9 全局统一重采样 Resampling</w:t>
      </w:r>
      <w:bookmarkEnd w:id="37"/>
    </w:p>
    <w:p w14:paraId="363D6C06">
      <w:pPr>
        <w:spacing w:before="300" w:after="120" w:line="288" w:lineRule="auto"/>
        <w:ind w:left="0"/>
        <w:jc w:val="left"/>
        <w:outlineLvl w:val="2"/>
      </w:pPr>
      <w:bookmarkStart w:id="38" w:name="heading_38"/>
      <w:r>
        <w:rPr>
          <w:rFonts w:ascii="Arial" w:hAnsi="Arial" w:eastAsia="等线" w:cs="Arial"/>
          <w:b/>
          <w:sz w:val="30"/>
        </w:rPr>
        <w:t>统一采样率</w:t>
      </w:r>
      <w:bookmarkEnd w:id="38"/>
    </w:p>
    <w:p w14:paraId="4D115D53">
      <w:pPr>
        <w:spacing w:before="120" w:after="120" w:line="288" w:lineRule="auto"/>
        <w:ind w:left="0"/>
        <w:jc w:val="left"/>
      </w:pPr>
      <w:r>
        <w:rPr>
          <w:rFonts w:hint="eastAsia" w:ascii="Arial" w:hAnsi="Arial" w:eastAsia="等线" w:cs="Arial"/>
          <w:b/>
          <w:sz w:val="22"/>
          <w:lang w:val="en-US" w:eastAsia="zh-CN"/>
        </w:rPr>
        <w:t>250</w:t>
      </w:r>
      <w:bookmarkStart w:id="61" w:name="_GoBack"/>
      <w:bookmarkEnd w:id="61"/>
      <w:r>
        <w:rPr>
          <w:rFonts w:ascii="Arial" w:hAnsi="Arial" w:eastAsia="等线" w:cs="Arial"/>
          <w:b/>
          <w:sz w:val="22"/>
        </w:rPr>
        <w:t xml:space="preserve"> Hz</w:t>
      </w:r>
    </w:p>
    <w:p w14:paraId="4C08984F">
      <w:pPr>
        <w:spacing w:before="300" w:after="120" w:line="288" w:lineRule="auto"/>
        <w:ind w:left="0"/>
        <w:jc w:val="left"/>
        <w:outlineLvl w:val="2"/>
      </w:pPr>
      <w:bookmarkStart w:id="39" w:name="heading_39"/>
      <w:r>
        <w:rPr>
          <w:rFonts w:ascii="Arial" w:hAnsi="Arial" w:eastAsia="等线" w:cs="Arial"/>
          <w:b/>
          <w:sz w:val="30"/>
        </w:rPr>
        <w:t>适配所有原始采样率</w:t>
      </w:r>
      <w:bookmarkEnd w:id="39"/>
    </w:p>
    <w:p w14:paraId="2FE9FC26">
      <w:pPr>
        <w:numPr>
          <w:ilvl w:val="0"/>
          <w:numId w:val="35"/>
        </w:numPr>
        <w:spacing w:before="120" w:after="120" w:line="288" w:lineRule="auto"/>
        <w:ind w:left="0"/>
        <w:jc w:val="left"/>
      </w:pPr>
      <w:r>
        <w:t>BCI IV 2a（250 Hz）保持 250 Hz</w:t>
      </w:r>
    </w:p>
    <w:p w14:paraId="30A24FE1">
      <w:pPr>
        <w:numPr>
          <w:ilvl w:val="0"/>
          <w:numId w:val="36"/>
        </w:numPr>
        <w:spacing w:before="120" w:after="120" w:line="288" w:lineRule="auto"/>
        <w:ind w:left="0"/>
        <w:jc w:val="left"/>
      </w:pPr>
      <w:r>
        <w:rPr>
          <w:rFonts w:ascii="Arial" w:hAnsi="Arial" w:eastAsia="等线" w:cs="Arial"/>
          <w:sz w:val="22"/>
        </w:rPr>
        <w:t>OpenBMI（1000 Hz）↓ 降采</w:t>
      </w:r>
    </w:p>
    <w:p w14:paraId="44615667">
      <w:pPr>
        <w:numPr>
          <w:ilvl w:val="0"/>
          <w:numId w:val="37"/>
        </w:numPr>
        <w:spacing w:before="120" w:after="120" w:line="288" w:lineRule="auto"/>
        <w:ind w:left="0"/>
        <w:jc w:val="left"/>
      </w:pPr>
      <w:r>
        <w:t>OpenBCI（250 Hz）保持 250 Hz</w:t>
      </w:r>
    </w:p>
    <w:p w14:paraId="02906ABF">
      <w:pPr>
        <w:spacing w:before="300" w:after="120" w:line="288" w:lineRule="auto"/>
        <w:ind w:left="0"/>
        <w:jc w:val="left"/>
        <w:outlineLvl w:val="2"/>
      </w:pPr>
      <w:bookmarkStart w:id="40" w:name="heading_40"/>
      <w:r>
        <w:rPr>
          <w:rFonts w:ascii="Arial" w:hAnsi="Arial" w:eastAsia="等线" w:cs="Arial"/>
          <w:b/>
          <w:sz w:val="30"/>
        </w:rPr>
        <w:t>固定时间点长度</w:t>
      </w:r>
      <w:bookmarkEnd w:id="40"/>
    </w:p>
    <w:p w14:paraId="7DAE1B1A">
      <w:pPr>
        <w:spacing w:before="120" w:after="120" w:line="288" w:lineRule="auto"/>
        <w:ind w:left="0"/>
        <w:jc w:val="left"/>
      </w:pPr>
      <w:r>
        <w:t>4 s × 250 Hz = 1000 时间点</w:t>
      </w:r>
    </w:p>
    <w:p w14:paraId="31258748">
      <w:pPr>
        <w:spacing w:before="300" w:after="120" w:line="288" w:lineRule="auto"/>
        <w:ind w:left="0"/>
        <w:jc w:val="left"/>
        <w:outlineLvl w:val="2"/>
      </w:pPr>
      <w:bookmarkStart w:id="41" w:name="heading_41"/>
      <w:r>
        <w:rPr>
          <w:rFonts w:ascii="Arial" w:hAnsi="Arial" w:eastAsia="等线" w:cs="Arial"/>
          <w:b/>
          <w:sz w:val="30"/>
        </w:rPr>
        <w:t>最终固定尺寸</w:t>
      </w:r>
      <w:bookmarkEnd w:id="41"/>
    </w:p>
    <w:p w14:paraId="185E924F">
      <w:pPr>
        <w:spacing w:before="120" w:after="120" w:line="288" w:lineRule="auto"/>
        <w:ind w:left="0"/>
        <w:jc w:val="left"/>
      </w:pPr>
      <w:r>
        <w:t>单样本：8 通道 × 1000 时间步</w:t>
      </w:r>
    </w:p>
    <w:p w14:paraId="497C3354">
      <w:pPr>
        <w:spacing w:before="120" w:after="120" w:line="288" w:lineRule="auto"/>
        <w:ind w:left="0"/>
        <w:jc w:val="left"/>
      </w:pPr>
      <w:r>
        <w:rPr>
          <w:rFonts w:ascii="Arial" w:hAnsi="Arial" w:eastAsia="等线" w:cs="Arial"/>
          <w:sz w:val="22"/>
        </w:rPr>
        <w:t>彻底解决：不同设备时序维度不一致问题。</w:t>
      </w:r>
    </w:p>
    <w:p w14:paraId="53121D1C">
      <w:pPr>
        <w:pBdr>
          <w:bottom w:val="single" w:color="DEE0E3" w:sz="2" w:space="0"/>
          <w:between w:val="single" w:color="DEE0E3" w:sz="2" w:space="0"/>
        </w:pBdr>
        <w:spacing w:before="120" w:after="120" w:line="288" w:lineRule="auto"/>
        <w:ind w:left="0"/>
      </w:pPr>
    </w:p>
    <w:p w14:paraId="63624862">
      <w:pPr>
        <w:spacing w:before="320" w:after="120" w:line="288" w:lineRule="auto"/>
        <w:ind w:left="0"/>
        <w:jc w:val="left"/>
        <w:outlineLvl w:val="1"/>
      </w:pPr>
      <w:bookmarkStart w:id="42" w:name="heading_42"/>
      <w:r>
        <w:rPr>
          <w:rFonts w:ascii="Arial" w:hAnsi="Arial" w:eastAsia="等线" w:cs="Arial"/>
          <w:b/>
          <w:sz w:val="32"/>
        </w:rPr>
        <w:t>Step 10 单试次 Z-score 标准化（Trial-wise Z-score）</w:t>
      </w:r>
      <w:bookmarkEnd w:id="42"/>
    </w:p>
    <w:p w14:paraId="787CE6F2">
      <w:pPr>
        <w:spacing w:before="300" w:after="120" w:line="288" w:lineRule="auto"/>
        <w:ind w:left="0"/>
        <w:jc w:val="left"/>
        <w:outlineLvl w:val="2"/>
      </w:pPr>
      <w:bookmarkStart w:id="43" w:name="heading_43"/>
      <w:r>
        <w:rPr>
          <w:rFonts w:ascii="Arial" w:hAnsi="Arial" w:eastAsia="等线" w:cs="Arial"/>
          <w:b/>
          <w:sz w:val="30"/>
        </w:rPr>
        <w:t>计算公式（单通道、单试次、时间维度）</w:t>
      </w:r>
      <w:bookmarkEnd w:id="43"/>
    </w:p>
    <w:p w14:paraId="188E2DD2">
      <w:pPr>
        <w:spacing w:before="300" w:after="120" w:line="288" w:lineRule="auto"/>
        <w:ind w:left="0"/>
        <w:jc w:val="left"/>
        <w:outlineLvl w:val="2"/>
      </w:pPr>
      <w:bookmarkStart w:id="44" w:name="heading_44"/>
      <w:r>
        <w:rPr>
          <w:rFonts w:ascii="Arial" w:hAnsi="Arial" w:eastAsia="等线" w:cs="Arial"/>
          <w:b/>
          <w:sz w:val="30"/>
        </w:rPr>
        <w:t>与基线校正的核心区别（论文必写区分点）</w:t>
      </w:r>
      <w:bookmarkEnd w:id="44"/>
    </w:p>
    <w:p w14:paraId="10F59410">
      <w:pPr>
        <w:numPr>
          <w:ilvl w:val="0"/>
          <w:numId w:val="38"/>
        </w:numPr>
        <w:spacing w:before="120" w:after="120" w:line="288" w:lineRule="auto"/>
        <w:ind w:left="0"/>
        <w:jc w:val="left"/>
      </w:pPr>
      <w:r>
        <w:rPr>
          <w:rFonts w:ascii="Arial" w:hAnsi="Arial" w:eastAsia="等线" w:cs="Arial"/>
          <w:b/>
          <w:sz w:val="22"/>
        </w:rPr>
        <w:t>Baseline Correction</w:t>
      </w:r>
    </w:p>
    <w:p w14:paraId="5543ADF1">
      <w:pPr>
        <w:numPr>
          <w:ilvl w:val="0"/>
          <w:numId w:val="39"/>
        </w:numPr>
        <w:spacing w:before="120" w:after="120" w:line="288" w:lineRule="auto"/>
        <w:ind w:left="0"/>
        <w:jc w:val="left"/>
      </w:pPr>
      <w:r>
        <w:rPr>
          <w:rFonts w:ascii="Arial" w:hAnsi="Arial" w:eastAsia="等线" w:cs="Arial"/>
          <w:sz w:val="22"/>
        </w:rPr>
        <w:t>用「前置静息段」</w:t>
      </w:r>
    </w:p>
    <w:p w14:paraId="2FFB540D">
      <w:pPr>
        <w:numPr>
          <w:ilvl w:val="0"/>
          <w:numId w:val="40"/>
        </w:numPr>
        <w:spacing w:before="120" w:after="120" w:line="288" w:lineRule="auto"/>
        <w:ind w:left="0"/>
        <w:jc w:val="left"/>
      </w:pPr>
      <w:r>
        <w:rPr>
          <w:rFonts w:ascii="Arial" w:hAnsi="Arial" w:eastAsia="等线" w:cs="Arial"/>
          <w:sz w:val="22"/>
        </w:rPr>
        <w:t>去除</w:t>
      </w:r>
      <w:r>
        <w:rPr>
          <w:rFonts w:ascii="Arial" w:hAnsi="Arial" w:eastAsia="等线" w:cs="Arial"/>
          <w:b/>
          <w:sz w:val="22"/>
        </w:rPr>
        <w:t>设备 / 生理直流偏移</w:t>
      </w:r>
    </w:p>
    <w:p w14:paraId="0AA82AC5">
      <w:pPr>
        <w:numPr>
          <w:ilvl w:val="0"/>
          <w:numId w:val="41"/>
        </w:numPr>
        <w:spacing w:before="120" w:after="120" w:line="288" w:lineRule="auto"/>
        <w:ind w:left="0"/>
        <w:jc w:val="left"/>
      </w:pPr>
      <w:r>
        <w:rPr>
          <w:rFonts w:ascii="Arial" w:hAnsi="Arial" w:eastAsia="等线" w:cs="Arial"/>
          <w:b/>
          <w:sz w:val="22"/>
        </w:rPr>
        <w:t>Trial-wise Z-score</w:t>
      </w:r>
    </w:p>
    <w:p w14:paraId="2D2719ED">
      <w:pPr>
        <w:numPr>
          <w:ilvl w:val="0"/>
          <w:numId w:val="42"/>
        </w:numPr>
        <w:spacing w:before="120" w:after="120" w:line="288" w:lineRule="auto"/>
        <w:ind w:left="0"/>
        <w:jc w:val="left"/>
      </w:pPr>
      <w:r>
        <w:rPr>
          <w:rFonts w:ascii="Arial" w:hAnsi="Arial" w:eastAsia="等线" w:cs="Arial"/>
          <w:sz w:val="22"/>
        </w:rPr>
        <w:t>用「有效分类整段数据」</w:t>
      </w:r>
    </w:p>
    <w:p w14:paraId="09F79EC0">
      <w:pPr>
        <w:numPr>
          <w:ilvl w:val="0"/>
          <w:numId w:val="43"/>
        </w:numPr>
        <w:spacing w:before="120" w:after="120" w:line="288" w:lineRule="auto"/>
        <w:ind w:left="0"/>
        <w:jc w:val="left"/>
      </w:pPr>
      <w:r>
        <w:rPr>
          <w:rFonts w:ascii="Arial" w:hAnsi="Arial" w:eastAsia="等线" w:cs="Arial"/>
          <w:sz w:val="22"/>
        </w:rPr>
        <w:t>归一化</w:t>
      </w:r>
      <w:r>
        <w:rPr>
          <w:rFonts w:ascii="Arial" w:hAnsi="Arial" w:eastAsia="等线" w:cs="Arial"/>
          <w:b/>
          <w:sz w:val="22"/>
        </w:rPr>
        <w:t>试次间幅值差异</w:t>
      </w:r>
      <w:r>
        <w:rPr>
          <w:rFonts w:ascii="Arial" w:hAnsi="Arial" w:eastAsia="等线" w:cs="Arial"/>
          <w:sz w:val="22"/>
        </w:rPr>
        <w:t>、加速收敛、统一分布域</w:t>
      </w:r>
    </w:p>
    <w:p w14:paraId="0F4C4DB2">
      <w:pPr>
        <w:spacing w:before="300" w:after="120" w:line="288" w:lineRule="auto"/>
        <w:ind w:left="0"/>
        <w:jc w:val="left"/>
        <w:outlineLvl w:val="2"/>
      </w:pPr>
      <w:bookmarkStart w:id="45" w:name="heading_45"/>
      <w:r>
        <w:rPr>
          <w:rFonts w:ascii="Arial" w:hAnsi="Arial" w:eastAsia="等线" w:cs="Arial"/>
          <w:b/>
          <w:sz w:val="30"/>
        </w:rPr>
        <w:t>作用</w:t>
      </w:r>
      <w:bookmarkEnd w:id="45"/>
    </w:p>
    <w:p w14:paraId="1614AB47">
      <w:pPr>
        <w:spacing w:before="120" w:after="120" w:line="288" w:lineRule="auto"/>
        <w:ind w:left="0"/>
        <w:jc w:val="left"/>
      </w:pPr>
      <w:r>
        <w:rPr>
          <w:rFonts w:ascii="Arial" w:hAnsi="Arial" w:eastAsia="等线" w:cs="Arial"/>
          <w:sz w:val="22"/>
        </w:rPr>
        <w:t>消除不同被试、不同会话脑电幅值差异，实现</w:t>
      </w:r>
      <w:r>
        <w:rPr>
          <w:rFonts w:ascii="Arial" w:hAnsi="Arial" w:eastAsia="等线" w:cs="Arial"/>
          <w:b/>
          <w:sz w:val="22"/>
        </w:rPr>
        <w:t>全局数据域对齐</w:t>
      </w:r>
      <w:r>
        <w:rPr>
          <w:rFonts w:ascii="Arial" w:hAnsi="Arial" w:eastAsia="等线" w:cs="Arial"/>
          <w:sz w:val="22"/>
        </w:rPr>
        <w:t>。</w:t>
      </w:r>
    </w:p>
    <w:p w14:paraId="28280570">
      <w:pPr>
        <w:pBdr>
          <w:bottom w:val="single" w:color="DEE0E3" w:sz="2" w:space="0"/>
          <w:between w:val="single" w:color="DEE0E3" w:sz="2" w:space="0"/>
        </w:pBdr>
        <w:spacing w:before="120" w:after="120" w:line="288" w:lineRule="auto"/>
        <w:ind w:left="0"/>
      </w:pPr>
    </w:p>
    <w:p w14:paraId="5AF870FD">
      <w:pPr>
        <w:spacing w:before="320" w:after="120" w:line="288" w:lineRule="auto"/>
        <w:ind w:left="0"/>
        <w:jc w:val="left"/>
        <w:outlineLvl w:val="1"/>
      </w:pPr>
      <w:bookmarkStart w:id="46" w:name="heading_46"/>
      <w:r>
        <w:rPr>
          <w:rFonts w:ascii="Arial" w:hAnsi="Arial" w:eastAsia="等线" w:cs="Arial"/>
          <w:b/>
          <w:sz w:val="32"/>
        </w:rPr>
        <w:t>Step 11 张量维度规整（Tensor Formatting）</w:t>
      </w:r>
      <w:bookmarkEnd w:id="46"/>
    </w:p>
    <w:p w14:paraId="5E6112CD">
      <w:pPr>
        <w:spacing w:before="300" w:after="120" w:line="288" w:lineRule="auto"/>
        <w:ind w:left="0"/>
        <w:jc w:val="left"/>
        <w:outlineLvl w:val="2"/>
      </w:pPr>
      <w:bookmarkStart w:id="47" w:name="heading_47"/>
      <w:r>
        <w:rPr>
          <w:rFonts w:ascii="Arial" w:hAnsi="Arial" w:eastAsia="等线" w:cs="Arial"/>
          <w:b/>
          <w:sz w:val="30"/>
        </w:rPr>
        <w:t>适配 EEGNet 标准输入（PyTorch）</w:t>
      </w:r>
      <w:bookmarkEnd w:id="47"/>
    </w:p>
    <w:p w14:paraId="67822014">
      <w:pPr>
        <w:spacing w:before="120" w:after="120" w:line="288" w:lineRule="auto"/>
        <w:ind w:left="0"/>
        <w:jc w:val="left"/>
      </w:pPr>
      <w:r>
        <w:rPr>
          <w:rFonts w:ascii="Arial" w:hAnsi="Arial" w:eastAsia="等线" w:cs="Arial"/>
          <w:sz w:val="22"/>
        </w:rPr>
        <w:t>统一维度：</w:t>
      </w:r>
    </w:p>
    <w:p w14:paraId="34B5994B">
      <w:pPr>
        <w:numPr>
          <w:ilvl w:val="0"/>
          <w:numId w:val="44"/>
        </w:numPr>
        <w:spacing w:before="120" w:after="120" w:line="288" w:lineRule="auto"/>
        <w:ind w:left="0"/>
        <w:jc w:val="left"/>
      </w:pPr>
      <w:r>
        <w:rPr>
          <w:rFonts w:ascii="Arial" w:hAnsi="Arial" w:eastAsia="等线" w:cs="Arial"/>
          <w:sz w:val="22"/>
        </w:rPr>
        <w:t>N：批次大小</w:t>
      </w:r>
    </w:p>
    <w:p w14:paraId="5359C2D8">
      <w:pPr>
        <w:numPr>
          <w:ilvl w:val="0"/>
          <w:numId w:val="45"/>
        </w:numPr>
        <w:spacing w:before="120" w:after="120" w:line="288" w:lineRule="auto"/>
        <w:ind w:left="0"/>
        <w:jc w:val="left"/>
      </w:pPr>
      <w:r>
        <w:rPr>
          <w:rFonts w:ascii="Arial" w:hAnsi="Arial" w:eastAsia="等线" w:cs="Arial"/>
          <w:sz w:val="22"/>
        </w:rPr>
        <w:t>1：特征维度（EEGNet 固定）</w:t>
      </w:r>
    </w:p>
    <w:p w14:paraId="067667EA">
      <w:pPr>
        <w:numPr>
          <w:ilvl w:val="0"/>
          <w:numId w:val="46"/>
        </w:numPr>
        <w:spacing w:before="120" w:after="120" w:line="288" w:lineRule="auto"/>
        <w:ind w:left="0"/>
        <w:jc w:val="left"/>
      </w:pPr>
      <w:r>
        <w:rPr>
          <w:rFonts w:ascii="Arial" w:hAnsi="Arial" w:eastAsia="等线" w:cs="Arial"/>
          <w:sz w:val="22"/>
        </w:rPr>
        <w:t>C=8：固定通道</w:t>
      </w:r>
    </w:p>
    <w:p w14:paraId="4AE0835E">
      <w:pPr>
        <w:numPr>
          <w:ilvl w:val="0"/>
          <w:numId w:val="47"/>
        </w:numPr>
        <w:spacing w:before="120" w:after="120" w:line="288" w:lineRule="auto"/>
        <w:ind w:left="0"/>
        <w:jc w:val="left"/>
      </w:pPr>
      <w:r>
        <w:t>T=1000：固定时序长度</w:t>
      </w:r>
    </w:p>
    <w:p w14:paraId="1C161DC9">
      <w:pPr>
        <w:spacing w:before="120" w:after="120" w:line="288" w:lineRule="auto"/>
        <w:ind w:left="0"/>
        <w:jc w:val="left"/>
      </w:pPr>
      <w:r>
        <w:rPr>
          <w:rFonts w:ascii="Arial" w:hAnsi="Arial" w:eastAsia="等线" w:cs="Arial"/>
          <w:sz w:val="22"/>
        </w:rPr>
        <w:t>所有数据集、所有设备输出张量</w:t>
      </w:r>
      <w:r>
        <w:rPr>
          <w:rFonts w:ascii="Arial" w:hAnsi="Arial" w:eastAsia="等线" w:cs="Arial"/>
          <w:b/>
          <w:sz w:val="22"/>
        </w:rPr>
        <w:t>维度完全一致</w:t>
      </w:r>
      <w:r>
        <w:rPr>
          <w:rFonts w:ascii="Arial" w:hAnsi="Arial" w:eastAsia="等线" w:cs="Arial"/>
          <w:sz w:val="22"/>
        </w:rPr>
        <w:t>。</w:t>
      </w:r>
    </w:p>
    <w:p w14:paraId="238D7FB6">
      <w:pPr>
        <w:pBdr>
          <w:bottom w:val="single" w:color="DEE0E3" w:sz="2" w:space="0"/>
          <w:between w:val="single" w:color="DEE0E3" w:sz="2" w:space="0"/>
        </w:pBdr>
        <w:spacing w:before="120" w:after="120" w:line="288" w:lineRule="auto"/>
        <w:ind w:left="0"/>
      </w:pPr>
    </w:p>
    <w:p w14:paraId="5FE20EB7">
      <w:pPr>
        <w:spacing w:before="320" w:after="120" w:line="288" w:lineRule="auto"/>
        <w:ind w:left="0"/>
        <w:jc w:val="left"/>
        <w:outlineLvl w:val="1"/>
      </w:pPr>
      <w:bookmarkStart w:id="48" w:name="heading_48"/>
      <w:r>
        <w:rPr>
          <w:rFonts w:ascii="Arial" w:hAnsi="Arial" w:eastAsia="等线" w:cs="Arial"/>
          <w:b/>
          <w:sz w:val="32"/>
        </w:rPr>
        <w:t>Step 12 数据集划分（Train/Val/Test）</w:t>
      </w:r>
      <w:bookmarkEnd w:id="48"/>
    </w:p>
    <w:p w14:paraId="0BCD3C48">
      <w:pPr>
        <w:spacing w:before="300" w:after="120" w:line="288" w:lineRule="auto"/>
        <w:ind w:left="0"/>
        <w:jc w:val="left"/>
        <w:outlineLvl w:val="2"/>
      </w:pPr>
      <w:bookmarkStart w:id="49" w:name="heading_49"/>
      <w:r>
        <w:rPr>
          <w:rFonts w:ascii="Arial" w:hAnsi="Arial" w:eastAsia="等线" w:cs="Arial"/>
          <w:b/>
          <w:sz w:val="30"/>
        </w:rPr>
        <w:t>划分规则</w:t>
      </w:r>
      <w:bookmarkEnd w:id="49"/>
    </w:p>
    <w:p w14:paraId="6465FED0">
      <w:pPr>
        <w:numPr>
          <w:ilvl w:val="0"/>
          <w:numId w:val="48"/>
        </w:numPr>
        <w:spacing w:before="120" w:after="120" w:line="288" w:lineRule="auto"/>
        <w:ind w:left="0"/>
        <w:jc w:val="left"/>
      </w:pPr>
      <w:r>
        <w:rPr>
          <w:rFonts w:ascii="Arial" w:hAnsi="Arial" w:eastAsia="等线" w:cs="Arial"/>
          <w:sz w:val="22"/>
        </w:rPr>
        <w:t>按被试划分（严格跨试次泛化）</w:t>
      </w:r>
    </w:p>
    <w:p w14:paraId="1A43D0FF">
      <w:pPr>
        <w:numPr>
          <w:ilvl w:val="0"/>
          <w:numId w:val="49"/>
        </w:numPr>
        <w:spacing w:before="120" w:after="120" w:line="288" w:lineRule="auto"/>
        <w:ind w:left="0"/>
        <w:jc w:val="left"/>
      </w:pPr>
      <w:r>
        <w:rPr>
          <w:rFonts w:ascii="Arial" w:hAnsi="Arial" w:eastAsia="等线" w:cs="Arial"/>
          <w:sz w:val="22"/>
        </w:rPr>
        <w:t>不随机打乱跨被试数据</w:t>
      </w:r>
    </w:p>
    <w:p w14:paraId="02F02A5B">
      <w:pPr>
        <w:numPr>
          <w:ilvl w:val="0"/>
          <w:numId w:val="50"/>
        </w:numPr>
        <w:spacing w:before="120" w:after="120" w:line="288" w:lineRule="auto"/>
        <w:ind w:left="0"/>
        <w:jc w:val="left"/>
      </w:pPr>
      <w:r>
        <w:rPr>
          <w:rFonts w:ascii="Arial" w:hAnsi="Arial" w:eastAsia="等线" w:cs="Arial"/>
          <w:sz w:val="22"/>
        </w:rPr>
        <w:t>保证验证测试为完全未知分布</w:t>
      </w:r>
    </w:p>
    <w:p w14:paraId="4C5F17C1">
      <w:pPr>
        <w:spacing w:before="120" w:after="120" w:line="288" w:lineRule="auto"/>
        <w:ind w:left="0"/>
        <w:jc w:val="left"/>
      </w:pPr>
      <w:r>
        <w:rPr>
          <w:rFonts w:ascii="Arial" w:hAnsi="Arial" w:eastAsia="等线" w:cs="Arial"/>
          <w:sz w:val="22"/>
        </w:rPr>
        <w:t>输出：可直接用于 EEGNet 离线通用预训练。</w:t>
      </w:r>
    </w:p>
    <w:p w14:paraId="3F21B7FA">
      <w:pPr>
        <w:pBdr>
          <w:bottom w:val="single" w:color="DEE0E3" w:sz="2" w:space="0"/>
          <w:between w:val="single" w:color="DEE0E3" w:sz="2" w:space="0"/>
        </w:pBdr>
        <w:spacing w:before="120" w:after="120" w:line="288" w:lineRule="auto"/>
        <w:ind w:left="0"/>
      </w:pPr>
    </w:p>
    <w:p w14:paraId="46B63641">
      <w:pPr>
        <w:spacing w:before="380" w:after="140" w:line="288" w:lineRule="auto"/>
        <w:ind w:left="0"/>
        <w:jc w:val="left"/>
        <w:outlineLvl w:val="0"/>
      </w:pPr>
      <w:bookmarkStart w:id="50" w:name="heading_50"/>
      <w:r>
        <w:rPr>
          <w:rFonts w:ascii="Arial" w:hAnsi="Arial" w:eastAsia="等线" w:cs="Arial"/>
          <w:b/>
          <w:sz w:val="36"/>
        </w:rPr>
        <w:t>关键学术区分（论文专用・极易混淆考点）</w:t>
      </w:r>
      <w:bookmarkEnd w:id="50"/>
    </w:p>
    <w:p w14:paraId="3C1EB765">
      <w:pPr>
        <w:spacing w:before="320" w:after="120" w:line="288" w:lineRule="auto"/>
        <w:ind w:left="0"/>
        <w:jc w:val="left"/>
        <w:outlineLvl w:val="1"/>
      </w:pPr>
      <w:bookmarkStart w:id="51" w:name="heading_51"/>
      <w:r>
        <w:rPr>
          <w:rFonts w:ascii="Arial" w:hAnsi="Arial" w:eastAsia="等线" w:cs="Arial"/>
          <w:b/>
          <w:sz w:val="32"/>
        </w:rPr>
        <w:t>1. CAR重参考、基线校正、Z-score标准化三者核心区别（三维度学术辨析）</w:t>
      </w:r>
      <w:bookmarkEnd w:id="51"/>
    </w:p>
    <w:p w14:paraId="2898ECD0">
      <w:pPr>
        <w:spacing w:before="120" w:after="120" w:line="288" w:lineRule="auto"/>
        <w:ind w:left="0"/>
        <w:jc w:val="left"/>
      </w:pPr>
      <w:r>
        <w:rPr>
          <w:rFonts w:ascii="Arial" w:hAnsi="Arial" w:eastAsia="等线" w:cs="Arial"/>
          <w:sz w:val="22"/>
        </w:rPr>
        <w:t>在EEG运动想象预处理流程中，CAR公共平均重参考、基线校正、单试次Z-score标准化为三个独立且不可替代的操作，分别对应</w:t>
      </w:r>
      <w:r>
        <w:rPr>
          <w:rFonts w:ascii="Arial" w:hAnsi="Arial" w:eastAsia="等线" w:cs="Arial"/>
          <w:b/>
          <w:sz w:val="22"/>
        </w:rPr>
        <w:t>空间噪声修正、物理基线偏移消除、数据分布归一化</w:t>
      </w:r>
      <w:r>
        <w:rPr>
          <w:rFonts w:ascii="Arial" w:hAnsi="Arial" w:eastAsia="等线" w:cs="Arial"/>
          <w:sz w:val="22"/>
        </w:rPr>
        <w:t>三个不同层级。为明确三者本质差异、支撑论文严谨性，以下给出</w:t>
      </w:r>
      <w:r>
        <w:rPr>
          <w:rFonts w:ascii="Arial" w:hAnsi="Arial" w:eastAsia="等线" w:cs="Arial"/>
          <w:b/>
          <w:sz w:val="22"/>
        </w:rPr>
        <w:t>统一公式、变量释义、计算区间与核心特性</w:t>
      </w:r>
      <w:r>
        <w:rPr>
          <w:rFonts w:ascii="Arial" w:hAnsi="Arial" w:eastAsia="等线" w:cs="Arial"/>
          <w:sz w:val="22"/>
        </w:rPr>
        <w:t>的完整对比辨析：</w:t>
      </w:r>
    </w:p>
    <w:p w14:paraId="2BDF7599">
      <w:pPr>
        <w:spacing w:before="300" w:after="120" w:line="288" w:lineRule="auto"/>
        <w:ind w:left="0"/>
        <w:jc w:val="left"/>
        <w:outlineLvl w:val="2"/>
      </w:pPr>
      <w:bookmarkStart w:id="52" w:name="heading_52"/>
      <w:r>
        <w:rPr>
          <w:rFonts w:ascii="Arial" w:hAnsi="Arial" w:eastAsia="等线" w:cs="Arial"/>
          <w:b/>
          <w:sz w:val="30"/>
        </w:rPr>
        <w:t>（1）CAR公共平均重参考（空间层级修正｜全域空间降噪）</w:t>
      </w:r>
      <w:bookmarkEnd w:id="52"/>
    </w:p>
    <w:p w14:paraId="6A974D80">
      <w:pPr>
        <w:spacing w:before="120" w:after="120" w:line="288" w:lineRule="auto"/>
        <w:ind w:left="0"/>
        <w:jc w:val="left"/>
      </w:pPr>
      <w:r>
        <w:rPr>
          <w:rFonts w:ascii="Arial" w:hAnsi="Arial" w:eastAsia="等线" w:cs="Arial"/>
          <w:b/>
          <w:sz w:val="22"/>
        </w:rPr>
        <w:t>核心公式</w:t>
      </w:r>
    </w:p>
    <w:p w14:paraId="11CF7650">
      <w:pPr>
        <w:spacing w:before="120" w:after="120" w:line="288" w:lineRule="auto"/>
        <w:ind w:left="0"/>
        <w:jc w:val="left"/>
      </w:pPr>
      <m:oMathPara>
        <m:oMathParaPr>
          <m:jc m:val="left"/>
        </m:oMathParaPr>
        <m:oMath>
          <m:sSub>
            <m:sSubPr/>
            <m:e>
              <m:r>
                <m:rPr/>
                <w:rPr>
                  <w:rFonts w:ascii="Cambria Math" w:hAnsi="Cambria Math"/>
                </w:rPr>
                <m:t>x</m:t>
              </m:r>
            </m:e>
            <m:sub>
              <m:r>
                <m:rPr/>
                <w:rPr>
                  <w:rFonts w:ascii="Cambria Math" w:hAnsi="Cambria Math"/>
                </w:rPr>
                <m:t>CAR</m:t>
              </m:r>
            </m:sub>
          </m:sSub>
          <m:r>
            <m:rPr/>
            <w:rPr>
              <w:rFonts w:ascii="Cambria Math" w:hAnsi="Cambria Math"/>
            </w:rPr>
            <m:t>(t)=</m:t>
          </m:r>
          <m:sSub>
            <m:sSubPr/>
            <m:e>
              <m:r>
                <m:rPr/>
                <w:rPr>
                  <w:rFonts w:ascii="Cambria Math" w:hAnsi="Cambria Math"/>
                </w:rPr>
                <m:t>x</m:t>
              </m:r>
            </m:e>
            <m:sub>
              <m:r>
                <m:rPr/>
                <w:rPr>
                  <w:rFonts w:ascii="Cambria Math" w:hAnsi="Cambria Math"/>
                </w:rPr>
                <m:t>raw</m:t>
              </m:r>
            </m:sub>
          </m:sSub>
          <m:r>
            <m:rPr/>
            <w:rPr>
              <w:rFonts w:ascii="Cambria Math" w:hAnsi="Cambria Math"/>
            </w:rPr>
            <m:t>(t)−</m:t>
          </m:r>
          <m:f>
            <m:fPr/>
            <m:num>
              <m:r>
                <m:rPr/>
                <w:rPr>
                  <w:rFonts w:ascii="Cambria Math" w:hAnsi="Cambria Math"/>
                </w:rPr>
                <m:t>1</m:t>
              </m:r>
            </m:num>
            <m:den>
              <m:r>
                <m:rPr/>
                <w:rPr>
                  <w:rFonts w:ascii="Cambria Math" w:hAnsi="Cambria Math"/>
                </w:rPr>
                <m:t>C</m:t>
              </m:r>
            </m:den>
          </m:f>
          <m:nary>
            <m:naryPr>
              <m:chr m:val="∑"/>
              <m:grow m:val="1"/>
              <m:limLoc m:val="undOvr"/>
            </m:naryPr>
            <m:sub>
              <m:r>
                <m:rPr/>
                <w:rPr>
                  <w:rFonts w:ascii="Cambria Math" w:hAnsi="Cambria Math"/>
                </w:rPr>
                <m:t>i=1</m:t>
              </m:r>
            </m:sub>
            <m:sup>
              <m:r>
                <m:rPr/>
                <w:rPr>
                  <w:rFonts w:ascii="Cambria Math" w:hAnsi="Cambria Math"/>
                </w:rPr>
                <m:t>C</m:t>
              </m:r>
            </m:sup>
            <m:e/>
          </m:nary>
          <m:sSub>
            <m:sSubPr/>
            <m:e>
              <m:r>
                <m:rPr/>
                <w:rPr>
                  <w:rFonts w:ascii="Cambria Math" w:hAnsi="Cambria Math"/>
                </w:rPr>
                <m:t>x</m:t>
              </m:r>
            </m:e>
            <m:sub>
              <m:r>
                <m:rPr/>
                <w:rPr>
                  <w:rFonts w:ascii="Cambria Math" w:hAnsi="Cambria Math"/>
                </w:rPr>
                <m:t>i</m:t>
              </m:r>
            </m:sub>
          </m:sSub>
          <m:r>
            <m:rPr/>
            <w:rPr>
              <w:rFonts w:ascii="Cambria Math" w:hAnsi="Cambria Math"/>
            </w:rPr>
            <m:t>(t)</m:t>
          </m:r>
        </m:oMath>
      </m:oMathPara>
    </w:p>
    <w:p w14:paraId="1AFBD845">
      <w:pPr>
        <w:spacing w:before="120" w:after="120" w:line="288" w:lineRule="auto"/>
        <w:ind w:left="0"/>
        <w:jc w:val="left"/>
      </w:pPr>
      <w:r>
        <w:rPr>
          <w:rFonts w:ascii="Arial" w:hAnsi="Arial" w:eastAsia="等线" w:cs="Arial"/>
          <w:b/>
          <w:sz w:val="22"/>
        </w:rPr>
        <w:t>变量释义</w:t>
      </w:r>
      <w:r>
        <w:rPr>
          <w:rFonts w:ascii="Arial" w:hAnsi="Arial" w:eastAsia="等线" w:cs="Arial"/>
          <w:sz w:val="22"/>
        </w:rPr>
        <w:t>：</w:t>
      </w:r>
      <w:r>
        <w:rPr>
          <w:rFonts w:ascii="Arial" w:hAnsi="Arial" w:eastAsia="等线" w:cs="Arial"/>
          <w:sz w:val="22"/>
        </w:rPr>
        <w:br w:type="textWrapping"/>
      </w:r>
      <w:r>
        <w:rPr>
          <w:rFonts w:ascii="Arial" w:hAnsi="Arial" w:eastAsia="等线" w:cs="Arial"/>
          <w:sz w:val="22"/>
        </w:rPr>
        <w:t>/</w:t>
      </w:r>
      <m:oMath>
        <m:sSub>
          <m:sSubPr/>
          <m:e>
            <m:r>
              <m:rPr/>
              <w:rPr>
                <w:rFonts w:ascii="Cambria Math" w:hAnsi="Cambria Math"/>
              </w:rPr>
              <m:t>x</m:t>
            </m:r>
          </m:e>
          <m:sub>
            <m:r>
              <m:rPr/>
              <w:rPr>
                <w:rFonts w:ascii="Cambria Math" w:hAnsi="Cambria Math"/>
              </w:rPr>
              <m:t>raw</m:t>
            </m:r>
          </m:sub>
        </m:sSub>
        <m:r>
          <m:rPr/>
          <w:rPr>
            <w:rFonts w:ascii="Cambria Math" w:hAnsi="Cambria Math"/>
          </w:rPr>
          <m:t>(t)</m:t>
        </m:r>
      </m:oMath>
      <w:r>
        <w:rPr>
          <w:rFonts w:ascii="Arial" w:hAnsi="Arial" w:eastAsia="等线" w:cs="Arial"/>
          <w:sz w:val="22"/>
        </w:rPr>
        <w:t>：单通道原始时序电位信号；</w:t>
      </w:r>
      <m:oMath>
        <m:r>
          <m:rPr/>
          <w:rPr>
            <w:rFonts w:ascii="Cambria Math" w:hAnsi="Cambria Math"/>
          </w:rPr>
          <m:t>C</m:t>
        </m:r>
      </m:oMath>
      <w:r>
        <w:rPr>
          <w:rFonts w:ascii="Arial" w:hAnsi="Arial" w:eastAsia="等线" w:cs="Arial"/>
          <w:sz w:val="22"/>
        </w:rPr>
        <w:t>：总通道数；</w:t>
      </w:r>
      <m:oMath>
        <m:sSub>
          <m:sSubPr/>
          <m:e>
            <m:r>
              <m:rPr/>
              <w:rPr>
                <w:rFonts w:ascii="Cambria Math" w:hAnsi="Cambria Math"/>
              </w:rPr>
              <m:t>x</m:t>
            </m:r>
          </m:e>
          <m:sub>
            <m:r>
              <m:rPr/>
              <w:rPr>
                <w:rFonts w:ascii="Cambria Math" w:hAnsi="Cambria Math"/>
              </w:rPr>
              <m:t>i</m:t>
            </m:r>
          </m:sub>
        </m:sSub>
        <m:r>
          <m:rPr/>
          <w:rPr>
            <w:rFonts w:ascii="Cambria Math" w:hAnsi="Cambria Math"/>
          </w:rPr>
          <m:t>(t)</m:t>
        </m:r>
      </m:oMath>
      <w:r>
        <w:rPr>
          <w:rFonts w:ascii="Arial" w:hAnsi="Arial" w:eastAsia="等线" w:cs="Arial"/>
          <w:sz w:val="22"/>
        </w:rPr>
        <w:t>：第</w:t>
      </w:r>
      <m:oMath>
        <m:r>
          <m:rPr/>
          <w:rPr>
            <w:rFonts w:ascii="Cambria Math" w:hAnsi="Cambria Math"/>
          </w:rPr>
          <m:t>i</m:t>
        </m:r>
      </m:oMath>
      <w:r>
        <w:rPr>
          <w:rFonts w:ascii="Arial" w:hAnsi="Arial" w:eastAsia="等线" w:cs="Arial"/>
          <w:sz w:val="22"/>
        </w:rPr>
        <w:t>个通道</w:t>
      </w:r>
      <m:oMath>
        <m:r>
          <m:rPr/>
          <w:rPr>
            <w:rFonts w:ascii="Cambria Math" w:hAnsi="Cambria Math"/>
          </w:rPr>
          <m:t>t</m:t>
        </m:r>
      </m:oMath>
      <w:r>
        <w:rPr>
          <w:rFonts w:ascii="Arial" w:hAnsi="Arial" w:eastAsia="等线" w:cs="Arial"/>
          <w:sz w:val="22"/>
        </w:rPr>
        <w:t>时刻电位；</w:t>
      </w:r>
      <m:oMath>
        <m:sSub>
          <m:sSubPr/>
          <m:e>
            <m:r>
              <m:rPr/>
              <w:rPr>
                <w:rFonts w:ascii="Cambria Math" w:hAnsi="Cambria Math"/>
              </w:rPr>
              <m:t>x</m:t>
            </m:r>
          </m:e>
          <m:sub>
            <m:r>
              <m:rPr/>
              <w:rPr>
                <w:rFonts w:ascii="Cambria Math" w:hAnsi="Cambria Math"/>
              </w:rPr>
              <m:t>CAR</m:t>
            </m:r>
          </m:sub>
        </m:sSub>
        <m:r>
          <m:rPr/>
          <w:rPr>
            <w:rFonts w:ascii="Cambria Math" w:hAnsi="Cambria Math"/>
          </w:rPr>
          <m:t>(t)</m:t>
        </m:r>
      </m:oMath>
      <w:r>
        <w:rPr>
          <w:rFonts w:ascii="Arial" w:hAnsi="Arial" w:eastAsia="等线" w:cs="Arial"/>
          <w:sz w:val="22"/>
        </w:rPr>
        <w:t>：重参考校正后信号</w:t>
      </w:r>
    </w:p>
    <w:p w14:paraId="0E3D9A50">
      <w:pPr>
        <w:numPr>
          <w:ilvl w:val="0"/>
          <w:numId w:val="51"/>
        </w:numPr>
        <w:spacing w:before="120" w:after="120" w:line="288" w:lineRule="auto"/>
        <w:ind w:left="0"/>
        <w:jc w:val="left"/>
      </w:pPr>
      <w:r>
        <w:rPr>
          <w:rFonts w:ascii="Arial" w:hAnsi="Arial" w:eastAsia="等线" w:cs="Arial"/>
          <w:b/>
          <w:sz w:val="22"/>
        </w:rPr>
        <w:t>核心定位</w:t>
      </w:r>
      <w:r>
        <w:rPr>
          <w:rFonts w:ascii="Arial" w:hAnsi="Arial" w:eastAsia="等线" w:cs="Arial"/>
          <w:sz w:val="22"/>
        </w:rPr>
        <w:t>：空间域降噪与信号重构操作，针对电极采集的空间信号差异优化</w:t>
      </w:r>
    </w:p>
    <w:p w14:paraId="32A5F187">
      <w:pPr>
        <w:numPr>
          <w:ilvl w:val="0"/>
          <w:numId w:val="52"/>
        </w:numPr>
        <w:spacing w:before="120" w:after="120" w:line="288" w:lineRule="auto"/>
        <w:ind w:left="0"/>
        <w:jc w:val="left"/>
      </w:pPr>
      <w:r>
        <w:rPr>
          <w:rFonts w:ascii="Arial" w:hAnsi="Arial" w:eastAsia="等线" w:cs="Arial"/>
          <w:b/>
          <w:sz w:val="22"/>
        </w:rPr>
        <w:t>修正对象</w:t>
      </w:r>
      <w:r>
        <w:rPr>
          <w:rFonts w:ascii="Arial" w:hAnsi="Arial" w:eastAsia="等线" w:cs="Arial"/>
          <w:sz w:val="22"/>
        </w:rPr>
        <w:t>：全脑公共全局噪声、参考电极带来的固定偏移、空间串扰干扰</w:t>
      </w:r>
    </w:p>
    <w:p w14:paraId="787B3AC2">
      <w:pPr>
        <w:numPr>
          <w:ilvl w:val="0"/>
          <w:numId w:val="53"/>
        </w:numPr>
        <w:spacing w:before="120" w:after="120" w:line="288" w:lineRule="auto"/>
        <w:ind w:left="0"/>
        <w:jc w:val="left"/>
      </w:pPr>
      <w:r>
        <w:rPr>
          <w:rFonts w:ascii="Arial" w:hAnsi="Arial" w:eastAsia="等线" w:cs="Arial"/>
          <w:b/>
          <w:sz w:val="22"/>
        </w:rPr>
        <w:t>计算区间</w:t>
      </w:r>
      <w:r>
        <w:rPr>
          <w:rFonts w:ascii="Arial" w:hAnsi="Arial" w:eastAsia="等线" w:cs="Arial"/>
          <w:sz w:val="22"/>
        </w:rPr>
        <w:t>：整段原始连续信号，逐时间点全局空间平均校正</w:t>
      </w:r>
    </w:p>
    <w:p w14:paraId="405F15D4">
      <w:pPr>
        <w:numPr>
          <w:ilvl w:val="0"/>
          <w:numId w:val="54"/>
        </w:numPr>
        <w:spacing w:before="120" w:after="120" w:line="288" w:lineRule="auto"/>
        <w:ind w:left="0"/>
        <w:jc w:val="left"/>
      </w:pPr>
      <w:r>
        <w:rPr>
          <w:rFonts w:ascii="Arial" w:hAnsi="Arial" w:eastAsia="等线" w:cs="Arial"/>
          <w:b/>
          <w:sz w:val="22"/>
        </w:rPr>
        <w:t>核心作用</w:t>
      </w:r>
      <w:r>
        <w:rPr>
          <w:rFonts w:ascii="Arial" w:hAnsi="Arial" w:eastAsia="等线" w:cs="Arial"/>
          <w:sz w:val="22"/>
        </w:rPr>
        <w:t>：提升左右运动皮层电极的信号不对称性，放大ERD有效空间特征，</w:t>
      </w:r>
      <w:r>
        <w:rPr>
          <w:rFonts w:ascii="Arial" w:hAnsi="Arial" w:eastAsia="等线" w:cs="Arial"/>
          <w:b/>
          <w:sz w:val="22"/>
        </w:rPr>
        <w:t>不改变信号幅值分布与基线偏移</w:t>
      </w:r>
    </w:p>
    <w:p w14:paraId="7A002D36">
      <w:pPr>
        <w:numPr>
          <w:ilvl w:val="0"/>
          <w:numId w:val="55"/>
        </w:numPr>
        <w:spacing w:before="120" w:after="120" w:line="288" w:lineRule="auto"/>
        <w:ind w:left="0"/>
        <w:jc w:val="left"/>
      </w:pPr>
      <w:r>
        <w:rPr>
          <w:rFonts w:ascii="Arial" w:hAnsi="Arial" w:eastAsia="等线" w:cs="Arial"/>
          <w:b/>
          <w:sz w:val="22"/>
        </w:rPr>
        <w:t>执行时机</w:t>
      </w:r>
      <w:r>
        <w:rPr>
          <w:rFonts w:ascii="Arial" w:hAnsi="Arial" w:eastAsia="等线" w:cs="Arial"/>
          <w:sz w:val="22"/>
        </w:rPr>
        <w:t>：预处理前期、所有滤波与分段操作之前</w:t>
      </w:r>
    </w:p>
    <w:p w14:paraId="2221FDCB">
      <w:pPr>
        <w:numPr>
          <w:ilvl w:val="0"/>
          <w:numId w:val="56"/>
        </w:numPr>
        <w:spacing w:before="120" w:after="120" w:line="288" w:lineRule="auto"/>
        <w:ind w:left="0"/>
        <w:jc w:val="left"/>
      </w:pPr>
      <w:r>
        <w:rPr>
          <w:rFonts w:ascii="Arial" w:hAnsi="Arial" w:eastAsia="等线" w:cs="Arial"/>
          <w:b/>
          <w:sz w:val="22"/>
        </w:rPr>
        <w:t>核心定位</w:t>
      </w:r>
      <w:r>
        <w:rPr>
          <w:rFonts w:ascii="Arial" w:hAnsi="Arial" w:eastAsia="等线" w:cs="Arial"/>
          <w:sz w:val="22"/>
        </w:rPr>
        <w:t>：空间域降噪与信号重构操作，针对电极采集的空间信号差异优化</w:t>
      </w:r>
    </w:p>
    <w:p w14:paraId="29B50B62">
      <w:pPr>
        <w:numPr>
          <w:ilvl w:val="0"/>
          <w:numId w:val="57"/>
        </w:numPr>
        <w:spacing w:before="120" w:after="120" w:line="288" w:lineRule="auto"/>
        <w:ind w:left="0"/>
        <w:jc w:val="left"/>
      </w:pPr>
      <w:r>
        <w:rPr>
          <w:rFonts w:ascii="Arial" w:hAnsi="Arial" w:eastAsia="等线" w:cs="Arial"/>
          <w:b/>
          <w:sz w:val="22"/>
        </w:rPr>
        <w:t>修正对象</w:t>
      </w:r>
      <w:r>
        <w:rPr>
          <w:rFonts w:ascii="Arial" w:hAnsi="Arial" w:eastAsia="等线" w:cs="Arial"/>
          <w:sz w:val="22"/>
        </w:rPr>
        <w:t>：全脑公共全局噪声、参考电极带来的固定偏移、空间串扰干扰</w:t>
      </w:r>
    </w:p>
    <w:p w14:paraId="516CC3E3">
      <w:pPr>
        <w:numPr>
          <w:ilvl w:val="0"/>
          <w:numId w:val="58"/>
        </w:numPr>
        <w:spacing w:before="120" w:after="120" w:line="288" w:lineRule="auto"/>
        <w:ind w:left="0"/>
        <w:jc w:val="left"/>
      </w:pPr>
      <w:r>
        <w:rPr>
          <w:rFonts w:ascii="Arial" w:hAnsi="Arial" w:eastAsia="等线" w:cs="Arial"/>
          <w:b/>
          <w:sz w:val="22"/>
        </w:rPr>
        <w:t>处理逻辑</w:t>
      </w:r>
      <w:r>
        <w:rPr>
          <w:rFonts w:ascii="Arial" w:hAnsi="Arial" w:eastAsia="等线" w:cs="Arial"/>
          <w:sz w:val="22"/>
        </w:rPr>
        <w:t>：以全部通道的平均电位为公共参考，重构各通道相对电位信号</w:t>
      </w:r>
    </w:p>
    <w:p w14:paraId="61152369">
      <w:pPr>
        <w:numPr>
          <w:ilvl w:val="0"/>
          <w:numId w:val="59"/>
        </w:numPr>
        <w:spacing w:before="120" w:after="120" w:line="288" w:lineRule="auto"/>
        <w:ind w:left="0"/>
        <w:jc w:val="left"/>
      </w:pPr>
      <w:r>
        <w:rPr>
          <w:rFonts w:ascii="Arial" w:hAnsi="Arial" w:eastAsia="等线" w:cs="Arial"/>
          <w:b/>
          <w:sz w:val="22"/>
        </w:rPr>
        <w:t>核心作用</w:t>
      </w:r>
      <w:r>
        <w:rPr>
          <w:rFonts w:ascii="Arial" w:hAnsi="Arial" w:eastAsia="等线" w:cs="Arial"/>
          <w:sz w:val="22"/>
        </w:rPr>
        <w:t>：提升左右运动皮层电极的信号不对称性，放大ERD有效空间特征，不改变信号幅值分布与基线偏移</w:t>
      </w:r>
    </w:p>
    <w:p w14:paraId="368F8942">
      <w:pPr>
        <w:numPr>
          <w:ilvl w:val="0"/>
          <w:numId w:val="60"/>
        </w:numPr>
        <w:spacing w:before="120" w:after="120" w:line="288" w:lineRule="auto"/>
        <w:ind w:left="0"/>
        <w:jc w:val="left"/>
      </w:pPr>
      <w:r>
        <w:rPr>
          <w:rFonts w:ascii="Arial" w:hAnsi="Arial" w:eastAsia="等线" w:cs="Arial"/>
          <w:b/>
          <w:sz w:val="22"/>
        </w:rPr>
        <w:t>执行时机</w:t>
      </w:r>
      <w:r>
        <w:rPr>
          <w:rFonts w:ascii="Arial" w:hAnsi="Arial" w:eastAsia="等线" w:cs="Arial"/>
          <w:sz w:val="22"/>
        </w:rPr>
        <w:t>：预处理前期、所有滤波与分段操作之前</w:t>
      </w:r>
    </w:p>
    <w:p w14:paraId="5FA69916">
      <w:pPr>
        <w:spacing w:before="300" w:after="120" w:line="288" w:lineRule="auto"/>
        <w:ind w:left="0"/>
        <w:jc w:val="left"/>
        <w:outlineLvl w:val="2"/>
      </w:pPr>
      <w:bookmarkStart w:id="53" w:name="heading_53"/>
      <w:r>
        <w:rPr>
          <w:rFonts w:ascii="Arial" w:hAnsi="Arial" w:eastAsia="等线" w:cs="Arial"/>
          <w:b/>
          <w:sz w:val="30"/>
        </w:rPr>
        <w:t>（2）基线校正（物理层级修正｜基准零点对齐）</w:t>
      </w:r>
      <w:bookmarkEnd w:id="53"/>
    </w:p>
    <w:p w14:paraId="63591055">
      <w:pPr>
        <w:spacing w:before="120" w:after="120" w:line="288" w:lineRule="auto"/>
        <w:ind w:left="0"/>
        <w:jc w:val="left"/>
      </w:pPr>
      <w:r>
        <w:rPr>
          <w:rFonts w:ascii="Arial" w:hAnsi="Arial" w:eastAsia="等线" w:cs="Arial"/>
          <w:b/>
          <w:sz w:val="22"/>
        </w:rPr>
        <w:t>核心公式</w:t>
      </w:r>
    </w:p>
    <w:p w14:paraId="23EACFCD">
      <w:pPr>
        <w:spacing w:before="120" w:after="120" w:line="288" w:lineRule="auto"/>
        <w:ind w:left="0"/>
        <w:jc w:val="left"/>
      </w:pPr>
      <m:oMathPara>
        <m:oMathParaPr>
          <m:jc m:val="left"/>
        </m:oMathParaPr>
        <m:oMath>
          <m:sSub>
            <m:sSubPr/>
            <m:e>
              <m:r>
                <m:rPr/>
                <w:rPr>
                  <w:rFonts w:ascii="Cambria Math" w:hAnsi="Cambria Math"/>
                </w:rPr>
                <m:t>x</m:t>
              </m:r>
            </m:e>
            <m:sub>
              <m:r>
                <m:rPr/>
                <w:rPr>
                  <w:rFonts w:ascii="Cambria Math" w:hAnsi="Cambria Math"/>
                </w:rPr>
                <m:t>base</m:t>
              </m:r>
            </m:sub>
          </m:sSub>
          <m:r>
            <m:rPr/>
            <w:rPr>
              <w:rFonts w:ascii="Cambria Math" w:hAnsi="Cambria Math"/>
            </w:rPr>
            <m:t>(t)=</m:t>
          </m:r>
          <m:sSub>
            <m:sSubPr/>
            <m:e>
              <m:r>
                <m:rPr/>
                <w:rPr>
                  <w:rFonts w:ascii="Cambria Math" w:hAnsi="Cambria Math"/>
                </w:rPr>
                <m:t>x</m:t>
              </m:r>
            </m:e>
            <m:sub>
              <m:r>
                <m:rPr/>
                <w:rPr>
                  <w:rFonts w:ascii="Cambria Math" w:hAnsi="Cambria Math"/>
                </w:rPr>
                <m:t>in</m:t>
              </m:r>
            </m:sub>
          </m:sSub>
          <m:r>
            <m:rPr/>
            <w:rPr>
              <w:rFonts w:ascii="Cambria Math" w:hAnsi="Cambria Math"/>
            </w:rPr>
            <m:t>(t)−</m:t>
          </m:r>
          <m:sSub>
            <m:sSubPr/>
            <m:e>
              <m:r>
                <m:rPr/>
                <w:rPr>
                  <w:rFonts w:ascii="Cambria Math" w:hAnsi="Cambria Math"/>
                </w:rPr>
                <m:t>μ</m:t>
              </m:r>
            </m:e>
            <m:sub>
              <m:r>
                <m:rPr/>
                <w:rPr>
                  <w:rFonts w:ascii="Cambria Math" w:hAnsi="Cambria Math"/>
                </w:rPr>
                <m:t>base</m:t>
              </m:r>
            </m:sub>
          </m:sSub>
          <m:r>
            <m:rPr/>
            <w:rPr>
              <w:rFonts w:ascii="Cambria Math" w:hAnsi="Cambria Math"/>
            </w:rPr>
            <m:t>,</m:t>
          </m:r>
          <m:sSub>
            <m:sSubPr/>
            <m:e>
              <m:r>
                <m:rPr/>
                <w:rPr>
                  <w:rFonts w:ascii="Cambria Math" w:hAnsi="Cambria Math"/>
                </w:rPr>
                <m:t>μ</m:t>
              </m:r>
            </m:e>
            <m:sub>
              <m:r>
                <m:rPr/>
                <w:rPr>
                  <w:rFonts w:ascii="Cambria Math" w:hAnsi="Cambria Math"/>
                </w:rPr>
                <m:t>base</m:t>
              </m:r>
            </m:sub>
          </m:sSub>
          <m:r>
            <m:rPr/>
            <w:rPr>
              <w:rFonts w:ascii="Cambria Math" w:hAnsi="Cambria Math"/>
            </w:rPr>
            <m:t>=</m:t>
          </m:r>
          <m:f>
            <m:fPr/>
            <m:num>
              <m:r>
                <m:rPr/>
                <w:rPr>
                  <w:rFonts w:ascii="Cambria Math" w:hAnsi="Cambria Math"/>
                </w:rPr>
                <m:t>1</m:t>
              </m:r>
            </m:num>
            <m:den>
              <m:sSub>
                <m:sSubPr/>
                <m:e>
                  <m:r>
                    <m:rPr/>
                    <w:rPr>
                      <w:rFonts w:ascii="Cambria Math" w:hAnsi="Cambria Math"/>
                    </w:rPr>
                    <m:t>T</m:t>
                  </m:r>
                </m:e>
                <m:sub>
                  <m:r>
                    <m:rPr/>
                    <w:rPr>
                      <w:rFonts w:ascii="Cambria Math" w:hAnsi="Cambria Math"/>
                    </w:rPr>
                    <m:t>base</m:t>
                  </m:r>
                </m:sub>
              </m:sSub>
            </m:den>
          </m:f>
          <m:nary>
            <m:naryPr>
              <m:chr m:val="∑"/>
              <m:grow m:val="1"/>
              <m:limLoc m:val="undOvr"/>
              <m:supHide m:val="1"/>
            </m:naryPr>
            <m:sub>
              <m:r>
                <m:rPr/>
                <w:rPr>
                  <w:rFonts w:ascii="Cambria Math" w:hAnsi="Cambria Math"/>
                </w:rPr>
                <m:t>t∈</m:t>
              </m:r>
              <m:sSub>
                <m:sSubPr/>
                <m:e>
                  <m:r>
                    <m:rPr/>
                    <w:rPr>
                      <w:rFonts w:ascii="Cambria Math" w:hAnsi="Cambria Math"/>
                    </w:rPr>
                    <m:t>T</m:t>
                  </m:r>
                </m:e>
                <m:sub>
                  <m:r>
                    <m:rPr/>
                    <w:rPr>
                      <w:rFonts w:ascii="Cambria Math" w:hAnsi="Cambria Math"/>
                    </w:rPr>
                    <m:t>base</m:t>
                  </m:r>
                </m:sub>
              </m:sSub>
            </m:sub>
            <m:sup/>
            <m:e/>
          </m:nary>
          <m:sSub>
            <m:sSubPr/>
            <m:e>
              <m:r>
                <m:rPr/>
                <w:rPr>
                  <w:rFonts w:ascii="Cambria Math" w:hAnsi="Cambria Math"/>
                </w:rPr>
                <m:t>x</m:t>
              </m:r>
            </m:e>
            <m:sub>
              <m:r>
                <m:rPr/>
                <w:rPr>
                  <w:rFonts w:ascii="Cambria Math" w:hAnsi="Cambria Math"/>
                </w:rPr>
                <m:t>in</m:t>
              </m:r>
            </m:sub>
          </m:sSub>
          <m:r>
            <m:rPr/>
            <w:rPr>
              <w:rFonts w:ascii="Cambria Math" w:hAnsi="Cambria Math"/>
            </w:rPr>
            <m:t>(t)</m:t>
          </m:r>
        </m:oMath>
      </m:oMathPara>
    </w:p>
    <w:p w14:paraId="20AB6DB2">
      <w:pPr>
        <w:spacing w:before="120" w:after="120" w:line="288" w:lineRule="auto"/>
        <w:ind w:left="0"/>
        <w:jc w:val="left"/>
      </w:pPr>
      <w:r>
        <w:rPr>
          <w:rFonts w:ascii="Arial" w:hAnsi="Arial" w:eastAsia="等线" w:cs="Arial"/>
          <w:b/>
          <w:sz w:val="22"/>
        </w:rPr>
        <w:t>变量释义</w:t>
      </w:r>
      <w:r>
        <w:rPr>
          <w:rFonts w:ascii="Arial" w:hAnsi="Arial" w:eastAsia="等线" w:cs="Arial"/>
          <w:sz w:val="22"/>
        </w:rPr>
        <w:t>：</w:t>
      </w:r>
      <w:r>
        <w:rPr>
          <w:rFonts w:ascii="Arial" w:hAnsi="Arial" w:eastAsia="等线" w:cs="Arial"/>
          <w:sz w:val="22"/>
        </w:rPr>
        <w:br w:type="textWrapping"/>
      </w:r>
      <m:oMath>
        <m:sSub>
          <m:sSubPr/>
          <m:e>
            <m:r>
              <m:rPr/>
              <w:rPr>
                <w:rFonts w:ascii="Cambria Math" w:hAnsi="Cambria Math"/>
              </w:rPr>
              <m:t>x</m:t>
            </m:r>
          </m:e>
          <m:sub>
            <m:r>
              <m:rPr/>
              <w:rPr>
                <w:rFonts w:ascii="Cambria Math" w:hAnsi="Cambria Math"/>
              </w:rPr>
              <m:t>in</m:t>
            </m:r>
          </m:sub>
        </m:sSub>
        <m:r>
          <m:rPr/>
          <w:rPr>
            <w:rFonts w:ascii="Cambria Math" w:hAnsi="Cambria Math"/>
          </w:rPr>
          <m:t>(t)</m:t>
        </m:r>
      </m:oMath>
      <w:r>
        <w:rPr>
          <w:rFonts w:ascii="Arial" w:hAnsi="Arial" w:eastAsia="等线" w:cs="Arial"/>
          <w:sz w:val="22"/>
        </w:rPr>
        <w:t>：CAR与滤波后Epoch分段信号；</w:t>
      </w:r>
      <m:oMath>
        <m:sSub>
          <m:sSubPr/>
          <m:e>
            <m:r>
              <m:rPr/>
              <w:rPr>
                <w:rFonts w:ascii="Cambria Math" w:hAnsi="Cambria Math"/>
              </w:rPr>
              <m:t>T</m:t>
            </m:r>
          </m:e>
          <m:sub>
            <m:r>
              <m:rPr/>
              <w:rPr>
                <w:rFonts w:ascii="Cambria Math" w:hAnsi="Cambria Math"/>
              </w:rPr>
              <m:t>base</m:t>
            </m:r>
          </m:sub>
        </m:sSub>
      </m:oMath>
      <w:r>
        <w:rPr>
          <w:rFonts w:ascii="Arial" w:hAnsi="Arial" w:eastAsia="等线" w:cs="Arial"/>
          <w:sz w:val="22"/>
        </w:rPr>
        <w:t>：基线静息区间（-0.5s~0s）；</w:t>
      </w:r>
      <m:oMath>
        <m:sSub>
          <m:sSubPr/>
          <m:e>
            <m:r>
              <m:rPr/>
              <w:rPr>
                <w:rFonts w:ascii="Cambria Math" w:hAnsi="Cambria Math"/>
              </w:rPr>
              <m:t>μ</m:t>
            </m:r>
          </m:e>
          <m:sub>
            <m:r>
              <m:rPr/>
              <w:rPr>
                <w:rFonts w:ascii="Cambria Math" w:hAnsi="Cambria Math"/>
              </w:rPr>
              <m:t>base</m:t>
            </m:r>
          </m:sub>
        </m:sSub>
      </m:oMath>
      <w:r>
        <w:rPr>
          <w:rFonts w:ascii="Arial" w:hAnsi="Arial" w:eastAsia="等线" w:cs="Arial"/>
          <w:sz w:val="22"/>
        </w:rPr>
        <w:t>：单通道基线区间均值；</w:t>
      </w:r>
      <m:oMath>
        <m:sSub>
          <m:sSubPr/>
          <m:e>
            <m:r>
              <m:rPr/>
              <w:rPr>
                <w:rFonts w:ascii="Cambria Math" w:hAnsi="Cambria Math"/>
              </w:rPr>
              <m:t>x</m:t>
            </m:r>
          </m:e>
          <m:sub>
            <m:r>
              <m:rPr/>
              <w:rPr>
                <w:rFonts w:ascii="Cambria Math" w:hAnsi="Cambria Math"/>
              </w:rPr>
              <m:t>base</m:t>
            </m:r>
          </m:sub>
        </m:sSub>
        <m:r>
          <m:rPr/>
          <w:rPr>
            <w:rFonts w:ascii="Cambria Math" w:hAnsi="Cambria Math"/>
          </w:rPr>
          <m:t>(t)</m:t>
        </m:r>
      </m:oMath>
      <w:r>
        <w:rPr>
          <w:rFonts w:ascii="Arial" w:hAnsi="Arial" w:eastAsia="等线" w:cs="Arial"/>
          <w:sz w:val="22"/>
        </w:rPr>
        <w:t>：基线校正后信号</w:t>
      </w:r>
    </w:p>
    <w:p w14:paraId="3F6BE526">
      <w:pPr>
        <w:numPr>
          <w:ilvl w:val="0"/>
          <w:numId w:val="61"/>
        </w:numPr>
        <w:spacing w:before="120" w:after="120" w:line="288" w:lineRule="auto"/>
        <w:ind w:left="0"/>
        <w:jc w:val="left"/>
      </w:pPr>
      <w:r>
        <w:rPr>
          <w:rFonts w:ascii="Arial" w:hAnsi="Arial" w:eastAsia="等线" w:cs="Arial"/>
          <w:b/>
          <w:sz w:val="22"/>
        </w:rPr>
        <w:t>核心定位</w:t>
      </w:r>
      <w:r>
        <w:rPr>
          <w:rFonts w:ascii="Arial" w:hAnsi="Arial" w:eastAsia="等线" w:cs="Arial"/>
          <w:sz w:val="22"/>
        </w:rPr>
        <w:t>：时域物理偏移修正操作，针对单试次信号的静态偏差优化</w:t>
      </w:r>
    </w:p>
    <w:p w14:paraId="2D13C2B4">
      <w:pPr>
        <w:numPr>
          <w:ilvl w:val="0"/>
          <w:numId w:val="62"/>
        </w:numPr>
        <w:spacing w:before="120" w:after="120" w:line="288" w:lineRule="auto"/>
        <w:ind w:left="0"/>
        <w:jc w:val="left"/>
      </w:pPr>
      <w:r>
        <w:rPr>
          <w:rFonts w:ascii="Arial" w:hAnsi="Arial" w:eastAsia="等线" w:cs="Arial"/>
          <w:b/>
          <w:sz w:val="22"/>
        </w:rPr>
        <w:t>修正对象</w:t>
      </w:r>
      <w:r>
        <w:rPr>
          <w:rFonts w:ascii="Arial" w:hAnsi="Arial" w:eastAsia="等线" w:cs="Arial"/>
          <w:sz w:val="22"/>
        </w:rPr>
        <w:t>：电极阻抗变化、皮肤出汗、设备漂移、佩戴差异导致的</w:t>
      </w:r>
      <w:r>
        <w:rPr>
          <w:rFonts w:ascii="Arial" w:hAnsi="Arial" w:eastAsia="等线" w:cs="Arial"/>
          <w:b/>
          <w:sz w:val="22"/>
        </w:rPr>
        <w:t>直流基线偏移量</w:t>
      </w:r>
    </w:p>
    <w:p w14:paraId="3F124EE8">
      <w:pPr>
        <w:numPr>
          <w:ilvl w:val="0"/>
          <w:numId w:val="63"/>
        </w:numPr>
        <w:spacing w:before="120" w:after="120" w:line="288" w:lineRule="auto"/>
        <w:ind w:left="0"/>
        <w:jc w:val="left"/>
      </w:pPr>
      <w:r>
        <w:rPr>
          <w:rFonts w:ascii="Arial" w:hAnsi="Arial" w:eastAsia="等线" w:cs="Arial"/>
          <w:b/>
          <w:sz w:val="22"/>
        </w:rPr>
        <w:t>计算区间</w:t>
      </w:r>
      <w:r>
        <w:rPr>
          <w:rFonts w:ascii="Arial" w:hAnsi="Arial" w:eastAsia="等线" w:cs="Arial"/>
          <w:sz w:val="22"/>
        </w:rPr>
        <w:t>：仅用试次前置纯静息基线区间，用静态均值归零</w:t>
      </w:r>
    </w:p>
    <w:p w14:paraId="4304BAB4">
      <w:pPr>
        <w:numPr>
          <w:ilvl w:val="0"/>
          <w:numId w:val="64"/>
        </w:numPr>
        <w:spacing w:before="120" w:after="120" w:line="288" w:lineRule="auto"/>
        <w:ind w:left="0"/>
        <w:jc w:val="left"/>
      </w:pPr>
      <w:r>
        <w:rPr>
          <w:rFonts w:ascii="Arial" w:hAnsi="Arial" w:eastAsia="等线" w:cs="Arial"/>
          <w:b/>
          <w:sz w:val="22"/>
        </w:rPr>
        <w:t>核心作用</w:t>
      </w:r>
      <w:r>
        <w:rPr>
          <w:rFonts w:ascii="Arial" w:hAnsi="Arial" w:eastAsia="等线" w:cs="Arial"/>
          <w:sz w:val="22"/>
        </w:rPr>
        <w:t>：消除单次实验的固定电压偏移，统一所有试次的信号基准零点，</w:t>
      </w:r>
      <w:r>
        <w:rPr>
          <w:rFonts w:ascii="Arial" w:hAnsi="Arial" w:eastAsia="等线" w:cs="Arial"/>
          <w:b/>
          <w:sz w:val="22"/>
        </w:rPr>
        <w:t>不改变信号相对波动与方差大小</w:t>
      </w:r>
    </w:p>
    <w:p w14:paraId="4772C5CA">
      <w:pPr>
        <w:numPr>
          <w:ilvl w:val="0"/>
          <w:numId w:val="65"/>
        </w:numPr>
        <w:spacing w:before="120" w:after="120" w:line="288" w:lineRule="auto"/>
        <w:ind w:left="0"/>
        <w:jc w:val="left"/>
      </w:pPr>
      <w:r>
        <w:rPr>
          <w:rFonts w:ascii="Arial" w:hAnsi="Arial" w:eastAsia="等线" w:cs="Arial"/>
          <w:b/>
          <w:sz w:val="22"/>
        </w:rPr>
        <w:t>执行时机</w:t>
      </w:r>
      <w:r>
        <w:rPr>
          <w:rFonts w:ascii="Arial" w:hAnsi="Arial" w:eastAsia="等线" w:cs="Arial"/>
          <w:sz w:val="22"/>
        </w:rPr>
        <w:t>：Epoch分段提取后、时间窗截取之前</w:t>
      </w:r>
    </w:p>
    <w:p w14:paraId="39A9961B">
      <w:pPr>
        <w:numPr>
          <w:ilvl w:val="0"/>
          <w:numId w:val="66"/>
        </w:numPr>
        <w:spacing w:before="120" w:after="120" w:line="288" w:lineRule="auto"/>
        <w:ind w:left="0"/>
        <w:jc w:val="left"/>
      </w:pPr>
      <w:r>
        <w:rPr>
          <w:rFonts w:ascii="Arial" w:hAnsi="Arial" w:eastAsia="等线" w:cs="Arial"/>
          <w:b/>
          <w:sz w:val="22"/>
        </w:rPr>
        <w:t>核心定位</w:t>
      </w:r>
      <w:r>
        <w:rPr>
          <w:rFonts w:ascii="Arial" w:hAnsi="Arial" w:eastAsia="等线" w:cs="Arial"/>
          <w:sz w:val="22"/>
        </w:rPr>
        <w:t>：时域物理偏移修正操作，针对单试次信号的静态偏差优化</w:t>
      </w:r>
    </w:p>
    <w:p w14:paraId="4D220E44">
      <w:pPr>
        <w:numPr>
          <w:ilvl w:val="0"/>
          <w:numId w:val="67"/>
        </w:numPr>
        <w:spacing w:before="120" w:after="120" w:line="288" w:lineRule="auto"/>
        <w:ind w:left="0"/>
        <w:jc w:val="left"/>
      </w:pPr>
      <w:r>
        <w:rPr>
          <w:rFonts w:ascii="Arial" w:hAnsi="Arial" w:eastAsia="等线" w:cs="Arial"/>
          <w:b/>
          <w:sz w:val="22"/>
        </w:rPr>
        <w:t>修正对象</w:t>
      </w:r>
      <w:r>
        <w:rPr>
          <w:rFonts w:ascii="Arial" w:hAnsi="Arial" w:eastAsia="等线" w:cs="Arial"/>
          <w:sz w:val="22"/>
        </w:rPr>
        <w:t>：电极阻抗变化、皮肤出汗、设备漂移、佩戴差异导致的</w:t>
      </w:r>
      <w:r>
        <w:rPr>
          <w:rFonts w:ascii="Arial" w:hAnsi="Arial" w:eastAsia="等线" w:cs="Arial"/>
          <w:b/>
          <w:sz w:val="22"/>
        </w:rPr>
        <w:t>直流基线偏移量</w:t>
      </w:r>
    </w:p>
    <w:p w14:paraId="299883DA">
      <w:pPr>
        <w:numPr>
          <w:ilvl w:val="0"/>
          <w:numId w:val="68"/>
        </w:numPr>
        <w:spacing w:before="120" w:after="120" w:line="288" w:lineRule="auto"/>
        <w:ind w:left="0"/>
        <w:jc w:val="left"/>
      </w:pPr>
      <w:r>
        <w:rPr>
          <w:rFonts w:ascii="Arial" w:hAnsi="Arial" w:eastAsia="等线" w:cs="Arial"/>
          <w:b/>
          <w:sz w:val="22"/>
        </w:rPr>
        <w:t>处理逻辑</w:t>
      </w:r>
      <w:r>
        <w:rPr>
          <w:rFonts w:ascii="Arial" w:hAnsi="Arial" w:eastAsia="等线" w:cs="Arial"/>
          <w:sz w:val="22"/>
        </w:rPr>
        <w:t>：利用试次前置静息基线区间均值，对整段Epoch信号做均值归零校正</w:t>
      </w:r>
    </w:p>
    <w:p w14:paraId="4AF58E7B">
      <w:pPr>
        <w:numPr>
          <w:ilvl w:val="0"/>
          <w:numId w:val="69"/>
        </w:numPr>
        <w:spacing w:before="120" w:after="120" w:line="288" w:lineRule="auto"/>
        <w:ind w:left="0"/>
        <w:jc w:val="left"/>
      </w:pPr>
      <w:r>
        <w:rPr>
          <w:rFonts w:ascii="Arial" w:hAnsi="Arial" w:eastAsia="等线" w:cs="Arial"/>
          <w:b/>
          <w:sz w:val="22"/>
        </w:rPr>
        <w:t>核心作用</w:t>
      </w:r>
      <w:r>
        <w:rPr>
          <w:rFonts w:ascii="Arial" w:hAnsi="Arial" w:eastAsia="等线" w:cs="Arial"/>
          <w:sz w:val="22"/>
        </w:rPr>
        <w:t>：消除单次实验的固定电压偏移，统一所有试次的信号基准零点，不改变信号的相对波动特征与数据分布方差</w:t>
      </w:r>
    </w:p>
    <w:p w14:paraId="71197B55">
      <w:pPr>
        <w:numPr>
          <w:ilvl w:val="0"/>
          <w:numId w:val="70"/>
        </w:numPr>
        <w:spacing w:before="120" w:after="120" w:line="288" w:lineRule="auto"/>
        <w:ind w:left="0"/>
        <w:jc w:val="left"/>
      </w:pPr>
      <w:r>
        <w:rPr>
          <w:rFonts w:ascii="Arial" w:hAnsi="Arial" w:eastAsia="等线" w:cs="Arial"/>
          <w:b/>
          <w:sz w:val="22"/>
        </w:rPr>
        <w:t>执行时机</w:t>
      </w:r>
      <w:r>
        <w:rPr>
          <w:rFonts w:ascii="Arial" w:hAnsi="Arial" w:eastAsia="等线" w:cs="Arial"/>
          <w:sz w:val="22"/>
        </w:rPr>
        <w:t>：Epoch分段提取后、时间窗截取之前</w:t>
      </w:r>
    </w:p>
    <w:p w14:paraId="3E0B52E7">
      <w:pPr>
        <w:spacing w:before="300" w:after="120" w:line="288" w:lineRule="auto"/>
        <w:ind w:left="0"/>
        <w:jc w:val="left"/>
        <w:outlineLvl w:val="2"/>
      </w:pPr>
      <w:bookmarkStart w:id="54" w:name="heading_54"/>
      <w:r>
        <w:rPr>
          <w:rFonts w:ascii="Arial" w:hAnsi="Arial" w:eastAsia="等线" w:cs="Arial"/>
          <w:b/>
          <w:sz w:val="30"/>
        </w:rPr>
        <w:t>（3）单试次Z-score标准化（统计层级修正｜分布域统一）</w:t>
      </w:r>
      <w:bookmarkEnd w:id="54"/>
    </w:p>
    <w:p w14:paraId="410DD466">
      <w:pPr>
        <w:spacing w:before="120" w:after="120" w:line="288" w:lineRule="auto"/>
        <w:ind w:left="0"/>
        <w:jc w:val="left"/>
      </w:pPr>
      <w:r>
        <w:rPr>
          <w:rFonts w:ascii="Arial" w:hAnsi="Arial" w:eastAsia="等线" w:cs="Arial"/>
          <w:b/>
          <w:sz w:val="22"/>
        </w:rPr>
        <w:t>核心公式</w:t>
      </w:r>
    </w:p>
    <w:p w14:paraId="755FDC73">
      <w:pPr>
        <w:spacing w:before="120" w:after="120" w:line="288" w:lineRule="auto"/>
        <w:ind w:left="0"/>
        <w:jc w:val="left"/>
      </w:pPr>
      <m:oMathPara>
        <m:oMathParaPr>
          <m:jc m:val="left"/>
        </m:oMathParaPr>
        <m:oMath>
          <m:sSub>
            <m:sSubPr/>
            <m:e>
              <m:r>
                <m:rPr/>
                <w:rPr>
                  <w:rFonts w:ascii="Cambria Math" w:hAnsi="Cambria Math"/>
                </w:rPr>
                <m:t>x</m:t>
              </m:r>
            </m:e>
            <m:sub>
              <m:r>
                <m:rPr/>
                <w:rPr>
                  <w:rFonts w:ascii="Cambria Math" w:hAnsi="Cambria Math"/>
                </w:rPr>
                <m:t>norm</m:t>
              </m:r>
            </m:sub>
          </m:sSub>
          <m:r>
            <m:rPr/>
            <w:rPr>
              <w:rFonts w:ascii="Cambria Math" w:hAnsi="Cambria Math"/>
            </w:rPr>
            <m:t>(t)=</m:t>
          </m:r>
          <m:f>
            <m:fPr/>
            <m:num>
              <m:sSub>
                <m:sSubPr/>
                <m:e>
                  <m:r>
                    <m:rPr/>
                    <w:rPr>
                      <w:rFonts w:ascii="Cambria Math" w:hAnsi="Cambria Math"/>
                    </w:rPr>
                    <m:t>x</m:t>
                  </m:r>
                </m:e>
                <m:sub>
                  <m:r>
                    <m:rPr/>
                    <w:rPr>
                      <w:rFonts w:ascii="Cambria Math" w:hAnsi="Cambria Math"/>
                    </w:rPr>
                    <m:t>base</m:t>
                  </m:r>
                </m:sub>
              </m:sSub>
              <m:r>
                <m:rPr/>
                <w:rPr>
                  <w:rFonts w:ascii="Cambria Math" w:hAnsi="Cambria Math"/>
                </w:rPr>
                <m:t>(t)−</m:t>
              </m:r>
              <m:sSub>
                <m:sSubPr/>
                <m:e>
                  <m:r>
                    <m:rPr/>
                    <w:rPr>
                      <w:rFonts w:ascii="Cambria Math" w:hAnsi="Cambria Math"/>
                    </w:rPr>
                    <m:t>μ</m:t>
                  </m:r>
                </m:e>
                <m:sub>
                  <m:r>
                    <m:rPr/>
                    <w:rPr>
                      <w:rFonts w:ascii="Cambria Math" w:hAnsi="Cambria Math"/>
                    </w:rPr>
                    <m:t>trial</m:t>
                  </m:r>
                </m:sub>
              </m:sSub>
            </m:num>
            <m:den>
              <m:sSub>
                <m:sSubPr/>
                <m:e>
                  <m:r>
                    <m:rPr/>
                    <w:rPr>
                      <w:rFonts w:ascii="Cambria Math" w:hAnsi="Cambria Math"/>
                    </w:rPr>
                    <m:t>σ</m:t>
                  </m:r>
                </m:e>
                <m:sub>
                  <m:r>
                    <m:rPr/>
                    <w:rPr>
                      <w:rFonts w:ascii="Cambria Math" w:hAnsi="Cambria Math"/>
                    </w:rPr>
                    <m:t>trial</m:t>
                  </m:r>
                </m:sub>
              </m:sSub>
            </m:den>
          </m:f>
          <m:r>
            <m:rPr/>
            <w:rPr>
              <w:rFonts w:ascii="Cambria Math" w:hAnsi="Cambria Math"/>
            </w:rPr>
            <m:t>,</m:t>
          </m:r>
          <m:sSub>
            <m:sSubPr/>
            <m:e>
              <m:r>
                <m:rPr/>
                <w:rPr>
                  <w:rFonts w:ascii="Cambria Math" w:hAnsi="Cambria Math"/>
                </w:rPr>
                <m:t>μ</m:t>
              </m:r>
            </m:e>
            <m:sub>
              <m:r>
                <m:rPr/>
                <w:rPr>
                  <w:rFonts w:ascii="Cambria Math" w:hAnsi="Cambria Math"/>
                </w:rPr>
                <m:t>trial</m:t>
              </m:r>
            </m:sub>
          </m:sSub>
          <m:r>
            <m:rPr/>
            <w:rPr>
              <w:rFonts w:ascii="Cambria Math" w:hAnsi="Cambria Math"/>
            </w:rPr>
            <m:t>=</m:t>
          </m:r>
          <m:f>
            <m:fPr/>
            <m:num>
              <m:r>
                <m:rPr/>
                <w:rPr>
                  <w:rFonts w:ascii="Cambria Math" w:hAnsi="Cambria Math"/>
                </w:rPr>
                <m:t>1</m:t>
              </m:r>
            </m:num>
            <m:den>
              <m:sSub>
                <m:sSubPr/>
                <m:e>
                  <m:r>
                    <m:rPr/>
                    <w:rPr>
                      <w:rFonts w:ascii="Cambria Math" w:hAnsi="Cambria Math"/>
                    </w:rPr>
                    <m:t>T</m:t>
                  </m:r>
                </m:e>
                <m:sub>
                  <m:r>
                    <m:rPr/>
                    <w:rPr>
                      <w:rFonts w:ascii="Cambria Math" w:hAnsi="Cambria Math"/>
                    </w:rPr>
                    <m:t>trial</m:t>
                  </m:r>
                </m:sub>
              </m:sSub>
            </m:den>
          </m:f>
          <m:nary>
            <m:naryPr>
              <m:chr m:val="∑"/>
              <m:grow m:val="1"/>
              <m:limLoc m:val="undOvr"/>
              <m:supHide m:val="1"/>
            </m:naryPr>
            <m:sub>
              <m:r>
                <m:rPr/>
                <w:rPr>
                  <w:rFonts w:ascii="Cambria Math" w:hAnsi="Cambria Math"/>
                </w:rPr>
                <m:t>t∈</m:t>
              </m:r>
              <m:sSub>
                <m:sSubPr/>
                <m:e>
                  <m:r>
                    <m:rPr/>
                    <w:rPr>
                      <w:rFonts w:ascii="Cambria Math" w:hAnsi="Cambria Math"/>
                    </w:rPr>
                    <m:t>T</m:t>
                  </m:r>
                </m:e>
                <m:sub>
                  <m:r>
                    <m:rPr/>
                    <w:rPr>
                      <w:rFonts w:ascii="Cambria Math" w:hAnsi="Cambria Math"/>
                    </w:rPr>
                    <m:t>trial</m:t>
                  </m:r>
                </m:sub>
              </m:sSub>
            </m:sub>
            <m:sup/>
            <m:e/>
          </m:nary>
          <m:sSub>
            <m:sSubPr/>
            <m:e>
              <m:r>
                <m:rPr/>
                <w:rPr>
                  <w:rFonts w:ascii="Cambria Math" w:hAnsi="Cambria Math"/>
                </w:rPr>
                <m:t>x</m:t>
              </m:r>
            </m:e>
            <m:sub>
              <m:r>
                <m:rPr/>
                <w:rPr>
                  <w:rFonts w:ascii="Cambria Math" w:hAnsi="Cambria Math"/>
                </w:rPr>
                <m:t>base</m:t>
              </m:r>
            </m:sub>
          </m:sSub>
          <m:r>
            <m:rPr/>
            <w:rPr>
              <w:rFonts w:ascii="Cambria Math" w:hAnsi="Cambria Math"/>
            </w:rPr>
            <m:t>(t),</m:t>
          </m:r>
          <m:sSub>
            <m:sSubPr/>
            <m:e>
              <m:r>
                <m:rPr/>
                <w:rPr>
                  <w:rFonts w:ascii="Cambria Math" w:hAnsi="Cambria Math"/>
                </w:rPr>
                <m:t>σ</m:t>
              </m:r>
            </m:e>
            <m:sub>
              <m:r>
                <m:rPr/>
                <w:rPr>
                  <w:rFonts w:ascii="Cambria Math" w:hAnsi="Cambria Math"/>
                </w:rPr>
                <m:t>trial</m:t>
              </m:r>
            </m:sub>
          </m:sSub>
          <m:r>
            <m:rPr/>
            <w:rPr>
              <w:rFonts w:ascii="Cambria Math" w:hAnsi="Cambria Math"/>
            </w:rPr>
            <m:t>=</m:t>
          </m:r>
          <m:rad>
            <m:radPr>
              <m:degHide m:val="1"/>
            </m:radPr>
            <m:deg/>
            <m:e>
              <m:f>
                <m:fPr/>
                <m:num>
                  <m:r>
                    <m:rPr/>
                    <w:rPr>
                      <w:rFonts w:ascii="Cambria Math" w:hAnsi="Cambria Math"/>
                    </w:rPr>
                    <m:t>1</m:t>
                  </m:r>
                </m:num>
                <m:den>
                  <m:sSub>
                    <m:sSubPr/>
                    <m:e>
                      <m:r>
                        <m:rPr/>
                        <w:rPr>
                          <w:rFonts w:ascii="Cambria Math" w:hAnsi="Cambria Math"/>
                        </w:rPr>
                        <m:t>T</m:t>
                      </m:r>
                    </m:e>
                    <m:sub>
                      <m:r>
                        <m:rPr/>
                        <w:rPr>
                          <w:rFonts w:ascii="Cambria Math" w:hAnsi="Cambria Math"/>
                        </w:rPr>
                        <m:t>trial</m:t>
                      </m:r>
                    </m:sub>
                  </m:sSub>
                </m:den>
              </m:f>
              <m:nary>
                <m:naryPr>
                  <m:chr m:val="∑"/>
                  <m:grow m:val="1"/>
                  <m:limLoc m:val="undOvr"/>
                  <m:supHide m:val="1"/>
                </m:naryPr>
                <m:sub>
                  <m:r>
                    <m:rPr/>
                    <w:rPr>
                      <w:rFonts w:ascii="Cambria Math" w:hAnsi="Cambria Math"/>
                    </w:rPr>
                    <m:t>t∈</m:t>
                  </m:r>
                  <m:sSub>
                    <m:sSubPr/>
                    <m:e>
                      <m:r>
                        <m:rPr/>
                        <w:rPr>
                          <w:rFonts w:ascii="Cambria Math" w:hAnsi="Cambria Math"/>
                        </w:rPr>
                        <m:t>T</m:t>
                      </m:r>
                    </m:e>
                    <m:sub>
                      <m:r>
                        <m:rPr/>
                        <w:rPr>
                          <w:rFonts w:ascii="Cambria Math" w:hAnsi="Cambria Math"/>
                        </w:rPr>
                        <m:t>trial</m:t>
                      </m:r>
                    </m:sub>
                  </m:sSub>
                </m:sub>
                <m:sup/>
                <m:e/>
              </m:nary>
              <m:r>
                <m:rPr/>
                <w:rPr>
                  <w:rFonts w:ascii="Cambria Math" w:hAnsi="Cambria Math"/>
                </w:rPr>
                <m:t>(</m:t>
              </m:r>
              <m:sSub>
                <m:sSubPr/>
                <m:e>
                  <m:r>
                    <m:rPr/>
                    <w:rPr>
                      <w:rFonts w:ascii="Cambria Math" w:hAnsi="Cambria Math"/>
                    </w:rPr>
                    <m:t>x</m:t>
                  </m:r>
                </m:e>
                <m:sub>
                  <m:r>
                    <m:rPr/>
                    <w:rPr>
                      <w:rFonts w:ascii="Cambria Math" w:hAnsi="Cambria Math"/>
                    </w:rPr>
                    <m:t>base</m:t>
                  </m:r>
                </m:sub>
              </m:sSub>
              <m:r>
                <m:rPr/>
                <w:rPr>
                  <w:rFonts w:ascii="Cambria Math" w:hAnsi="Cambria Math"/>
                </w:rPr>
                <m:t>(t)−</m:t>
              </m:r>
              <m:sSub>
                <m:sSubPr/>
                <m:e>
                  <m:r>
                    <m:rPr/>
                    <w:rPr>
                      <w:rFonts w:ascii="Cambria Math" w:hAnsi="Cambria Math"/>
                    </w:rPr>
                    <m:t>μ</m:t>
                  </m:r>
                </m:e>
                <m:sub>
                  <m:r>
                    <m:rPr/>
                    <w:rPr>
                      <w:rFonts w:ascii="Cambria Math" w:hAnsi="Cambria Math"/>
                    </w:rPr>
                    <m:t>trial</m:t>
                  </m:r>
                </m:sub>
              </m:sSub>
              <m:sSup>
                <m:sSupPr/>
                <m:e>
                  <m:r>
                    <m:rPr/>
                    <w:rPr>
                      <w:rFonts w:ascii="Cambria Math" w:hAnsi="Cambria Math"/>
                    </w:rPr>
                    <m:t>)</m:t>
                  </m:r>
                </m:e>
                <m:sup>
                  <m:r>
                    <m:rPr/>
                    <w:rPr>
                      <w:rFonts w:ascii="Cambria Math" w:hAnsi="Cambria Math"/>
                    </w:rPr>
                    <m:t>2</m:t>
                  </m:r>
                </m:sup>
              </m:sSup>
            </m:e>
          </m:rad>
        </m:oMath>
      </m:oMathPara>
    </w:p>
    <w:p w14:paraId="79C08B0D">
      <w:pPr>
        <w:spacing w:before="120" w:after="120" w:line="288" w:lineRule="auto"/>
        <w:ind w:left="0"/>
        <w:jc w:val="left"/>
      </w:pPr>
      <m:oMath>
        <m:sSub>
          <m:sSubPr/>
          <m:e>
            <m:r>
              <m:rPr/>
              <w:rPr>
                <w:rFonts w:ascii="Cambria Math" w:hAnsi="Cambria Math"/>
              </w:rPr>
              <m:t>x</m:t>
            </m:r>
          </m:e>
          <m:sub>
            <m:r>
              <m:rPr/>
              <w:rPr>
                <w:rFonts w:ascii="Cambria Math" w:hAnsi="Cambria Math"/>
              </w:rPr>
              <m:t>base</m:t>
            </m:r>
          </m:sub>
        </m:sSub>
        <m:r>
          <m:rPr/>
          <w:rPr>
            <w:rFonts w:ascii="Cambria Math" w:hAnsi="Cambria Math"/>
          </w:rPr>
          <m:t>(t)</m:t>
        </m:r>
      </m:oMath>
      <m:oMath>
        <m:sSub>
          <m:sSubPr/>
          <m:e>
            <m:r>
              <m:rPr/>
              <w:rPr>
                <w:rFonts w:ascii="Cambria Math" w:hAnsi="Cambria Math"/>
              </w:rPr>
              <m:t>T</m:t>
            </m:r>
          </m:e>
          <m:sub>
            <m:r>
              <m:rPr/>
              <w:rPr>
                <w:rFonts w:ascii="Cambria Math" w:hAnsi="Cambria Math"/>
              </w:rPr>
              <m:t>trial</m:t>
            </m:r>
          </m:sub>
        </m:sSub>
      </m:oMath>
      <m:oMath>
        <m:sSub>
          <m:sSubPr/>
          <m:e>
            <m:r>
              <m:rPr/>
              <w:rPr>
                <w:rFonts w:ascii="Cambria Math" w:hAnsi="Cambria Math"/>
              </w:rPr>
              <m:t>μ</m:t>
            </m:r>
          </m:e>
          <m:sub>
            <m:r>
              <m:rPr/>
              <w:rPr>
                <w:rFonts w:ascii="Cambria Math" w:hAnsi="Cambria Math"/>
              </w:rPr>
              <m:t>trial</m:t>
            </m:r>
          </m:sub>
        </m:sSub>
        <m:r>
          <m:rPr/>
          <w:rPr>
            <w:rFonts w:ascii="Cambria Math" w:hAnsi="Cambria Math"/>
          </w:rPr>
          <m:t>、</m:t>
        </m:r>
        <m:sSub>
          <m:sSubPr/>
          <m:e>
            <m:r>
              <m:rPr/>
              <w:rPr>
                <w:rFonts w:ascii="Cambria Math" w:hAnsi="Cambria Math"/>
              </w:rPr>
              <m:t>σ</m:t>
            </m:r>
          </m:e>
          <m:sub>
            <m:r>
              <m:rPr/>
              <w:rPr>
                <w:rFonts w:ascii="Cambria Math" w:hAnsi="Cambria Math"/>
              </w:rPr>
              <m:t>trial</m:t>
            </m:r>
          </m:sub>
        </m:sSub>
      </m:oMath>
      <m:oMath>
        <m:sSub>
          <m:sSubPr/>
          <m:e>
            <m:r>
              <m:rPr/>
              <w:rPr>
                <w:rFonts w:ascii="Cambria Math" w:hAnsi="Cambria Math"/>
              </w:rPr>
              <m:t>x</m:t>
            </m:r>
          </m:e>
          <m:sub>
            <m:r>
              <m:rPr/>
              <w:rPr>
                <w:rFonts w:ascii="Cambria Math" w:hAnsi="Cambria Math"/>
              </w:rPr>
              <m:t>norm</m:t>
            </m:r>
          </m:sub>
        </m:sSub>
        <m:r>
          <m:rPr/>
          <w:rPr>
            <w:rFonts w:ascii="Cambria Math" w:hAnsi="Cambria Math"/>
          </w:rPr>
          <m:t>(t)</m:t>
        </m:r>
      </m:oMath>
      <w:r>
        <w:t>变量释义：基线校正后信号；有效分类时间窗为单试次绝对时间 t=2~6 s（等价于 Cue 后0~4 s）；单试次有效区间均值与标准差；最终标准化信号。</w:t>
      </w:r>
    </w:p>
    <w:p w14:paraId="4C00C19A">
      <w:pPr>
        <w:numPr>
          <w:ilvl w:val="0"/>
          <w:numId w:val="71"/>
        </w:numPr>
        <w:spacing w:before="120" w:after="120" w:line="288" w:lineRule="auto"/>
        <w:ind w:left="0"/>
        <w:jc w:val="left"/>
      </w:pPr>
      <w:r>
        <w:rPr>
          <w:rFonts w:ascii="Arial" w:hAnsi="Arial" w:eastAsia="等线" w:cs="Arial"/>
          <w:b/>
          <w:sz w:val="22"/>
        </w:rPr>
        <w:t>核心定位</w:t>
      </w:r>
      <w:r>
        <w:rPr>
          <w:rFonts w:ascii="Arial" w:hAnsi="Arial" w:eastAsia="等线" w:cs="Arial"/>
          <w:sz w:val="22"/>
        </w:rPr>
        <w:t>：统计分布归一化操作，针对数据幅值差异与分布偏差优化</w:t>
      </w:r>
    </w:p>
    <w:p w14:paraId="04C02F2E">
      <w:pPr>
        <w:numPr>
          <w:ilvl w:val="0"/>
          <w:numId w:val="72"/>
        </w:numPr>
        <w:spacing w:before="120" w:after="120" w:line="288" w:lineRule="auto"/>
        <w:ind w:left="0"/>
        <w:jc w:val="left"/>
      </w:pPr>
      <w:r>
        <w:rPr>
          <w:rFonts w:ascii="Arial" w:hAnsi="Arial" w:eastAsia="等线" w:cs="Arial"/>
          <w:b/>
          <w:sz w:val="22"/>
        </w:rPr>
        <w:t>修正对象</w:t>
      </w:r>
      <w:r>
        <w:rPr>
          <w:rFonts w:ascii="Arial" w:hAnsi="Arial" w:eastAsia="等线" w:cs="Arial"/>
          <w:sz w:val="22"/>
        </w:rPr>
        <w:t>：不同被试、不同会话、不同试次之间的</w:t>
      </w:r>
      <w:r>
        <w:rPr>
          <w:rFonts w:ascii="Arial" w:hAnsi="Arial" w:eastAsia="等线" w:cs="Arial"/>
          <w:b/>
          <w:sz w:val="22"/>
        </w:rPr>
        <w:t>信号幅值差异、方差不一致问题</w:t>
      </w:r>
    </w:p>
    <w:p w14:paraId="2E927552">
      <w:pPr>
        <w:numPr>
          <w:ilvl w:val="0"/>
          <w:numId w:val="73"/>
        </w:numPr>
        <w:spacing w:before="120" w:after="120" w:line="288" w:lineRule="auto"/>
        <w:ind w:left="0"/>
        <w:jc w:val="left"/>
      </w:pPr>
      <w:r>
        <w:rPr>
          <w:rFonts w:ascii="Arial" w:hAnsi="Arial" w:eastAsia="等线" w:cs="Arial"/>
          <w:b/>
          <w:sz w:val="22"/>
        </w:rPr>
        <w:t>计算区间</w:t>
      </w:r>
      <w:r>
        <w:rPr>
          <w:rFonts w:ascii="Arial" w:hAnsi="Arial" w:eastAsia="等线" w:cs="Arial"/>
          <w:sz w:val="22"/>
        </w:rPr>
        <w:t>：仅用试次有效分类特征区间，动态归一分布</w:t>
      </w:r>
    </w:p>
    <w:p w14:paraId="0A99BFBE">
      <w:pPr>
        <w:numPr>
          <w:ilvl w:val="0"/>
          <w:numId w:val="74"/>
        </w:numPr>
        <w:spacing w:before="120" w:after="120" w:line="288" w:lineRule="auto"/>
        <w:ind w:left="0"/>
        <w:jc w:val="left"/>
      </w:pPr>
      <w:r>
        <w:rPr>
          <w:rFonts w:ascii="Arial" w:hAnsi="Arial" w:eastAsia="等线" w:cs="Arial"/>
          <w:b/>
          <w:sz w:val="22"/>
        </w:rPr>
        <w:t>核心作用</w:t>
      </w:r>
      <w:r>
        <w:rPr>
          <w:rFonts w:ascii="Arial" w:hAnsi="Arial" w:eastAsia="等线" w:cs="Arial"/>
          <w:sz w:val="22"/>
        </w:rPr>
        <w:t>：抹平个体生理差异带来的幅值偏移，统一全局数据域分布，加速模型收敛，</w:t>
      </w:r>
      <w:r>
        <w:rPr>
          <w:rFonts w:ascii="Arial" w:hAnsi="Arial" w:eastAsia="等线" w:cs="Arial"/>
          <w:b/>
          <w:sz w:val="22"/>
        </w:rPr>
        <w:t>不改变信号物理基线与空间特征</w:t>
      </w:r>
    </w:p>
    <w:p w14:paraId="373B91CA">
      <w:pPr>
        <w:numPr>
          <w:ilvl w:val="0"/>
          <w:numId w:val="75"/>
        </w:numPr>
        <w:spacing w:before="120" w:after="120" w:line="288" w:lineRule="auto"/>
        <w:ind w:left="0"/>
        <w:jc w:val="left"/>
      </w:pPr>
      <w:r>
        <w:rPr>
          <w:rFonts w:ascii="Arial" w:hAnsi="Arial" w:eastAsia="等线" w:cs="Arial"/>
          <w:b/>
          <w:sz w:val="22"/>
        </w:rPr>
        <w:t>执行时机</w:t>
      </w:r>
      <w:r>
        <w:rPr>
          <w:rFonts w:ascii="Arial" w:hAnsi="Arial" w:eastAsia="等线" w:cs="Arial"/>
          <w:sz w:val="22"/>
        </w:rPr>
        <w:t>：重采样、时间窗截取完成后的最终归一化步骤</w:t>
      </w:r>
    </w:p>
    <w:p w14:paraId="6FB61989">
      <w:pPr>
        <w:numPr>
          <w:ilvl w:val="0"/>
          <w:numId w:val="76"/>
        </w:numPr>
        <w:spacing w:before="120" w:after="120" w:line="288" w:lineRule="auto"/>
        <w:ind w:left="0"/>
        <w:jc w:val="left"/>
      </w:pPr>
      <w:r>
        <w:rPr>
          <w:rFonts w:ascii="Arial" w:hAnsi="Arial" w:eastAsia="等线" w:cs="Arial"/>
          <w:b/>
          <w:sz w:val="22"/>
        </w:rPr>
        <w:t>核心定位</w:t>
      </w:r>
      <w:r>
        <w:rPr>
          <w:rFonts w:ascii="Arial" w:hAnsi="Arial" w:eastAsia="等线" w:cs="Arial"/>
          <w:sz w:val="22"/>
        </w:rPr>
        <w:t>：统计分布归一化操作，针对数据幅值差异与分布偏差优化</w:t>
      </w:r>
    </w:p>
    <w:p w14:paraId="345E7733">
      <w:pPr>
        <w:numPr>
          <w:ilvl w:val="0"/>
          <w:numId w:val="77"/>
        </w:numPr>
        <w:spacing w:before="120" w:after="120" w:line="288" w:lineRule="auto"/>
        <w:ind w:left="0"/>
        <w:jc w:val="left"/>
      </w:pPr>
      <w:r>
        <w:rPr>
          <w:rFonts w:ascii="Arial" w:hAnsi="Arial" w:eastAsia="等线" w:cs="Arial"/>
          <w:b/>
          <w:sz w:val="22"/>
        </w:rPr>
        <w:t>修正对象</w:t>
      </w:r>
      <w:r>
        <w:rPr>
          <w:rFonts w:ascii="Arial" w:hAnsi="Arial" w:eastAsia="等线" w:cs="Arial"/>
          <w:sz w:val="22"/>
        </w:rPr>
        <w:t>：不同被试、不同会话、不同试次之间的</w:t>
      </w:r>
      <w:r>
        <w:rPr>
          <w:rFonts w:ascii="Arial" w:hAnsi="Arial" w:eastAsia="等线" w:cs="Arial"/>
          <w:b/>
          <w:sz w:val="22"/>
        </w:rPr>
        <w:t>信号幅值差异、方差不一致问题</w:t>
      </w:r>
    </w:p>
    <w:p w14:paraId="3714C697">
      <w:pPr>
        <w:numPr>
          <w:ilvl w:val="0"/>
          <w:numId w:val="78"/>
        </w:numPr>
        <w:spacing w:before="120" w:after="120" w:line="288" w:lineRule="auto"/>
        <w:ind w:left="0"/>
        <w:jc w:val="left"/>
      </w:pPr>
      <w:r>
        <w:rPr>
          <w:rFonts w:ascii="Arial" w:hAnsi="Arial" w:eastAsia="等线" w:cs="Arial"/>
          <w:b/>
          <w:sz w:val="22"/>
        </w:rPr>
        <w:t>处理逻辑</w:t>
      </w:r>
      <w:r>
        <w:rPr>
          <w:rFonts w:ascii="Arial" w:hAnsi="Arial" w:eastAsia="等线" w:cs="Arial"/>
          <w:sz w:val="22"/>
        </w:rPr>
        <w:t>：基于单试次有效时序数据的均值与标准差，将信号归一为标准正态分布</w:t>
      </w:r>
    </w:p>
    <w:p w14:paraId="6879D49E">
      <w:pPr>
        <w:numPr>
          <w:ilvl w:val="0"/>
          <w:numId w:val="79"/>
        </w:numPr>
        <w:spacing w:before="120" w:after="120" w:line="288" w:lineRule="auto"/>
        <w:ind w:left="0"/>
        <w:jc w:val="left"/>
      </w:pPr>
      <w:r>
        <w:rPr>
          <w:rFonts w:ascii="Arial" w:hAnsi="Arial" w:eastAsia="等线" w:cs="Arial"/>
          <w:b/>
          <w:sz w:val="22"/>
        </w:rPr>
        <w:t>核心作用</w:t>
      </w:r>
      <w:r>
        <w:rPr>
          <w:rFonts w:ascii="Arial" w:hAnsi="Arial" w:eastAsia="等线" w:cs="Arial"/>
          <w:sz w:val="22"/>
        </w:rPr>
        <w:t>：抹平个体生理差异带来的幅值偏移，统一全局数据域分布，加速模型收敛，不改变信号物理基线与空间特征</w:t>
      </w:r>
    </w:p>
    <w:p w14:paraId="6B973306">
      <w:pPr>
        <w:numPr>
          <w:ilvl w:val="0"/>
          <w:numId w:val="80"/>
        </w:numPr>
        <w:spacing w:before="120" w:after="120" w:line="288" w:lineRule="auto"/>
        <w:ind w:left="0"/>
        <w:jc w:val="left"/>
      </w:pPr>
      <w:r>
        <w:rPr>
          <w:rFonts w:ascii="Arial" w:hAnsi="Arial" w:eastAsia="等线" w:cs="Arial"/>
          <w:b/>
          <w:sz w:val="22"/>
        </w:rPr>
        <w:t>执行时机</w:t>
      </w:r>
      <w:r>
        <w:rPr>
          <w:rFonts w:ascii="Arial" w:hAnsi="Arial" w:eastAsia="等线" w:cs="Arial"/>
          <w:sz w:val="22"/>
        </w:rPr>
        <w:t>：重采样、时间窗截取完成后的最终归一化步骤</w:t>
      </w:r>
    </w:p>
    <w:p w14:paraId="63ED7E5B">
      <w:pPr>
        <w:spacing w:before="300" w:after="120" w:line="288" w:lineRule="auto"/>
        <w:ind w:left="0"/>
        <w:jc w:val="left"/>
        <w:outlineLvl w:val="2"/>
      </w:pPr>
      <w:bookmarkStart w:id="55" w:name="heading_55"/>
      <w:r>
        <w:rPr>
          <w:rFonts w:ascii="Arial" w:hAnsi="Arial" w:eastAsia="等线" w:cs="Arial"/>
          <w:b/>
          <w:sz w:val="30"/>
        </w:rPr>
        <w:t>三者公式与功能核心总结（论文精简对比）</w:t>
      </w:r>
      <w:bookmarkEnd w:id="55"/>
    </w:p>
    <w:p w14:paraId="2A36E277">
      <w:pPr>
        <w:spacing w:before="120" w:after="120" w:line="288" w:lineRule="auto"/>
        <w:ind w:left="0"/>
        <w:jc w:val="left"/>
      </w:pPr>
      <w:r>
        <w:rPr>
          <w:rFonts w:ascii="Arial" w:hAnsi="Arial" w:eastAsia="等线" w:cs="Arial"/>
          <w:sz w:val="22"/>
        </w:rPr>
        <w:t>从计算逻辑与修正层级可明确三者递进关系：</w:t>
      </w:r>
      <w:r>
        <w:rPr>
          <w:rFonts w:ascii="Arial" w:hAnsi="Arial" w:eastAsia="等线" w:cs="Arial"/>
          <w:b/>
          <w:sz w:val="22"/>
        </w:rPr>
        <w:t>CAR为重参考空间运算（多通道协同降噪）</w:t>
      </w:r>
      <w:r>
        <w:rPr>
          <w:rFonts w:ascii="Arial" w:hAnsi="Arial" w:eastAsia="等线" w:cs="Arial"/>
          <w:sz w:val="22"/>
        </w:rPr>
        <w:t>，通过全通道平均消除空间公共噪声，仅优化信号空间特征；</w:t>
      </w:r>
      <w:r>
        <w:rPr>
          <w:rFonts w:ascii="Arial" w:hAnsi="Arial" w:eastAsia="等线" w:cs="Arial"/>
          <w:b/>
          <w:sz w:val="22"/>
        </w:rPr>
        <w:t>基线校正为静态均值减法（单通道基准归零）</w:t>
      </w:r>
      <w:r>
        <w:rPr>
          <w:rFonts w:ascii="Arial" w:hAnsi="Arial" w:eastAsia="等线" w:cs="Arial"/>
          <w:sz w:val="22"/>
        </w:rPr>
        <w:t>，依托前置静息区间消除设备与生理带来的直流偏移，保证信号物理基准统一；</w:t>
      </w:r>
      <w:r>
        <w:rPr>
          <w:rFonts w:ascii="Arial" w:hAnsi="Arial" w:eastAsia="等线" w:cs="Arial"/>
          <w:b/>
          <w:sz w:val="22"/>
        </w:rPr>
        <w:t>单试次Z-score为均值方差归一化（单通道分布重塑）</w:t>
      </w:r>
      <w:r>
        <w:rPr>
          <w:rFonts w:ascii="Arial" w:hAnsi="Arial" w:eastAsia="等线" w:cs="Arial"/>
          <w:sz w:val="22"/>
        </w:rPr>
        <w:t>，依托有效特征区间重塑数据统计分布，抹平个体与试次幅值差异。三者逐层递进、功能完全互补，共同实现EEG数据空间、物理、统计三维度的全面同质化，是跨数据集模型稳定泛化的核心预处理保障。</w:t>
      </w:r>
    </w:p>
    <w:p w14:paraId="3FCA2FA1">
      <w:pPr>
        <w:spacing w:before="300" w:after="120" w:line="288" w:lineRule="auto"/>
        <w:ind w:left="0"/>
        <w:jc w:val="left"/>
        <w:outlineLvl w:val="2"/>
      </w:pPr>
      <w:bookmarkStart w:id="56" w:name="heading_56"/>
      <w:r>
        <w:rPr>
          <w:rFonts w:ascii="Arial" w:hAnsi="Arial" w:eastAsia="等线" w:cs="Arial"/>
          <w:b/>
          <w:sz w:val="30"/>
        </w:rPr>
        <w:t>三者关键维度对照表（论文可直接插入表格）</w:t>
      </w:r>
      <w:bookmarkEnd w:id="56"/>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380"/>
        <w:gridCol w:w="1380"/>
        <w:gridCol w:w="1380"/>
        <w:gridCol w:w="1380"/>
        <w:gridCol w:w="1380"/>
        <w:gridCol w:w="1380"/>
      </w:tblGrid>
      <w:tr w14:paraId="08BA2C99">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004D8F59">
            <w:pPr>
              <w:spacing w:before="120" w:after="120" w:line="288" w:lineRule="auto"/>
              <w:ind w:left="0"/>
              <w:jc w:val="left"/>
            </w:pPr>
            <w:r>
              <w:rPr>
                <w:rFonts w:ascii="Arial" w:hAnsi="Arial" w:eastAsia="等线" w:cs="Arial"/>
                <w:sz w:val="22"/>
              </w:rPr>
              <w:t>预处理操作</w:t>
            </w:r>
          </w:p>
        </w:tc>
        <w:tc>
          <w:tcPr>
            <w:tcW w:w="1380" w:type="dxa"/>
            <w:tcMar>
              <w:top w:w="60" w:type="dxa"/>
              <w:left w:w="120" w:type="dxa"/>
              <w:bottom w:w="30" w:type="dxa"/>
              <w:right w:w="120" w:type="dxa"/>
            </w:tcMar>
          </w:tcPr>
          <w:p w14:paraId="4522A764">
            <w:pPr>
              <w:spacing w:before="120" w:after="120" w:line="288" w:lineRule="auto"/>
              <w:ind w:left="0"/>
              <w:jc w:val="left"/>
            </w:pPr>
            <w:r>
              <w:rPr>
                <w:rFonts w:ascii="Arial" w:hAnsi="Arial" w:eastAsia="等线" w:cs="Arial"/>
                <w:sz w:val="22"/>
              </w:rPr>
              <w:t>修正维度</w:t>
            </w:r>
          </w:p>
        </w:tc>
        <w:tc>
          <w:tcPr>
            <w:tcW w:w="1380" w:type="dxa"/>
            <w:tcMar>
              <w:top w:w="60" w:type="dxa"/>
              <w:left w:w="120" w:type="dxa"/>
              <w:bottom w:w="30" w:type="dxa"/>
              <w:right w:w="120" w:type="dxa"/>
            </w:tcMar>
          </w:tcPr>
          <w:p w14:paraId="1FA2D9D8">
            <w:pPr>
              <w:spacing w:before="120" w:after="120" w:line="288" w:lineRule="auto"/>
              <w:ind w:left="0"/>
              <w:jc w:val="left"/>
            </w:pPr>
            <w:r>
              <w:rPr>
                <w:rFonts w:ascii="Arial" w:hAnsi="Arial" w:eastAsia="等线" w:cs="Arial"/>
                <w:sz w:val="22"/>
              </w:rPr>
              <w:t>核心公式逻辑</w:t>
            </w:r>
          </w:p>
        </w:tc>
        <w:tc>
          <w:tcPr>
            <w:tcW w:w="1380" w:type="dxa"/>
            <w:tcMar>
              <w:top w:w="60" w:type="dxa"/>
              <w:left w:w="120" w:type="dxa"/>
              <w:bottom w:w="30" w:type="dxa"/>
              <w:right w:w="120" w:type="dxa"/>
            </w:tcMar>
          </w:tcPr>
          <w:p w14:paraId="582EE782">
            <w:pPr>
              <w:spacing w:before="120" w:after="120" w:line="288" w:lineRule="auto"/>
              <w:ind w:left="0"/>
              <w:jc w:val="left"/>
            </w:pPr>
            <w:r>
              <w:rPr>
                <w:rFonts w:ascii="Arial" w:hAnsi="Arial" w:eastAsia="等线" w:cs="Arial"/>
                <w:sz w:val="22"/>
              </w:rPr>
              <w:t>计算区间</w:t>
            </w:r>
          </w:p>
        </w:tc>
        <w:tc>
          <w:tcPr>
            <w:tcW w:w="1380" w:type="dxa"/>
            <w:tcMar>
              <w:top w:w="60" w:type="dxa"/>
              <w:left w:w="120" w:type="dxa"/>
              <w:bottom w:w="30" w:type="dxa"/>
              <w:right w:w="120" w:type="dxa"/>
            </w:tcMar>
          </w:tcPr>
          <w:p w14:paraId="5DF1B132">
            <w:pPr>
              <w:spacing w:before="120" w:after="120" w:line="288" w:lineRule="auto"/>
              <w:ind w:left="0"/>
              <w:jc w:val="left"/>
            </w:pPr>
            <w:r>
              <w:rPr>
                <w:rFonts w:ascii="Arial" w:hAnsi="Arial" w:eastAsia="等线" w:cs="Arial"/>
                <w:sz w:val="22"/>
              </w:rPr>
              <w:t>是否改变基线</w:t>
            </w:r>
          </w:p>
        </w:tc>
        <w:tc>
          <w:tcPr>
            <w:tcW w:w="1380" w:type="dxa"/>
            <w:tcMar>
              <w:top w:w="60" w:type="dxa"/>
              <w:left w:w="120" w:type="dxa"/>
              <w:bottom w:w="30" w:type="dxa"/>
              <w:right w:w="120" w:type="dxa"/>
            </w:tcMar>
          </w:tcPr>
          <w:p w14:paraId="0B6C4FEB">
            <w:pPr>
              <w:spacing w:before="120" w:after="120" w:line="288" w:lineRule="auto"/>
              <w:ind w:left="0"/>
              <w:jc w:val="left"/>
            </w:pPr>
            <w:r>
              <w:rPr>
                <w:rFonts w:ascii="Arial" w:hAnsi="Arial" w:eastAsia="等线" w:cs="Arial"/>
                <w:sz w:val="22"/>
              </w:rPr>
              <w:t>是否改变分布方差</w:t>
            </w:r>
          </w:p>
        </w:tc>
      </w:tr>
      <w:tr w14:paraId="10DF27B5">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60336024">
            <w:pPr>
              <w:spacing w:before="120" w:after="120" w:line="288" w:lineRule="auto"/>
              <w:ind w:left="0"/>
              <w:jc w:val="left"/>
            </w:pPr>
            <w:r>
              <w:rPr>
                <w:rFonts w:ascii="Arial" w:hAnsi="Arial" w:eastAsia="等线" w:cs="Arial"/>
                <w:sz w:val="22"/>
              </w:rPr>
              <w:t>CAR重参考</w:t>
            </w:r>
          </w:p>
        </w:tc>
        <w:tc>
          <w:tcPr>
            <w:tcW w:w="1380" w:type="dxa"/>
            <w:tcMar>
              <w:top w:w="60" w:type="dxa"/>
              <w:left w:w="120" w:type="dxa"/>
              <w:bottom w:w="30" w:type="dxa"/>
              <w:right w:w="120" w:type="dxa"/>
            </w:tcMar>
          </w:tcPr>
          <w:p w14:paraId="7196E70E">
            <w:pPr>
              <w:spacing w:before="120" w:after="120" w:line="288" w:lineRule="auto"/>
              <w:ind w:left="0"/>
              <w:jc w:val="left"/>
            </w:pPr>
            <w:r>
              <w:rPr>
                <w:rFonts w:ascii="Arial" w:hAnsi="Arial" w:eastAsia="等线" w:cs="Arial"/>
                <w:sz w:val="22"/>
              </w:rPr>
              <w:t>空间域</w:t>
            </w:r>
          </w:p>
        </w:tc>
        <w:tc>
          <w:tcPr>
            <w:tcW w:w="1380" w:type="dxa"/>
            <w:tcMar>
              <w:top w:w="60" w:type="dxa"/>
              <w:left w:w="120" w:type="dxa"/>
              <w:bottom w:w="30" w:type="dxa"/>
              <w:right w:w="120" w:type="dxa"/>
            </w:tcMar>
          </w:tcPr>
          <w:p w14:paraId="6EF4D8D0">
            <w:pPr>
              <w:spacing w:before="120" w:after="120" w:line="288" w:lineRule="auto"/>
              <w:ind w:left="0"/>
              <w:jc w:val="left"/>
            </w:pPr>
            <w:r>
              <w:rPr>
                <w:rFonts w:ascii="Arial" w:hAnsi="Arial" w:eastAsia="等线" w:cs="Arial"/>
                <w:sz w:val="22"/>
              </w:rPr>
              <w:t>单通道减全通道均值</w:t>
            </w:r>
          </w:p>
        </w:tc>
        <w:tc>
          <w:tcPr>
            <w:tcW w:w="1380" w:type="dxa"/>
            <w:tcMar>
              <w:top w:w="60" w:type="dxa"/>
              <w:left w:w="120" w:type="dxa"/>
              <w:bottom w:w="30" w:type="dxa"/>
              <w:right w:w="120" w:type="dxa"/>
            </w:tcMar>
          </w:tcPr>
          <w:p w14:paraId="6D86AFC1">
            <w:pPr>
              <w:spacing w:before="120" w:after="120" w:line="288" w:lineRule="auto"/>
              <w:ind w:left="0"/>
              <w:jc w:val="left"/>
            </w:pPr>
            <w:r>
              <w:rPr>
                <w:rFonts w:ascii="Arial" w:hAnsi="Arial" w:eastAsia="等线" w:cs="Arial"/>
                <w:sz w:val="22"/>
              </w:rPr>
              <w:t>原始整段连续信号</w:t>
            </w:r>
          </w:p>
        </w:tc>
        <w:tc>
          <w:tcPr>
            <w:tcW w:w="1380" w:type="dxa"/>
            <w:tcMar>
              <w:top w:w="60" w:type="dxa"/>
              <w:left w:w="120" w:type="dxa"/>
              <w:bottom w:w="30" w:type="dxa"/>
              <w:right w:w="120" w:type="dxa"/>
            </w:tcMar>
          </w:tcPr>
          <w:p w14:paraId="422BB7CF">
            <w:pPr>
              <w:spacing w:before="120" w:after="120" w:line="288" w:lineRule="auto"/>
              <w:ind w:left="0"/>
              <w:jc w:val="left"/>
            </w:pPr>
            <w:r>
              <w:rPr>
                <w:rFonts w:ascii="Arial" w:hAnsi="Arial" w:eastAsia="等线" w:cs="Arial"/>
                <w:sz w:val="22"/>
              </w:rPr>
              <w:t>否</w:t>
            </w:r>
          </w:p>
        </w:tc>
        <w:tc>
          <w:tcPr>
            <w:tcW w:w="1380" w:type="dxa"/>
            <w:tcMar>
              <w:top w:w="60" w:type="dxa"/>
              <w:left w:w="120" w:type="dxa"/>
              <w:bottom w:w="30" w:type="dxa"/>
              <w:right w:w="120" w:type="dxa"/>
            </w:tcMar>
          </w:tcPr>
          <w:p w14:paraId="245F9A4B">
            <w:pPr>
              <w:spacing w:before="120" w:after="120" w:line="288" w:lineRule="auto"/>
              <w:ind w:left="0"/>
              <w:jc w:val="left"/>
            </w:pPr>
            <w:r>
              <w:rPr>
                <w:rFonts w:ascii="Arial" w:hAnsi="Arial" w:eastAsia="等线" w:cs="Arial"/>
                <w:sz w:val="22"/>
              </w:rPr>
              <w:t>轻微改变（空间降噪）</w:t>
            </w:r>
          </w:p>
        </w:tc>
      </w:tr>
      <w:tr w14:paraId="79CFD10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6EC4CF31">
            <w:pPr>
              <w:spacing w:before="120" w:after="120" w:line="288" w:lineRule="auto"/>
              <w:ind w:left="0"/>
              <w:jc w:val="left"/>
            </w:pPr>
            <w:r>
              <w:rPr>
                <w:rFonts w:ascii="Arial" w:hAnsi="Arial" w:eastAsia="等线" w:cs="Arial"/>
                <w:sz w:val="22"/>
              </w:rPr>
              <w:t>基线校正</w:t>
            </w:r>
          </w:p>
        </w:tc>
        <w:tc>
          <w:tcPr>
            <w:tcW w:w="1380" w:type="dxa"/>
            <w:tcMar>
              <w:top w:w="60" w:type="dxa"/>
              <w:left w:w="120" w:type="dxa"/>
              <w:bottom w:w="30" w:type="dxa"/>
              <w:right w:w="120" w:type="dxa"/>
            </w:tcMar>
          </w:tcPr>
          <w:p w14:paraId="76AEDD96">
            <w:pPr>
              <w:spacing w:before="120" w:after="120" w:line="288" w:lineRule="auto"/>
              <w:ind w:left="0"/>
              <w:jc w:val="left"/>
            </w:pPr>
            <w:r>
              <w:rPr>
                <w:rFonts w:ascii="Arial" w:hAnsi="Arial" w:eastAsia="等线" w:cs="Arial"/>
                <w:sz w:val="22"/>
              </w:rPr>
              <w:t>物理时域</w:t>
            </w:r>
          </w:p>
        </w:tc>
        <w:tc>
          <w:tcPr>
            <w:tcW w:w="1380" w:type="dxa"/>
            <w:tcMar>
              <w:top w:w="60" w:type="dxa"/>
              <w:left w:w="120" w:type="dxa"/>
              <w:bottom w:w="30" w:type="dxa"/>
              <w:right w:w="120" w:type="dxa"/>
            </w:tcMar>
          </w:tcPr>
          <w:p w14:paraId="73A71C9A">
            <w:pPr>
              <w:spacing w:before="120" w:after="120" w:line="288" w:lineRule="auto"/>
              <w:ind w:left="0"/>
              <w:jc w:val="left"/>
            </w:pPr>
            <w:r>
              <w:rPr>
                <w:rFonts w:ascii="Arial" w:hAnsi="Arial" w:eastAsia="等线" w:cs="Arial"/>
                <w:sz w:val="22"/>
              </w:rPr>
              <w:t>整段信号减静息均值</w:t>
            </w:r>
          </w:p>
        </w:tc>
        <w:tc>
          <w:tcPr>
            <w:tcW w:w="1380" w:type="dxa"/>
            <w:tcMar>
              <w:top w:w="60" w:type="dxa"/>
              <w:left w:w="120" w:type="dxa"/>
              <w:bottom w:w="30" w:type="dxa"/>
              <w:right w:w="120" w:type="dxa"/>
            </w:tcMar>
          </w:tcPr>
          <w:p w14:paraId="5C0585F1">
            <w:pPr>
              <w:spacing w:before="120" w:after="120" w:line="288" w:lineRule="auto"/>
              <w:ind w:left="0"/>
              <w:jc w:val="left"/>
            </w:pPr>
            <w:r>
              <w:rPr>
                <w:rFonts w:ascii="Arial" w:hAnsi="Arial" w:eastAsia="等线" w:cs="Arial"/>
                <w:sz w:val="22"/>
              </w:rPr>
              <w:t>前置-0.5s~0s基线段</w:t>
            </w:r>
          </w:p>
        </w:tc>
        <w:tc>
          <w:tcPr>
            <w:tcW w:w="1380" w:type="dxa"/>
            <w:tcMar>
              <w:top w:w="60" w:type="dxa"/>
              <w:left w:w="120" w:type="dxa"/>
              <w:bottom w:w="30" w:type="dxa"/>
              <w:right w:w="120" w:type="dxa"/>
            </w:tcMar>
          </w:tcPr>
          <w:p w14:paraId="699BFE45">
            <w:pPr>
              <w:spacing w:before="120" w:after="120" w:line="288" w:lineRule="auto"/>
              <w:ind w:left="0"/>
              <w:jc w:val="left"/>
            </w:pPr>
            <w:r>
              <w:rPr>
                <w:rFonts w:ascii="Arial" w:hAnsi="Arial" w:eastAsia="等线" w:cs="Arial"/>
                <w:sz w:val="22"/>
              </w:rPr>
              <w:t>是（归零校准）</w:t>
            </w:r>
          </w:p>
        </w:tc>
        <w:tc>
          <w:tcPr>
            <w:tcW w:w="1380" w:type="dxa"/>
            <w:tcMar>
              <w:top w:w="60" w:type="dxa"/>
              <w:left w:w="120" w:type="dxa"/>
              <w:bottom w:w="30" w:type="dxa"/>
              <w:right w:w="120" w:type="dxa"/>
            </w:tcMar>
          </w:tcPr>
          <w:p w14:paraId="5F20AB26">
            <w:pPr>
              <w:spacing w:before="120" w:after="120" w:line="288" w:lineRule="auto"/>
              <w:ind w:left="0"/>
              <w:jc w:val="left"/>
            </w:pPr>
            <w:r>
              <w:rPr>
                <w:rFonts w:ascii="Arial" w:hAnsi="Arial" w:eastAsia="等线" w:cs="Arial"/>
                <w:sz w:val="22"/>
              </w:rPr>
              <w:t>否</w:t>
            </w:r>
          </w:p>
        </w:tc>
      </w:tr>
      <w:tr w14:paraId="166BA495">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7850B105">
            <w:pPr>
              <w:spacing w:before="120" w:after="120" w:line="288" w:lineRule="auto"/>
              <w:ind w:left="0"/>
              <w:jc w:val="left"/>
            </w:pPr>
            <w:r>
              <w:rPr>
                <w:rFonts w:ascii="Arial" w:hAnsi="Arial" w:eastAsia="等线" w:cs="Arial"/>
                <w:sz w:val="22"/>
              </w:rPr>
              <w:t>Z-score标准化</w:t>
            </w:r>
          </w:p>
        </w:tc>
        <w:tc>
          <w:tcPr>
            <w:tcW w:w="1380" w:type="dxa"/>
            <w:tcMar>
              <w:top w:w="60" w:type="dxa"/>
              <w:left w:w="120" w:type="dxa"/>
              <w:bottom w:w="30" w:type="dxa"/>
              <w:right w:w="120" w:type="dxa"/>
            </w:tcMar>
          </w:tcPr>
          <w:p w14:paraId="666F35B4">
            <w:pPr>
              <w:spacing w:before="120" w:after="120" w:line="288" w:lineRule="auto"/>
              <w:ind w:left="0"/>
              <w:jc w:val="left"/>
            </w:pPr>
            <w:r>
              <w:rPr>
                <w:rFonts w:ascii="Arial" w:hAnsi="Arial" w:eastAsia="等线" w:cs="Arial"/>
                <w:sz w:val="22"/>
              </w:rPr>
              <w:t>统计域</w:t>
            </w:r>
          </w:p>
        </w:tc>
        <w:tc>
          <w:tcPr>
            <w:tcW w:w="1380" w:type="dxa"/>
            <w:tcMar>
              <w:top w:w="60" w:type="dxa"/>
              <w:left w:w="120" w:type="dxa"/>
              <w:bottom w:w="30" w:type="dxa"/>
              <w:right w:w="120" w:type="dxa"/>
            </w:tcMar>
          </w:tcPr>
          <w:p w14:paraId="5A09E0D4">
            <w:pPr>
              <w:spacing w:before="120" w:after="120" w:line="288" w:lineRule="auto"/>
              <w:ind w:left="0"/>
              <w:jc w:val="left"/>
            </w:pPr>
            <w:r>
              <w:rPr>
                <w:rFonts w:ascii="Arial" w:hAnsi="Arial" w:eastAsia="等线" w:cs="Arial"/>
                <w:sz w:val="22"/>
              </w:rPr>
              <w:t>去均值/标准差归一化</w:t>
            </w:r>
          </w:p>
        </w:tc>
        <w:tc>
          <w:tcPr>
            <w:tcW w:w="1380" w:type="dxa"/>
            <w:tcMar>
              <w:top w:w="60" w:type="dxa"/>
              <w:left w:w="120" w:type="dxa"/>
              <w:bottom w:w="30" w:type="dxa"/>
              <w:right w:w="120" w:type="dxa"/>
            </w:tcMar>
          </w:tcPr>
          <w:p>
            <w:r>
              <w:t>单试次绝对时间 t=2~6 s（Cue后0~4 s）；静息为独立4 s休息窗</w:t>
            </w:r>
          </w:p>
        </w:tc>
        <w:tc>
          <w:tcPr>
            <w:tcW w:w="1380" w:type="dxa"/>
            <w:tcMar>
              <w:top w:w="60" w:type="dxa"/>
              <w:left w:w="120" w:type="dxa"/>
              <w:bottom w:w="30" w:type="dxa"/>
              <w:right w:w="120" w:type="dxa"/>
            </w:tcMar>
          </w:tcPr>
          <w:p w14:paraId="3C901DF7">
            <w:pPr>
              <w:spacing w:before="120" w:after="120" w:line="288" w:lineRule="auto"/>
              <w:ind w:left="0"/>
              <w:jc w:val="left"/>
            </w:pPr>
            <w:r>
              <w:rPr>
                <w:rFonts w:ascii="Arial" w:hAnsi="Arial" w:eastAsia="等线" w:cs="Arial"/>
                <w:sz w:val="22"/>
              </w:rPr>
              <w:t>否</w:t>
            </w:r>
          </w:p>
        </w:tc>
        <w:tc>
          <w:tcPr>
            <w:tcW w:w="1380" w:type="dxa"/>
            <w:tcMar>
              <w:top w:w="60" w:type="dxa"/>
              <w:left w:w="120" w:type="dxa"/>
              <w:bottom w:w="30" w:type="dxa"/>
              <w:right w:w="120" w:type="dxa"/>
            </w:tcMar>
          </w:tcPr>
          <w:p w14:paraId="1EB96DE2">
            <w:pPr>
              <w:spacing w:before="120" w:after="120" w:line="288" w:lineRule="auto"/>
              <w:ind w:left="0"/>
              <w:jc w:val="left"/>
            </w:pPr>
            <w:r>
              <w:rPr>
                <w:rFonts w:ascii="Arial" w:hAnsi="Arial" w:eastAsia="等线" w:cs="Arial"/>
                <w:sz w:val="22"/>
              </w:rPr>
              <w:t>是（统一为标准正态分布）</w:t>
            </w:r>
          </w:p>
        </w:tc>
      </w:tr>
    </w:tbl>
    <w:p w14:paraId="15F76484">
      <w:pPr>
        <w:spacing w:before="120" w:after="120" w:line="288" w:lineRule="auto"/>
        <w:ind w:left="0"/>
        <w:jc w:val="left"/>
      </w:pPr>
      <w:r>
        <w:rPr>
          <w:rFonts w:ascii="Arial" w:hAnsi="Arial" w:eastAsia="等线" w:cs="Arial"/>
          <w:sz w:val="22"/>
        </w:rPr>
        <w:t>CAR重参考完成</w:t>
      </w:r>
      <w:r>
        <w:rPr>
          <w:rFonts w:ascii="Arial" w:hAnsi="Arial" w:eastAsia="等线" w:cs="Arial"/>
          <w:b/>
          <w:sz w:val="22"/>
        </w:rPr>
        <w:t>空间信号提纯</w:t>
      </w:r>
      <w:r>
        <w:rPr>
          <w:rFonts w:ascii="Arial" w:hAnsi="Arial" w:eastAsia="等线" w:cs="Arial"/>
          <w:sz w:val="22"/>
        </w:rPr>
        <w:t>，基线校正完成</w:t>
      </w:r>
      <w:r>
        <w:rPr>
          <w:rFonts w:ascii="Arial" w:hAnsi="Arial" w:eastAsia="等线" w:cs="Arial"/>
          <w:b/>
          <w:sz w:val="22"/>
        </w:rPr>
        <w:t>物理基准对齐</w:t>
      </w:r>
      <w:r>
        <w:rPr>
          <w:rFonts w:ascii="Arial" w:hAnsi="Arial" w:eastAsia="等线" w:cs="Arial"/>
          <w:sz w:val="22"/>
        </w:rPr>
        <w:t>，Z-score标准化完成</w:t>
      </w:r>
      <w:r>
        <w:rPr>
          <w:rFonts w:ascii="Arial" w:hAnsi="Arial" w:eastAsia="等线" w:cs="Arial"/>
          <w:b/>
          <w:sz w:val="22"/>
        </w:rPr>
        <w:t>统计分布统一</w:t>
      </w:r>
      <w:r>
        <w:rPr>
          <w:rFonts w:ascii="Arial" w:hAnsi="Arial" w:eastAsia="等线" w:cs="Arial"/>
          <w:sz w:val="22"/>
        </w:rPr>
        <w:t>。三者逐层递进、功能互补，共同实现多源EEG数据从空间、物理、统计维度的全方位同质化，是保障跨数据集模型泛化能力的核心关键。</w:t>
      </w:r>
    </w:p>
    <w:p w14:paraId="11BDF0B5">
      <w:pPr>
        <w:numPr>
          <w:ilvl w:val="0"/>
          <w:numId w:val="81"/>
        </w:numPr>
        <w:spacing w:before="120" w:after="120" w:line="288" w:lineRule="auto"/>
        <w:ind w:left="0"/>
        <w:jc w:val="left"/>
      </w:pPr>
      <w:r>
        <w:rPr>
          <w:rFonts w:ascii="Arial" w:hAnsi="Arial" w:eastAsia="等线" w:cs="Arial"/>
          <w:sz w:val="22"/>
        </w:rPr>
        <w:t>基线校正：</w:t>
      </w:r>
      <w:r>
        <w:rPr>
          <w:rFonts w:ascii="Arial" w:hAnsi="Arial" w:eastAsia="等线" w:cs="Arial"/>
          <w:b/>
          <w:sz w:val="22"/>
        </w:rPr>
        <w:t>去直流偏移</w:t>
      </w:r>
      <w:r>
        <w:rPr>
          <w:rFonts w:ascii="Arial" w:hAnsi="Arial" w:eastAsia="等线" w:cs="Arial"/>
          <w:sz w:val="22"/>
        </w:rPr>
        <w:t>（物理层面）</w:t>
      </w:r>
    </w:p>
    <w:p w14:paraId="0535298B">
      <w:pPr>
        <w:numPr>
          <w:ilvl w:val="0"/>
          <w:numId w:val="82"/>
        </w:numPr>
        <w:spacing w:before="120" w:after="120" w:line="288" w:lineRule="auto"/>
        <w:ind w:left="0"/>
        <w:jc w:val="left"/>
      </w:pPr>
      <w:r>
        <w:rPr>
          <w:rFonts w:ascii="Arial" w:hAnsi="Arial" w:eastAsia="等线" w:cs="Arial"/>
          <w:sz w:val="22"/>
        </w:rPr>
        <w:t>试次标准化：</w:t>
      </w:r>
      <w:r>
        <w:rPr>
          <w:rFonts w:ascii="Arial" w:hAnsi="Arial" w:eastAsia="等线" w:cs="Arial"/>
          <w:b/>
          <w:sz w:val="22"/>
        </w:rPr>
        <w:t>统一概率分布</w:t>
      </w:r>
      <w:r>
        <w:rPr>
          <w:rFonts w:ascii="Arial" w:hAnsi="Arial" w:eastAsia="等线" w:cs="Arial"/>
          <w:sz w:val="22"/>
        </w:rPr>
        <w:t>（数据域层面）</w:t>
      </w:r>
    </w:p>
    <w:p w14:paraId="77696D14">
      <w:pPr>
        <w:spacing w:before="320" w:after="120" w:line="288" w:lineRule="auto"/>
        <w:ind w:left="0"/>
        <w:jc w:val="left"/>
        <w:outlineLvl w:val="1"/>
      </w:pPr>
      <w:bookmarkStart w:id="57" w:name="heading_57"/>
      <w:r>
        <w:rPr>
          <w:rFonts w:ascii="Arial" w:hAnsi="Arial" w:eastAsia="等线" w:cs="Arial"/>
          <w:b/>
          <w:sz w:val="32"/>
        </w:rPr>
        <w:t>2. 全局统一 Pipeline 的核心创新支撑</w:t>
      </w:r>
      <w:bookmarkEnd w:id="57"/>
    </w:p>
    <w:p w14:paraId="14D9A6C3">
      <w:pPr>
        <w:spacing w:before="120" w:after="120" w:line="288" w:lineRule="auto"/>
        <w:ind w:left="0"/>
        <w:jc w:val="left"/>
      </w:pPr>
      <w:r>
        <w:t>本流水线解决不同数据集预处理规则不一致、尺度不统一和特征空间偏移的问题，实现多源数据同构化，是后续有标签少样本跨被试、跨会话个体化微调的前置基础。</w:t>
      </w:r>
    </w:p>
    <w:p w14:paraId="06342011">
      <w:pPr>
        <w:spacing w:before="320" w:after="120" w:line="288" w:lineRule="auto"/>
        <w:ind w:left="0"/>
        <w:jc w:val="left"/>
        <w:outlineLvl w:val="1"/>
      </w:pPr>
      <w:bookmarkStart w:id="58" w:name="heading_58"/>
      <w:bookmarkEnd w:id="58"/>
      <w:r>
        <w:t>3. 与少样本个体化微调模块的逻辑承接</w:t>
      </w:r>
    </w:p>
    <w:p w14:paraId="3658E424">
      <w:pPr>
        <w:numPr>
          <w:ilvl w:val="0"/>
          <w:numId w:val="83"/>
        </w:numPr>
        <w:spacing w:before="120" w:after="120" w:line="288" w:lineRule="auto"/>
        <w:ind w:left="0"/>
        <w:jc w:val="left"/>
      </w:pPr>
      <w:r>
        <w:rPr>
          <w:rFonts w:ascii="Arial" w:hAnsi="Arial" w:eastAsia="等线" w:cs="Arial"/>
          <w:sz w:val="22"/>
        </w:rPr>
        <w:t>离线：本 Pipeline 构建</w:t>
      </w:r>
      <w:r>
        <w:rPr>
          <w:rFonts w:ascii="Arial" w:hAnsi="Arial" w:eastAsia="等线" w:cs="Arial"/>
          <w:b/>
          <w:sz w:val="22"/>
        </w:rPr>
        <w:t>标准通用特征域</w:t>
      </w:r>
    </w:p>
    <w:p w14:paraId="3BD913C4">
      <w:pPr>
        <w:numPr>
          <w:ilvl w:val="0"/>
          <w:numId w:val="84"/>
        </w:numPr>
        <w:spacing w:before="120" w:after="120" w:line="288" w:lineRule="auto"/>
        <w:ind w:left="0"/>
        <w:jc w:val="left"/>
      </w:pPr>
      <w:r>
        <w:t>个体适配阶段：使用新受试者少量有标签标定试次，在离线通用模型基础上进行监督微调，生成受试者专属模型。</w:t>
      </w:r>
    </w:p>
    <w:p w14:paraId="5963999C">
      <w:pPr>
        <w:pBdr>
          <w:bottom w:val="single" w:color="DEE0E3" w:sz="2" w:space="0"/>
          <w:between w:val="single" w:color="DEE0E3" w:sz="2" w:space="0"/>
        </w:pBdr>
        <w:spacing w:before="120" w:after="120" w:line="288" w:lineRule="auto"/>
        <w:ind w:left="0"/>
      </w:pPr>
    </w:p>
    <w:p w14:paraId="1EA79C17">
      <w:pPr>
        <w:spacing w:before="380" w:after="140" w:line="288" w:lineRule="auto"/>
        <w:ind w:left="0"/>
        <w:jc w:val="left"/>
        <w:outlineLvl w:val="0"/>
      </w:pPr>
      <w:bookmarkStart w:id="59" w:name="heading_59"/>
      <w:r>
        <w:rPr>
          <w:rFonts w:ascii="Arial" w:hAnsi="Arial" w:eastAsia="等线" w:cs="Arial"/>
          <w:b/>
          <w:sz w:val="36"/>
        </w:rPr>
        <w:t>最终统一输出标准（全数据集完全一致）（不一定有待商榷）</w:t>
      </w:r>
      <w:bookmarkEnd w:id="59"/>
    </w:p>
    <w:p w14:paraId="05C94AA3">
      <w:pPr>
        <w:numPr>
          <w:ilvl w:val="0"/>
          <w:numId w:val="85"/>
        </w:numPr>
        <w:spacing w:before="120" w:after="120" w:line="288" w:lineRule="auto"/>
        <w:ind w:left="0"/>
        <w:jc w:val="left"/>
      </w:pPr>
      <w:r>
        <w:rPr>
          <w:rFonts w:ascii="Arial" w:hAnsi="Arial" w:eastAsia="等线" w:cs="Arial"/>
          <w:sz w:val="22"/>
        </w:rPr>
        <w:t>通道：8</w:t>
      </w:r>
    </w:p>
    <w:p w14:paraId="73E3DFE2">
      <w:pPr>
        <w:numPr>
          <w:ilvl w:val="0"/>
          <w:numId w:val="86"/>
        </w:numPr>
        <w:spacing w:before="120" w:after="120" w:line="288" w:lineRule="auto"/>
        <w:ind w:left="0"/>
        <w:jc w:val="left"/>
      </w:pPr>
      <w:r>
        <w:t>时序：1000</w:t>
      </w:r>
    </w:p>
    <w:p w14:paraId="3576CE93">
      <w:pPr>
        <w:numPr>
          <w:ilvl w:val="0"/>
          <w:numId w:val="87"/>
        </w:numPr>
        <w:spacing w:before="120" w:after="120" w:line="288" w:lineRule="auto"/>
        <w:ind w:left="0"/>
        <w:jc w:val="left"/>
      </w:pPr>
      <w:r>
        <w:rPr>
          <w:rFonts w:ascii="Arial" w:hAnsi="Arial" w:eastAsia="等线" w:cs="Arial"/>
          <w:sz w:val="22"/>
        </w:rPr>
        <w:t>采样率：</w:t>
      </w:r>
      <w:r>
        <w:rPr>
          <w:rFonts w:hint="eastAsia" w:ascii="Arial" w:hAnsi="Arial" w:eastAsia="等线" w:cs="Arial"/>
          <w:sz w:val="22"/>
          <w:lang w:val="en-US" w:eastAsia="zh-CN"/>
        </w:rPr>
        <w:t>250</w:t>
      </w:r>
      <w:r>
        <w:rPr>
          <w:rFonts w:ascii="Arial" w:hAnsi="Arial" w:eastAsia="等线" w:cs="Arial"/>
          <w:sz w:val="22"/>
        </w:rPr>
        <w:t>Hz</w:t>
      </w:r>
    </w:p>
    <w:p w14:paraId="0F50207B">
      <w:pPr>
        <w:numPr>
          <w:ilvl w:val="0"/>
          <w:numId w:val="88"/>
        </w:numPr>
        <w:spacing w:before="120" w:after="120" w:line="288" w:lineRule="auto"/>
        <w:ind w:left="0"/>
        <w:jc w:val="left"/>
      </w:pPr>
      <w:r>
        <w:t>输入张量：(B,1,8,1000)</w:t>
      </w:r>
    </w:p>
    <w:p w14:paraId="7FBF3E24">
      <w:pPr>
        <w:numPr>
          <w:ilvl w:val="0"/>
          <w:numId w:val="89"/>
        </w:numPr>
        <w:spacing w:before="120" w:after="120" w:line="288" w:lineRule="auto"/>
        <w:ind w:left="0"/>
        <w:jc w:val="left"/>
      </w:pPr>
      <w:r>
        <w:t>标签：0/1/2 三分类，分别对应左手、右手、静息。BCI IV 2a 的双脚和舌头试次不参与训练。</w:t>
      </w:r>
    </w:p>
    <w:p w14:paraId="3640D5D3">
      <w:pPr>
        <w:numPr>
          <w:ilvl w:val="0"/>
          <w:numId w:val="90"/>
        </w:numPr>
        <w:spacing w:before="120" w:after="120" w:line="288" w:lineRule="auto"/>
        <w:ind w:left="0"/>
        <w:jc w:val="left"/>
      </w:pPr>
      <w:r>
        <w:rPr>
          <w:rFonts w:ascii="Arial" w:hAnsi="Arial" w:eastAsia="等线" w:cs="Arial"/>
          <w:sz w:val="22"/>
        </w:rPr>
        <w:t>数据分布：单试次标准正态分布</w:t>
      </w:r>
    </w:p>
    <w:p w14:paraId="104B69B1">
      <w:pPr>
        <w:numPr>
          <w:ilvl w:val="0"/>
          <w:numId w:val="91"/>
        </w:numPr>
        <w:spacing w:before="120" w:after="120" w:line="288" w:lineRule="auto"/>
        <w:ind w:left="0"/>
        <w:jc w:val="left"/>
      </w:pPr>
      <w:r>
        <w:rPr>
          <w:rFonts w:ascii="Arial" w:hAnsi="Arial" w:eastAsia="等线" w:cs="Arial"/>
          <w:sz w:val="22"/>
        </w:rPr>
        <w:t>特征区间：稳定 ERD 运动想象区间</w:t>
      </w:r>
    </w:p>
    <w:p w14:paraId="31AEED7D">
      <w:pPr>
        <w:pBdr>
          <w:bottom w:val="single" w:color="DEE0E3" w:sz="2" w:space="0"/>
          <w:between w:val="single" w:color="DEE0E3" w:sz="2" w:space="0"/>
        </w:pBdr>
        <w:spacing w:before="120" w:after="120" w:line="288" w:lineRule="auto"/>
        <w:ind w:left="0"/>
      </w:pPr>
    </w:p>
    <w:p w14:paraId="32C59A7B">
      <w:pPr>
        <w:spacing w:before="380" w:after="140" w:line="288" w:lineRule="auto"/>
        <w:ind w:left="0"/>
        <w:jc w:val="left"/>
        <w:outlineLvl w:val="0"/>
      </w:pPr>
      <w:bookmarkStart w:id="60" w:name="heading_60"/>
      <w:r>
        <w:rPr>
          <w:rFonts w:ascii="Arial" w:hAnsi="Arial" w:eastAsia="等线" w:cs="Arial"/>
          <w:b/>
          <w:sz w:val="36"/>
        </w:rPr>
        <w:t>可直接写入论文的段落（成品话术）</w:t>
      </w:r>
      <w:bookmarkEnd w:id="60"/>
    </w:p>
    <w:p w14:paraId="7BF19BDD">
      <w:pPr>
        <w:spacing w:before="120" w:after="120" w:line="288" w:lineRule="auto"/>
        <w:ind w:left="0"/>
        <w:jc w:val="left"/>
      </w:pPr>
      <w:r>
        <w:t>为构建跨设备、跨数据集、跨被试的通用运动想象脑电解码模型，本文设计了一套多源 EEG 数据同质化预处理流水线。针对公开数据集与自研采集数据格式、采样率、通道拓扑和标签体系不一致的问题，通过通道统一筛选、基线偏移消除、带通特征保留、统一至250 Hz及试次级标准化，将所有原始脑电数据映射至同一特征空间。该流水线仅保留左手、右手任务数据，并从合格休息段构造静息类，最终输出8通道、1000时间点的标准化样本，为离线通用模型预训练和有标签少样本个体化微调提供一致的数据基础。</w:t>
      </w:r>
    </w:p>
    <w:p w14:paraId="63151DD5">
      <w:pPr>
        <w:spacing w:before="120" w:after="120" w:line="288" w:lineRule="auto"/>
        <w:ind w:left="0"/>
        <w:jc w:val="left"/>
      </w:pPr>
      <w:r>
        <w:rPr>
          <w:rFonts w:ascii="Arial" w:hAnsi="Arial" w:eastAsia="等线" w:cs="Arial"/>
          <w:sz w:val="22"/>
        </w:rPr>
        <w:t>|（注：部分内容可能由 AI 生成）</w:t>
      </w:r>
    </w:p>
    <w:sectPr>
      <w:headerReference r:id="rId3" w:type="default"/>
      <w:footerReference r:id="rId4" w:type="default"/>
      <w:pgSz w:w="11905" w:h="1684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Consolas">
    <w:panose1 w:val="020B0609020204030204"/>
    <w:charset w:val="00"/>
    <w:family w:val="auto"/>
    <w:pitch w:val="default"/>
    <w:sig w:usb0="E00006FF" w:usb1="0000FCFF" w:usb2="00000001" w:usb3="00000000" w:csb0="6000019F" w:csb1="DFD70000"/>
  </w:font>
  <w:font w:name="Cambria Math">
    <w:panose1 w:val="02040503050406030204"/>
    <w:charset w:val="00"/>
    <w:family w:val="auto"/>
    <w:pitch w:val="default"/>
    <w:sig w:usb0="E00006FF" w:usb1="420024FF" w:usb2="02000000" w:usb3="00000000" w:csb0="2000019F"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5FC740"/>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B81529"/>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3A4B87"/>
    <w:multiLevelType w:val="singleLevel"/>
    <w:tmpl w:val="813A4B87"/>
    <w:lvl w:ilvl="0" w:tentative="0">
      <w:start w:val="2"/>
      <w:numFmt w:val="decimal"/>
      <w:lvlText w:val="%1."/>
      <w:lvlJc w:val="left"/>
      <w:rPr>
        <w:color w:val="3370FF"/>
      </w:rPr>
    </w:lvl>
  </w:abstractNum>
  <w:abstractNum w:abstractNumId="1">
    <w:nsid w:val="845B5372"/>
    <w:multiLevelType w:val="singleLevel"/>
    <w:tmpl w:val="845B5372"/>
    <w:lvl w:ilvl="0" w:tentative="0">
      <w:start w:val="0"/>
      <w:numFmt w:val="bullet"/>
      <w:lvlText w:val="•"/>
      <w:lvlJc w:val="left"/>
      <w:rPr>
        <w:color w:val="3370FF"/>
      </w:rPr>
    </w:lvl>
  </w:abstractNum>
  <w:abstractNum w:abstractNumId="2">
    <w:nsid w:val="8461FADE"/>
    <w:multiLevelType w:val="singleLevel"/>
    <w:tmpl w:val="8461FADE"/>
    <w:lvl w:ilvl="0" w:tentative="0">
      <w:start w:val="0"/>
      <w:numFmt w:val="bullet"/>
      <w:lvlText w:val="￮"/>
      <w:lvlJc w:val="left"/>
      <w:rPr>
        <w:color w:val="3370FF"/>
      </w:rPr>
    </w:lvl>
  </w:abstractNum>
  <w:abstractNum w:abstractNumId="3">
    <w:nsid w:val="8CAEB125"/>
    <w:multiLevelType w:val="singleLevel"/>
    <w:tmpl w:val="8CAEB125"/>
    <w:lvl w:ilvl="0" w:tentative="0">
      <w:start w:val="0"/>
      <w:numFmt w:val="bullet"/>
      <w:lvlText w:val="•"/>
      <w:lvlJc w:val="left"/>
      <w:rPr>
        <w:color w:val="3370FF"/>
      </w:rPr>
    </w:lvl>
  </w:abstractNum>
  <w:abstractNum w:abstractNumId="4">
    <w:nsid w:val="91995D4F"/>
    <w:multiLevelType w:val="singleLevel"/>
    <w:tmpl w:val="91995D4F"/>
    <w:lvl w:ilvl="0" w:tentative="0">
      <w:start w:val="0"/>
      <w:numFmt w:val="bullet"/>
      <w:lvlText w:val="•"/>
      <w:lvlJc w:val="left"/>
      <w:rPr>
        <w:color w:val="3370FF"/>
      </w:rPr>
    </w:lvl>
  </w:abstractNum>
  <w:abstractNum w:abstractNumId="5">
    <w:nsid w:val="91B69C97"/>
    <w:multiLevelType w:val="singleLevel"/>
    <w:tmpl w:val="91B69C97"/>
    <w:lvl w:ilvl="0" w:tentative="0">
      <w:start w:val="0"/>
      <w:numFmt w:val="bullet"/>
      <w:lvlText w:val="•"/>
      <w:lvlJc w:val="left"/>
      <w:rPr>
        <w:color w:val="3370FF"/>
      </w:rPr>
    </w:lvl>
  </w:abstractNum>
  <w:abstractNum w:abstractNumId="6">
    <w:nsid w:val="9239341B"/>
    <w:multiLevelType w:val="singleLevel"/>
    <w:tmpl w:val="9239341B"/>
    <w:lvl w:ilvl="0" w:tentative="0">
      <w:start w:val="0"/>
      <w:numFmt w:val="bullet"/>
      <w:lvlText w:val="•"/>
      <w:lvlJc w:val="left"/>
      <w:rPr>
        <w:color w:val="3370FF"/>
      </w:rPr>
    </w:lvl>
  </w:abstractNum>
  <w:abstractNum w:abstractNumId="7">
    <w:nsid w:val="9288B902"/>
    <w:multiLevelType w:val="singleLevel"/>
    <w:tmpl w:val="9288B902"/>
    <w:lvl w:ilvl="0" w:tentative="0">
      <w:start w:val="0"/>
      <w:numFmt w:val="bullet"/>
      <w:lvlText w:val="•"/>
      <w:lvlJc w:val="left"/>
      <w:rPr>
        <w:color w:val="3370FF"/>
      </w:rPr>
    </w:lvl>
  </w:abstractNum>
  <w:abstractNum w:abstractNumId="8">
    <w:nsid w:val="9377BC45"/>
    <w:multiLevelType w:val="singleLevel"/>
    <w:tmpl w:val="9377BC45"/>
    <w:lvl w:ilvl="0" w:tentative="0">
      <w:start w:val="0"/>
      <w:numFmt w:val="bullet"/>
      <w:lvlText w:val="•"/>
      <w:lvlJc w:val="left"/>
      <w:rPr>
        <w:color w:val="3370FF"/>
      </w:rPr>
    </w:lvl>
  </w:abstractNum>
  <w:abstractNum w:abstractNumId="9">
    <w:nsid w:val="9ACF65A0"/>
    <w:multiLevelType w:val="singleLevel"/>
    <w:tmpl w:val="9ACF65A0"/>
    <w:lvl w:ilvl="0" w:tentative="0">
      <w:start w:val="0"/>
      <w:numFmt w:val="bullet"/>
      <w:lvlText w:val="•"/>
      <w:lvlJc w:val="left"/>
      <w:rPr>
        <w:color w:val="3370FF"/>
      </w:rPr>
    </w:lvl>
  </w:abstractNum>
  <w:abstractNum w:abstractNumId="10">
    <w:nsid w:val="9C8AC8EF"/>
    <w:multiLevelType w:val="singleLevel"/>
    <w:tmpl w:val="9C8AC8EF"/>
    <w:lvl w:ilvl="0" w:tentative="0">
      <w:start w:val="0"/>
      <w:numFmt w:val="bullet"/>
      <w:lvlText w:val="•"/>
      <w:lvlJc w:val="left"/>
      <w:rPr>
        <w:color w:val="3370FF"/>
      </w:rPr>
    </w:lvl>
  </w:abstractNum>
  <w:abstractNum w:abstractNumId="11">
    <w:nsid w:val="9D5D7490"/>
    <w:multiLevelType w:val="singleLevel"/>
    <w:tmpl w:val="9D5D7490"/>
    <w:lvl w:ilvl="0" w:tentative="0">
      <w:start w:val="0"/>
      <w:numFmt w:val="bullet"/>
      <w:lvlText w:val="•"/>
      <w:lvlJc w:val="left"/>
      <w:rPr>
        <w:color w:val="3370FF"/>
      </w:rPr>
    </w:lvl>
  </w:abstractNum>
  <w:abstractNum w:abstractNumId="12">
    <w:nsid w:val="A0C93552"/>
    <w:multiLevelType w:val="singleLevel"/>
    <w:tmpl w:val="A0C93552"/>
    <w:lvl w:ilvl="0" w:tentative="0">
      <w:start w:val="0"/>
      <w:numFmt w:val="bullet"/>
      <w:lvlText w:val="•"/>
      <w:lvlJc w:val="left"/>
      <w:rPr>
        <w:color w:val="3370FF"/>
      </w:rPr>
    </w:lvl>
  </w:abstractNum>
  <w:abstractNum w:abstractNumId="13">
    <w:nsid w:val="A0F05207"/>
    <w:multiLevelType w:val="singleLevel"/>
    <w:tmpl w:val="A0F05207"/>
    <w:lvl w:ilvl="0" w:tentative="0">
      <w:start w:val="0"/>
      <w:numFmt w:val="bullet"/>
      <w:lvlText w:val="•"/>
      <w:lvlJc w:val="left"/>
      <w:rPr>
        <w:color w:val="3370FF"/>
      </w:rPr>
    </w:lvl>
  </w:abstractNum>
  <w:abstractNum w:abstractNumId="14">
    <w:nsid w:val="AAF3F3FA"/>
    <w:multiLevelType w:val="singleLevel"/>
    <w:tmpl w:val="AAF3F3FA"/>
    <w:lvl w:ilvl="0" w:tentative="0">
      <w:start w:val="0"/>
      <w:numFmt w:val="bullet"/>
      <w:lvlText w:val="•"/>
      <w:lvlJc w:val="left"/>
      <w:rPr>
        <w:color w:val="3370FF"/>
      </w:rPr>
    </w:lvl>
  </w:abstractNum>
  <w:abstractNum w:abstractNumId="15">
    <w:nsid w:val="B0ED9BEA"/>
    <w:multiLevelType w:val="singleLevel"/>
    <w:tmpl w:val="B0ED9BEA"/>
    <w:lvl w:ilvl="0" w:tentative="0">
      <w:start w:val="0"/>
      <w:numFmt w:val="bullet"/>
      <w:lvlText w:val="•"/>
      <w:lvlJc w:val="left"/>
      <w:rPr>
        <w:color w:val="3370FF"/>
      </w:rPr>
    </w:lvl>
  </w:abstractNum>
  <w:abstractNum w:abstractNumId="16">
    <w:nsid w:val="B0F1ACD9"/>
    <w:multiLevelType w:val="singleLevel"/>
    <w:tmpl w:val="B0F1ACD9"/>
    <w:lvl w:ilvl="0" w:tentative="0">
      <w:start w:val="1"/>
      <w:numFmt w:val="decimal"/>
      <w:lvlText w:val="%1."/>
      <w:lvlJc w:val="left"/>
      <w:rPr>
        <w:color w:val="3370FF"/>
      </w:rPr>
    </w:lvl>
  </w:abstractNum>
  <w:abstractNum w:abstractNumId="17">
    <w:nsid w:val="B23A94A9"/>
    <w:multiLevelType w:val="singleLevel"/>
    <w:tmpl w:val="B23A94A9"/>
    <w:lvl w:ilvl="0" w:tentative="0">
      <w:start w:val="0"/>
      <w:numFmt w:val="bullet"/>
      <w:lvlText w:val="•"/>
      <w:lvlJc w:val="left"/>
      <w:rPr>
        <w:color w:val="3370FF"/>
      </w:rPr>
    </w:lvl>
  </w:abstractNum>
  <w:abstractNum w:abstractNumId="18">
    <w:nsid w:val="B53F3350"/>
    <w:multiLevelType w:val="singleLevel"/>
    <w:tmpl w:val="B53F3350"/>
    <w:lvl w:ilvl="0" w:tentative="0">
      <w:start w:val="0"/>
      <w:numFmt w:val="bullet"/>
      <w:lvlText w:val="•"/>
      <w:lvlJc w:val="left"/>
      <w:rPr>
        <w:color w:val="3370FF"/>
      </w:rPr>
    </w:lvl>
  </w:abstractNum>
  <w:abstractNum w:abstractNumId="19">
    <w:nsid w:val="B5E306ED"/>
    <w:multiLevelType w:val="singleLevel"/>
    <w:tmpl w:val="B5E306ED"/>
    <w:lvl w:ilvl="0" w:tentative="0">
      <w:start w:val="2"/>
      <w:numFmt w:val="decimal"/>
      <w:lvlText w:val="%1."/>
      <w:lvlJc w:val="left"/>
      <w:rPr>
        <w:color w:val="3370FF"/>
      </w:rPr>
    </w:lvl>
  </w:abstractNum>
  <w:abstractNum w:abstractNumId="20">
    <w:nsid w:val="B88D21A8"/>
    <w:multiLevelType w:val="singleLevel"/>
    <w:tmpl w:val="B88D21A8"/>
    <w:lvl w:ilvl="0" w:tentative="0">
      <w:start w:val="0"/>
      <w:numFmt w:val="bullet"/>
      <w:lvlText w:val="•"/>
      <w:lvlJc w:val="left"/>
      <w:rPr>
        <w:color w:val="3370FF"/>
      </w:rPr>
    </w:lvl>
  </w:abstractNum>
  <w:abstractNum w:abstractNumId="21">
    <w:nsid w:val="B8CEF35B"/>
    <w:multiLevelType w:val="singleLevel"/>
    <w:tmpl w:val="B8CEF35B"/>
    <w:lvl w:ilvl="0" w:tentative="0">
      <w:start w:val="0"/>
      <w:numFmt w:val="bullet"/>
      <w:lvlText w:val="•"/>
      <w:lvlJc w:val="left"/>
      <w:rPr>
        <w:color w:val="3370FF"/>
      </w:rPr>
    </w:lvl>
  </w:abstractNum>
  <w:abstractNum w:abstractNumId="22">
    <w:nsid w:val="BB64CFA9"/>
    <w:multiLevelType w:val="singleLevel"/>
    <w:tmpl w:val="BB64CFA9"/>
    <w:lvl w:ilvl="0" w:tentative="0">
      <w:start w:val="2"/>
      <w:numFmt w:val="decimal"/>
      <w:lvlText w:val="%1."/>
      <w:lvlJc w:val="left"/>
      <w:rPr>
        <w:color w:val="3370FF"/>
      </w:rPr>
    </w:lvl>
  </w:abstractNum>
  <w:abstractNum w:abstractNumId="23">
    <w:nsid w:val="BDA1395C"/>
    <w:multiLevelType w:val="singleLevel"/>
    <w:tmpl w:val="BDA1395C"/>
    <w:lvl w:ilvl="0" w:tentative="0">
      <w:start w:val="0"/>
      <w:numFmt w:val="bullet"/>
      <w:lvlText w:val="•"/>
      <w:lvlJc w:val="left"/>
      <w:rPr>
        <w:color w:val="3370FF"/>
      </w:rPr>
    </w:lvl>
  </w:abstractNum>
  <w:abstractNum w:abstractNumId="24">
    <w:nsid w:val="BE923771"/>
    <w:multiLevelType w:val="singleLevel"/>
    <w:tmpl w:val="BE923771"/>
    <w:lvl w:ilvl="0" w:tentative="0">
      <w:start w:val="0"/>
      <w:numFmt w:val="bullet"/>
      <w:lvlText w:val="•"/>
      <w:lvlJc w:val="left"/>
      <w:rPr>
        <w:color w:val="3370FF"/>
      </w:rPr>
    </w:lvl>
  </w:abstractNum>
  <w:abstractNum w:abstractNumId="25">
    <w:nsid w:val="BF205925"/>
    <w:multiLevelType w:val="singleLevel"/>
    <w:tmpl w:val="BF205925"/>
    <w:lvl w:ilvl="0" w:tentative="0">
      <w:start w:val="1"/>
      <w:numFmt w:val="decimal"/>
      <w:lvlText w:val="%1."/>
      <w:lvlJc w:val="left"/>
      <w:rPr>
        <w:color w:val="3370FF"/>
      </w:rPr>
    </w:lvl>
  </w:abstractNum>
  <w:abstractNum w:abstractNumId="26">
    <w:nsid w:val="C0915F4F"/>
    <w:multiLevelType w:val="singleLevel"/>
    <w:tmpl w:val="C0915F4F"/>
    <w:lvl w:ilvl="0" w:tentative="0">
      <w:start w:val="0"/>
      <w:numFmt w:val="bullet"/>
      <w:lvlText w:val="•"/>
      <w:lvlJc w:val="left"/>
      <w:rPr>
        <w:color w:val="3370FF"/>
      </w:rPr>
    </w:lvl>
  </w:abstractNum>
  <w:abstractNum w:abstractNumId="27">
    <w:nsid w:val="C4E0D24A"/>
    <w:multiLevelType w:val="singleLevel"/>
    <w:tmpl w:val="C4E0D24A"/>
    <w:lvl w:ilvl="0" w:tentative="0">
      <w:start w:val="0"/>
      <w:numFmt w:val="bullet"/>
      <w:lvlText w:val="•"/>
      <w:lvlJc w:val="left"/>
      <w:rPr>
        <w:color w:val="3370FF"/>
      </w:rPr>
    </w:lvl>
  </w:abstractNum>
  <w:abstractNum w:abstractNumId="28">
    <w:nsid w:val="C8879AEF"/>
    <w:multiLevelType w:val="singleLevel"/>
    <w:tmpl w:val="C8879AEF"/>
    <w:lvl w:ilvl="0" w:tentative="0">
      <w:start w:val="0"/>
      <w:numFmt w:val="bullet"/>
      <w:lvlText w:val="•"/>
      <w:lvlJc w:val="left"/>
      <w:rPr>
        <w:color w:val="3370FF"/>
      </w:rPr>
    </w:lvl>
  </w:abstractNum>
  <w:abstractNum w:abstractNumId="29">
    <w:nsid w:val="CF092B84"/>
    <w:multiLevelType w:val="singleLevel"/>
    <w:tmpl w:val="CF092B84"/>
    <w:lvl w:ilvl="0" w:tentative="0">
      <w:start w:val="0"/>
      <w:numFmt w:val="bullet"/>
      <w:lvlText w:val="•"/>
      <w:lvlJc w:val="left"/>
      <w:rPr>
        <w:color w:val="3370FF"/>
      </w:rPr>
    </w:lvl>
  </w:abstractNum>
  <w:abstractNum w:abstractNumId="30">
    <w:nsid w:val="D7D140E4"/>
    <w:multiLevelType w:val="singleLevel"/>
    <w:tmpl w:val="D7D140E4"/>
    <w:lvl w:ilvl="0" w:tentative="0">
      <w:start w:val="0"/>
      <w:numFmt w:val="bullet"/>
      <w:lvlText w:val="•"/>
      <w:lvlJc w:val="left"/>
      <w:rPr>
        <w:color w:val="3370FF"/>
      </w:rPr>
    </w:lvl>
  </w:abstractNum>
  <w:abstractNum w:abstractNumId="31">
    <w:nsid w:val="D7F9FE59"/>
    <w:multiLevelType w:val="singleLevel"/>
    <w:tmpl w:val="D7F9FE59"/>
    <w:lvl w:ilvl="0" w:tentative="0">
      <w:start w:val="0"/>
      <w:numFmt w:val="bullet"/>
      <w:lvlText w:val="•"/>
      <w:lvlJc w:val="left"/>
      <w:rPr>
        <w:color w:val="3370FF"/>
      </w:rPr>
    </w:lvl>
  </w:abstractNum>
  <w:abstractNum w:abstractNumId="32">
    <w:nsid w:val="DAD3A854"/>
    <w:multiLevelType w:val="singleLevel"/>
    <w:tmpl w:val="DAD3A854"/>
    <w:lvl w:ilvl="0" w:tentative="0">
      <w:start w:val="0"/>
      <w:numFmt w:val="bullet"/>
      <w:lvlText w:val="•"/>
      <w:lvlJc w:val="left"/>
      <w:rPr>
        <w:color w:val="3370FF"/>
      </w:rPr>
    </w:lvl>
  </w:abstractNum>
  <w:abstractNum w:abstractNumId="33">
    <w:nsid w:val="DCBA6B53"/>
    <w:multiLevelType w:val="singleLevel"/>
    <w:tmpl w:val="DCBA6B53"/>
    <w:lvl w:ilvl="0" w:tentative="0">
      <w:start w:val="0"/>
      <w:numFmt w:val="bullet"/>
      <w:lvlText w:val="•"/>
      <w:lvlJc w:val="left"/>
      <w:rPr>
        <w:color w:val="3370FF"/>
      </w:rPr>
    </w:lvl>
  </w:abstractNum>
  <w:abstractNum w:abstractNumId="34">
    <w:nsid w:val="E093A4B0"/>
    <w:multiLevelType w:val="singleLevel"/>
    <w:tmpl w:val="E093A4B0"/>
    <w:lvl w:ilvl="0" w:tentative="0">
      <w:start w:val="1"/>
      <w:numFmt w:val="decimal"/>
      <w:lvlText w:val="%1."/>
      <w:lvlJc w:val="left"/>
      <w:rPr>
        <w:color w:val="3370FF"/>
      </w:rPr>
    </w:lvl>
  </w:abstractNum>
  <w:abstractNum w:abstractNumId="35">
    <w:nsid w:val="E504947C"/>
    <w:multiLevelType w:val="singleLevel"/>
    <w:tmpl w:val="E504947C"/>
    <w:lvl w:ilvl="0" w:tentative="0">
      <w:start w:val="0"/>
      <w:numFmt w:val="bullet"/>
      <w:lvlText w:val="•"/>
      <w:lvlJc w:val="left"/>
      <w:rPr>
        <w:color w:val="3370FF"/>
      </w:rPr>
    </w:lvl>
  </w:abstractNum>
  <w:abstractNum w:abstractNumId="36">
    <w:nsid w:val="E7B27C5B"/>
    <w:multiLevelType w:val="singleLevel"/>
    <w:tmpl w:val="E7B27C5B"/>
    <w:lvl w:ilvl="0" w:tentative="0">
      <w:start w:val="0"/>
      <w:numFmt w:val="bullet"/>
      <w:lvlText w:val="•"/>
      <w:lvlJc w:val="left"/>
      <w:rPr>
        <w:color w:val="3370FF"/>
      </w:rPr>
    </w:lvl>
  </w:abstractNum>
  <w:abstractNum w:abstractNumId="37">
    <w:nsid w:val="F0E89278"/>
    <w:multiLevelType w:val="singleLevel"/>
    <w:tmpl w:val="F0E89278"/>
    <w:lvl w:ilvl="0" w:tentative="0">
      <w:start w:val="0"/>
      <w:numFmt w:val="bullet"/>
      <w:lvlText w:val="•"/>
      <w:lvlJc w:val="left"/>
      <w:rPr>
        <w:color w:val="3370FF"/>
      </w:rPr>
    </w:lvl>
  </w:abstractNum>
  <w:abstractNum w:abstractNumId="38">
    <w:nsid w:val="F4B5D9F5"/>
    <w:multiLevelType w:val="singleLevel"/>
    <w:tmpl w:val="F4B5D9F5"/>
    <w:lvl w:ilvl="0" w:tentative="0">
      <w:start w:val="0"/>
      <w:numFmt w:val="bullet"/>
      <w:lvlText w:val="•"/>
      <w:lvlJc w:val="left"/>
      <w:rPr>
        <w:color w:val="3370FF"/>
      </w:rPr>
    </w:lvl>
  </w:abstractNum>
  <w:abstractNum w:abstractNumId="39">
    <w:nsid w:val="F689643B"/>
    <w:multiLevelType w:val="singleLevel"/>
    <w:tmpl w:val="F689643B"/>
    <w:lvl w:ilvl="0" w:tentative="0">
      <w:start w:val="0"/>
      <w:numFmt w:val="bullet"/>
      <w:lvlText w:val="•"/>
      <w:lvlJc w:val="left"/>
      <w:rPr>
        <w:color w:val="3370FF"/>
      </w:rPr>
    </w:lvl>
  </w:abstractNum>
  <w:abstractNum w:abstractNumId="40">
    <w:nsid w:val="F7735DC9"/>
    <w:multiLevelType w:val="singleLevel"/>
    <w:tmpl w:val="F7735DC9"/>
    <w:lvl w:ilvl="0" w:tentative="0">
      <w:start w:val="0"/>
      <w:numFmt w:val="bullet"/>
      <w:lvlText w:val="•"/>
      <w:lvlJc w:val="left"/>
      <w:rPr>
        <w:color w:val="3370FF"/>
      </w:rPr>
    </w:lvl>
  </w:abstractNum>
  <w:abstractNum w:abstractNumId="41">
    <w:nsid w:val="FEC2EA36"/>
    <w:multiLevelType w:val="singleLevel"/>
    <w:tmpl w:val="FEC2EA36"/>
    <w:lvl w:ilvl="0" w:tentative="0">
      <w:start w:val="0"/>
      <w:numFmt w:val="bullet"/>
      <w:lvlText w:val="•"/>
      <w:lvlJc w:val="left"/>
      <w:rPr>
        <w:color w:val="3370FF"/>
      </w:rPr>
    </w:lvl>
  </w:abstractNum>
  <w:abstractNum w:abstractNumId="42">
    <w:nsid w:val="0053208E"/>
    <w:multiLevelType w:val="singleLevel"/>
    <w:tmpl w:val="0053208E"/>
    <w:lvl w:ilvl="0" w:tentative="0">
      <w:start w:val="0"/>
      <w:numFmt w:val="bullet"/>
      <w:lvlText w:val="•"/>
      <w:lvlJc w:val="left"/>
      <w:rPr>
        <w:color w:val="3370FF"/>
      </w:rPr>
    </w:lvl>
  </w:abstractNum>
  <w:abstractNum w:abstractNumId="43">
    <w:nsid w:val="0248C179"/>
    <w:multiLevelType w:val="singleLevel"/>
    <w:tmpl w:val="0248C179"/>
    <w:lvl w:ilvl="0" w:tentative="0">
      <w:start w:val="6"/>
      <w:numFmt w:val="decimal"/>
      <w:lvlText w:val="%1."/>
      <w:lvlJc w:val="left"/>
      <w:rPr>
        <w:color w:val="3370FF"/>
      </w:rPr>
    </w:lvl>
  </w:abstractNum>
  <w:abstractNum w:abstractNumId="44">
    <w:nsid w:val="03A63A41"/>
    <w:multiLevelType w:val="singleLevel"/>
    <w:tmpl w:val="03A63A41"/>
    <w:lvl w:ilvl="0" w:tentative="0">
      <w:start w:val="0"/>
      <w:numFmt w:val="bullet"/>
      <w:lvlText w:val="•"/>
      <w:lvlJc w:val="left"/>
      <w:rPr>
        <w:color w:val="3370FF"/>
      </w:rPr>
    </w:lvl>
  </w:abstractNum>
  <w:abstractNum w:abstractNumId="45">
    <w:nsid w:val="03D62ECE"/>
    <w:multiLevelType w:val="singleLevel"/>
    <w:tmpl w:val="03D62ECE"/>
    <w:lvl w:ilvl="0" w:tentative="0">
      <w:start w:val="3"/>
      <w:numFmt w:val="decimal"/>
      <w:lvlText w:val="%1."/>
      <w:lvlJc w:val="left"/>
      <w:rPr>
        <w:color w:val="3370FF"/>
      </w:rPr>
    </w:lvl>
  </w:abstractNum>
  <w:abstractNum w:abstractNumId="46">
    <w:nsid w:val="0709FD3E"/>
    <w:multiLevelType w:val="singleLevel"/>
    <w:tmpl w:val="0709FD3E"/>
    <w:lvl w:ilvl="0" w:tentative="0">
      <w:start w:val="0"/>
      <w:numFmt w:val="bullet"/>
      <w:lvlText w:val="•"/>
      <w:lvlJc w:val="left"/>
      <w:rPr>
        <w:color w:val="3370FF"/>
      </w:rPr>
    </w:lvl>
  </w:abstractNum>
  <w:abstractNum w:abstractNumId="47">
    <w:nsid w:val="0CEF100B"/>
    <w:multiLevelType w:val="singleLevel"/>
    <w:tmpl w:val="0CEF100B"/>
    <w:lvl w:ilvl="0" w:tentative="0">
      <w:start w:val="0"/>
      <w:numFmt w:val="bullet"/>
      <w:lvlText w:val="•"/>
      <w:lvlJc w:val="left"/>
      <w:rPr>
        <w:color w:val="3370FF"/>
      </w:rPr>
    </w:lvl>
  </w:abstractNum>
  <w:abstractNum w:abstractNumId="48">
    <w:nsid w:val="0E640482"/>
    <w:multiLevelType w:val="singleLevel"/>
    <w:tmpl w:val="0E640482"/>
    <w:lvl w:ilvl="0" w:tentative="0">
      <w:start w:val="2"/>
      <w:numFmt w:val="decimal"/>
      <w:lvlText w:val="%1."/>
      <w:lvlJc w:val="left"/>
      <w:rPr>
        <w:color w:val="3370FF"/>
      </w:rPr>
    </w:lvl>
  </w:abstractNum>
  <w:abstractNum w:abstractNumId="49">
    <w:nsid w:val="0F9F9CCA"/>
    <w:multiLevelType w:val="singleLevel"/>
    <w:tmpl w:val="0F9F9CCA"/>
    <w:lvl w:ilvl="0" w:tentative="0">
      <w:start w:val="0"/>
      <w:numFmt w:val="bullet"/>
      <w:lvlText w:val="•"/>
      <w:lvlJc w:val="left"/>
      <w:rPr>
        <w:color w:val="3370FF"/>
      </w:rPr>
    </w:lvl>
  </w:abstractNum>
  <w:abstractNum w:abstractNumId="50">
    <w:nsid w:val="12EADF99"/>
    <w:multiLevelType w:val="singleLevel"/>
    <w:tmpl w:val="12EADF99"/>
    <w:lvl w:ilvl="0" w:tentative="0">
      <w:start w:val="0"/>
      <w:numFmt w:val="bullet"/>
      <w:lvlText w:val="•"/>
      <w:lvlJc w:val="left"/>
      <w:rPr>
        <w:color w:val="3370FF"/>
      </w:rPr>
    </w:lvl>
  </w:abstractNum>
  <w:abstractNum w:abstractNumId="51">
    <w:nsid w:val="18F74015"/>
    <w:multiLevelType w:val="singleLevel"/>
    <w:tmpl w:val="18F74015"/>
    <w:lvl w:ilvl="0" w:tentative="0">
      <w:start w:val="0"/>
      <w:numFmt w:val="bullet"/>
      <w:lvlText w:val="•"/>
      <w:lvlJc w:val="left"/>
      <w:rPr>
        <w:color w:val="3370FF"/>
      </w:rPr>
    </w:lvl>
  </w:abstractNum>
  <w:abstractNum w:abstractNumId="52">
    <w:nsid w:val="1ACDE60F"/>
    <w:multiLevelType w:val="singleLevel"/>
    <w:tmpl w:val="1ACDE60F"/>
    <w:lvl w:ilvl="0" w:tentative="0">
      <w:start w:val="0"/>
      <w:numFmt w:val="bullet"/>
      <w:lvlText w:val="•"/>
      <w:lvlJc w:val="left"/>
      <w:rPr>
        <w:color w:val="3370FF"/>
      </w:rPr>
    </w:lvl>
  </w:abstractNum>
  <w:abstractNum w:abstractNumId="53">
    <w:nsid w:val="1BCBBCF0"/>
    <w:multiLevelType w:val="singleLevel"/>
    <w:tmpl w:val="1BCBBCF0"/>
    <w:lvl w:ilvl="0" w:tentative="0">
      <w:start w:val="0"/>
      <w:numFmt w:val="bullet"/>
      <w:lvlText w:val="•"/>
      <w:lvlJc w:val="left"/>
      <w:rPr>
        <w:color w:val="3370FF"/>
      </w:rPr>
    </w:lvl>
  </w:abstractNum>
  <w:abstractNum w:abstractNumId="54">
    <w:nsid w:val="1C257C7B"/>
    <w:multiLevelType w:val="singleLevel"/>
    <w:tmpl w:val="1C257C7B"/>
    <w:lvl w:ilvl="0" w:tentative="0">
      <w:start w:val="0"/>
      <w:numFmt w:val="bullet"/>
      <w:lvlText w:val="•"/>
      <w:lvlJc w:val="left"/>
      <w:rPr>
        <w:color w:val="3370FF"/>
      </w:rPr>
    </w:lvl>
  </w:abstractNum>
  <w:abstractNum w:abstractNumId="55">
    <w:nsid w:val="23E97754"/>
    <w:multiLevelType w:val="singleLevel"/>
    <w:tmpl w:val="23E97754"/>
    <w:lvl w:ilvl="0" w:tentative="0">
      <w:start w:val="0"/>
      <w:numFmt w:val="bullet"/>
      <w:lvlText w:val="•"/>
      <w:lvlJc w:val="left"/>
      <w:rPr>
        <w:color w:val="3370FF"/>
      </w:rPr>
    </w:lvl>
  </w:abstractNum>
  <w:abstractNum w:abstractNumId="56">
    <w:nsid w:val="243FCF68"/>
    <w:multiLevelType w:val="singleLevel"/>
    <w:tmpl w:val="243FCF68"/>
    <w:lvl w:ilvl="0" w:tentative="0">
      <w:start w:val="0"/>
      <w:numFmt w:val="bullet"/>
      <w:lvlText w:val="•"/>
      <w:lvlJc w:val="left"/>
      <w:rPr>
        <w:color w:val="3370FF"/>
      </w:rPr>
    </w:lvl>
  </w:abstractNum>
  <w:abstractNum w:abstractNumId="57">
    <w:nsid w:val="2470EC97"/>
    <w:multiLevelType w:val="singleLevel"/>
    <w:tmpl w:val="2470EC97"/>
    <w:lvl w:ilvl="0" w:tentative="0">
      <w:start w:val="2"/>
      <w:numFmt w:val="decimal"/>
      <w:lvlText w:val="%1."/>
      <w:lvlJc w:val="left"/>
      <w:rPr>
        <w:color w:val="3370FF"/>
      </w:rPr>
    </w:lvl>
  </w:abstractNum>
  <w:abstractNum w:abstractNumId="58">
    <w:nsid w:val="25B654F3"/>
    <w:multiLevelType w:val="singleLevel"/>
    <w:tmpl w:val="25B654F3"/>
    <w:lvl w:ilvl="0" w:tentative="0">
      <w:start w:val="4"/>
      <w:numFmt w:val="decimal"/>
      <w:lvlText w:val="%1."/>
      <w:lvlJc w:val="left"/>
      <w:rPr>
        <w:color w:val="3370FF"/>
      </w:rPr>
    </w:lvl>
  </w:abstractNum>
  <w:abstractNum w:abstractNumId="59">
    <w:nsid w:val="2A8F537B"/>
    <w:multiLevelType w:val="singleLevel"/>
    <w:tmpl w:val="2A8F537B"/>
    <w:lvl w:ilvl="0" w:tentative="0">
      <w:start w:val="0"/>
      <w:numFmt w:val="bullet"/>
      <w:lvlText w:val="•"/>
      <w:lvlJc w:val="left"/>
      <w:rPr>
        <w:color w:val="3370FF"/>
      </w:rPr>
    </w:lvl>
  </w:abstractNum>
  <w:abstractNum w:abstractNumId="60">
    <w:nsid w:val="2F2D79CE"/>
    <w:multiLevelType w:val="singleLevel"/>
    <w:tmpl w:val="2F2D79CE"/>
    <w:lvl w:ilvl="0" w:tentative="0">
      <w:start w:val="0"/>
      <w:numFmt w:val="bullet"/>
      <w:lvlText w:val="•"/>
      <w:lvlJc w:val="left"/>
      <w:rPr>
        <w:color w:val="3370FF"/>
      </w:rPr>
    </w:lvl>
  </w:abstractNum>
  <w:abstractNum w:abstractNumId="61">
    <w:nsid w:val="30A0AC00"/>
    <w:multiLevelType w:val="singleLevel"/>
    <w:tmpl w:val="30A0AC00"/>
    <w:lvl w:ilvl="0" w:tentative="0">
      <w:start w:val="0"/>
      <w:numFmt w:val="bullet"/>
      <w:lvlText w:val="•"/>
      <w:lvlJc w:val="left"/>
      <w:rPr>
        <w:color w:val="3370FF"/>
      </w:rPr>
    </w:lvl>
  </w:abstractNum>
  <w:abstractNum w:abstractNumId="62">
    <w:nsid w:val="30FC5B15"/>
    <w:multiLevelType w:val="singleLevel"/>
    <w:tmpl w:val="30FC5B15"/>
    <w:lvl w:ilvl="0" w:tentative="0">
      <w:start w:val="0"/>
      <w:numFmt w:val="bullet"/>
      <w:lvlText w:val="•"/>
      <w:lvlJc w:val="left"/>
      <w:rPr>
        <w:color w:val="3370FF"/>
      </w:rPr>
    </w:lvl>
  </w:abstractNum>
  <w:abstractNum w:abstractNumId="63">
    <w:nsid w:val="322D85CA"/>
    <w:multiLevelType w:val="singleLevel"/>
    <w:tmpl w:val="322D85CA"/>
    <w:lvl w:ilvl="0" w:tentative="0">
      <w:start w:val="0"/>
      <w:numFmt w:val="bullet"/>
      <w:lvlText w:val="•"/>
      <w:lvlJc w:val="left"/>
      <w:rPr>
        <w:color w:val="3370FF"/>
      </w:rPr>
    </w:lvl>
  </w:abstractNum>
  <w:abstractNum w:abstractNumId="64">
    <w:nsid w:val="32A7AF2D"/>
    <w:multiLevelType w:val="singleLevel"/>
    <w:tmpl w:val="32A7AF2D"/>
    <w:lvl w:ilvl="0" w:tentative="0">
      <w:start w:val="0"/>
      <w:numFmt w:val="bullet"/>
      <w:lvlText w:val="•"/>
      <w:lvlJc w:val="left"/>
      <w:rPr>
        <w:color w:val="3370FF"/>
      </w:rPr>
    </w:lvl>
  </w:abstractNum>
  <w:abstractNum w:abstractNumId="65">
    <w:nsid w:val="35E83B33"/>
    <w:multiLevelType w:val="singleLevel"/>
    <w:tmpl w:val="35E83B33"/>
    <w:lvl w:ilvl="0" w:tentative="0">
      <w:start w:val="0"/>
      <w:numFmt w:val="bullet"/>
      <w:lvlText w:val="•"/>
      <w:lvlJc w:val="left"/>
      <w:rPr>
        <w:color w:val="3370FF"/>
      </w:rPr>
    </w:lvl>
  </w:abstractNum>
  <w:abstractNum w:abstractNumId="66">
    <w:nsid w:val="39A0D9AC"/>
    <w:multiLevelType w:val="singleLevel"/>
    <w:tmpl w:val="39A0D9AC"/>
    <w:lvl w:ilvl="0" w:tentative="0">
      <w:start w:val="0"/>
      <w:numFmt w:val="bullet"/>
      <w:lvlText w:val="•"/>
      <w:lvlJc w:val="left"/>
      <w:rPr>
        <w:color w:val="3370FF"/>
      </w:rPr>
    </w:lvl>
  </w:abstractNum>
  <w:abstractNum w:abstractNumId="67">
    <w:nsid w:val="3B8127DF"/>
    <w:multiLevelType w:val="singleLevel"/>
    <w:tmpl w:val="3B8127DF"/>
    <w:lvl w:ilvl="0" w:tentative="0">
      <w:start w:val="0"/>
      <w:numFmt w:val="bullet"/>
      <w:lvlText w:val="•"/>
      <w:lvlJc w:val="left"/>
      <w:rPr>
        <w:color w:val="3370FF"/>
      </w:rPr>
    </w:lvl>
  </w:abstractNum>
  <w:abstractNum w:abstractNumId="68">
    <w:nsid w:val="40B249F9"/>
    <w:multiLevelType w:val="singleLevel"/>
    <w:tmpl w:val="40B249F9"/>
    <w:lvl w:ilvl="0" w:tentative="0">
      <w:start w:val="0"/>
      <w:numFmt w:val="bullet"/>
      <w:lvlText w:val="•"/>
      <w:lvlJc w:val="left"/>
      <w:rPr>
        <w:color w:val="3370FF"/>
      </w:rPr>
    </w:lvl>
  </w:abstractNum>
  <w:abstractNum w:abstractNumId="69">
    <w:nsid w:val="46A08BB8"/>
    <w:multiLevelType w:val="singleLevel"/>
    <w:tmpl w:val="46A08BB8"/>
    <w:lvl w:ilvl="0" w:tentative="0">
      <w:start w:val="3"/>
      <w:numFmt w:val="decimal"/>
      <w:lvlText w:val="%1."/>
      <w:lvlJc w:val="left"/>
      <w:rPr>
        <w:color w:val="3370FF"/>
      </w:rPr>
    </w:lvl>
  </w:abstractNum>
  <w:abstractNum w:abstractNumId="70">
    <w:nsid w:val="4C1BAE26"/>
    <w:multiLevelType w:val="singleLevel"/>
    <w:tmpl w:val="4C1BAE26"/>
    <w:lvl w:ilvl="0" w:tentative="0">
      <w:start w:val="3"/>
      <w:numFmt w:val="decimal"/>
      <w:lvlText w:val="%1."/>
      <w:lvlJc w:val="left"/>
      <w:rPr>
        <w:color w:val="3370FF"/>
      </w:rPr>
    </w:lvl>
  </w:abstractNum>
  <w:abstractNum w:abstractNumId="71">
    <w:nsid w:val="4C3D7A74"/>
    <w:multiLevelType w:val="singleLevel"/>
    <w:tmpl w:val="4C3D7A74"/>
    <w:lvl w:ilvl="0" w:tentative="0">
      <w:start w:val="0"/>
      <w:numFmt w:val="bullet"/>
      <w:lvlText w:val="•"/>
      <w:lvlJc w:val="left"/>
      <w:rPr>
        <w:color w:val="3370FF"/>
      </w:rPr>
    </w:lvl>
  </w:abstractNum>
  <w:abstractNum w:abstractNumId="72">
    <w:nsid w:val="4D4DC07F"/>
    <w:multiLevelType w:val="singleLevel"/>
    <w:tmpl w:val="4D4DC07F"/>
    <w:lvl w:ilvl="0" w:tentative="0">
      <w:start w:val="0"/>
      <w:numFmt w:val="bullet"/>
      <w:lvlText w:val="•"/>
      <w:lvlJc w:val="left"/>
      <w:rPr>
        <w:color w:val="3370FF"/>
      </w:rPr>
    </w:lvl>
  </w:abstractNum>
  <w:abstractNum w:abstractNumId="73">
    <w:nsid w:val="4D94DA66"/>
    <w:multiLevelType w:val="singleLevel"/>
    <w:tmpl w:val="4D94DA66"/>
    <w:lvl w:ilvl="0" w:tentative="0">
      <w:start w:val="0"/>
      <w:numFmt w:val="bullet"/>
      <w:lvlText w:val="•"/>
      <w:lvlJc w:val="left"/>
      <w:rPr>
        <w:color w:val="3370FF"/>
      </w:rPr>
    </w:lvl>
  </w:abstractNum>
  <w:abstractNum w:abstractNumId="74">
    <w:nsid w:val="58765686"/>
    <w:multiLevelType w:val="singleLevel"/>
    <w:tmpl w:val="58765686"/>
    <w:lvl w:ilvl="0" w:tentative="0">
      <w:start w:val="0"/>
      <w:numFmt w:val="bullet"/>
      <w:lvlText w:val="￮"/>
      <w:lvlJc w:val="left"/>
      <w:rPr>
        <w:color w:val="3370FF"/>
      </w:rPr>
    </w:lvl>
  </w:abstractNum>
  <w:abstractNum w:abstractNumId="75">
    <w:nsid w:val="59ADCABA"/>
    <w:multiLevelType w:val="singleLevel"/>
    <w:tmpl w:val="59ADCABA"/>
    <w:lvl w:ilvl="0" w:tentative="0">
      <w:start w:val="0"/>
      <w:numFmt w:val="bullet"/>
      <w:lvlText w:val="•"/>
      <w:lvlJc w:val="left"/>
      <w:rPr>
        <w:color w:val="3370FF"/>
      </w:rPr>
    </w:lvl>
  </w:abstractNum>
  <w:abstractNum w:abstractNumId="76">
    <w:nsid w:val="59EEFD2A"/>
    <w:multiLevelType w:val="singleLevel"/>
    <w:tmpl w:val="59EEFD2A"/>
    <w:lvl w:ilvl="0" w:tentative="0">
      <w:start w:val="0"/>
      <w:numFmt w:val="bullet"/>
      <w:lvlText w:val="•"/>
      <w:lvlJc w:val="left"/>
      <w:rPr>
        <w:color w:val="3370FF"/>
      </w:rPr>
    </w:lvl>
  </w:abstractNum>
  <w:abstractNum w:abstractNumId="77">
    <w:nsid w:val="5A241D34"/>
    <w:multiLevelType w:val="singleLevel"/>
    <w:tmpl w:val="5A241D34"/>
    <w:lvl w:ilvl="0" w:tentative="0">
      <w:start w:val="1"/>
      <w:numFmt w:val="decimal"/>
      <w:lvlText w:val="%1."/>
      <w:lvlJc w:val="left"/>
      <w:rPr>
        <w:color w:val="3370FF"/>
      </w:rPr>
    </w:lvl>
  </w:abstractNum>
  <w:abstractNum w:abstractNumId="78">
    <w:nsid w:val="5E29AB5A"/>
    <w:multiLevelType w:val="singleLevel"/>
    <w:tmpl w:val="5E29AB5A"/>
    <w:lvl w:ilvl="0" w:tentative="0">
      <w:start w:val="0"/>
      <w:numFmt w:val="bullet"/>
      <w:lvlText w:val="•"/>
      <w:lvlJc w:val="left"/>
      <w:rPr>
        <w:color w:val="3370FF"/>
      </w:rPr>
    </w:lvl>
  </w:abstractNum>
  <w:abstractNum w:abstractNumId="79">
    <w:nsid w:val="5FFFB1A7"/>
    <w:multiLevelType w:val="singleLevel"/>
    <w:tmpl w:val="5FFFB1A7"/>
    <w:lvl w:ilvl="0" w:tentative="0">
      <w:start w:val="0"/>
      <w:numFmt w:val="bullet"/>
      <w:lvlText w:val="•"/>
      <w:lvlJc w:val="left"/>
      <w:rPr>
        <w:color w:val="3370FF"/>
      </w:rPr>
    </w:lvl>
  </w:abstractNum>
  <w:abstractNum w:abstractNumId="80">
    <w:nsid w:val="60382F6E"/>
    <w:multiLevelType w:val="singleLevel"/>
    <w:tmpl w:val="60382F6E"/>
    <w:lvl w:ilvl="0" w:tentative="0">
      <w:start w:val="1"/>
      <w:numFmt w:val="decimal"/>
      <w:lvlText w:val="%1."/>
      <w:lvlJc w:val="left"/>
      <w:rPr>
        <w:color w:val="3370FF"/>
      </w:rPr>
    </w:lvl>
  </w:abstractNum>
  <w:abstractNum w:abstractNumId="81">
    <w:nsid w:val="629F7852"/>
    <w:multiLevelType w:val="singleLevel"/>
    <w:tmpl w:val="629F7852"/>
    <w:lvl w:ilvl="0" w:tentative="0">
      <w:start w:val="0"/>
      <w:numFmt w:val="bullet"/>
      <w:lvlText w:val="•"/>
      <w:lvlJc w:val="left"/>
      <w:rPr>
        <w:color w:val="3370FF"/>
      </w:rPr>
    </w:lvl>
  </w:abstractNum>
  <w:abstractNum w:abstractNumId="82">
    <w:nsid w:val="65CD0074"/>
    <w:multiLevelType w:val="singleLevel"/>
    <w:tmpl w:val="65CD0074"/>
    <w:lvl w:ilvl="0" w:tentative="0">
      <w:start w:val="0"/>
      <w:numFmt w:val="bullet"/>
      <w:lvlText w:val="•"/>
      <w:lvlJc w:val="left"/>
      <w:rPr>
        <w:color w:val="3370FF"/>
      </w:rPr>
    </w:lvl>
  </w:abstractNum>
  <w:abstractNum w:abstractNumId="83">
    <w:nsid w:val="700FDCEF"/>
    <w:multiLevelType w:val="singleLevel"/>
    <w:tmpl w:val="700FDCEF"/>
    <w:lvl w:ilvl="0" w:tentative="0">
      <w:start w:val="0"/>
      <w:numFmt w:val="bullet"/>
      <w:lvlText w:val="•"/>
      <w:lvlJc w:val="left"/>
      <w:rPr>
        <w:color w:val="3370FF"/>
      </w:rPr>
    </w:lvl>
  </w:abstractNum>
  <w:abstractNum w:abstractNumId="84">
    <w:nsid w:val="72183CF9"/>
    <w:multiLevelType w:val="singleLevel"/>
    <w:tmpl w:val="72183CF9"/>
    <w:lvl w:ilvl="0" w:tentative="0">
      <w:start w:val="5"/>
      <w:numFmt w:val="decimal"/>
      <w:lvlText w:val="%1."/>
      <w:lvlJc w:val="left"/>
      <w:rPr>
        <w:color w:val="3370FF"/>
      </w:rPr>
    </w:lvl>
  </w:abstractNum>
  <w:abstractNum w:abstractNumId="85">
    <w:nsid w:val="74C28B35"/>
    <w:multiLevelType w:val="singleLevel"/>
    <w:tmpl w:val="74C28B35"/>
    <w:lvl w:ilvl="0" w:tentative="0">
      <w:start w:val="0"/>
      <w:numFmt w:val="bullet"/>
      <w:lvlText w:val="•"/>
      <w:lvlJc w:val="left"/>
      <w:rPr>
        <w:color w:val="3370FF"/>
      </w:rPr>
    </w:lvl>
  </w:abstractNum>
  <w:abstractNum w:abstractNumId="86">
    <w:nsid w:val="77633216"/>
    <w:multiLevelType w:val="singleLevel"/>
    <w:tmpl w:val="77633216"/>
    <w:lvl w:ilvl="0" w:tentative="0">
      <w:start w:val="0"/>
      <w:numFmt w:val="bullet"/>
      <w:lvlText w:val="•"/>
      <w:lvlJc w:val="left"/>
      <w:rPr>
        <w:color w:val="3370FF"/>
      </w:rPr>
    </w:lvl>
  </w:abstractNum>
  <w:abstractNum w:abstractNumId="87">
    <w:nsid w:val="77ECEA79"/>
    <w:multiLevelType w:val="singleLevel"/>
    <w:tmpl w:val="77ECEA79"/>
    <w:lvl w:ilvl="0" w:tentative="0">
      <w:start w:val="3"/>
      <w:numFmt w:val="decimal"/>
      <w:lvlText w:val="%1."/>
      <w:lvlJc w:val="left"/>
      <w:rPr>
        <w:color w:val="3370FF"/>
      </w:rPr>
    </w:lvl>
  </w:abstractNum>
  <w:abstractNum w:abstractNumId="88">
    <w:nsid w:val="79AA4FA4"/>
    <w:multiLevelType w:val="singleLevel"/>
    <w:tmpl w:val="79AA4FA4"/>
    <w:lvl w:ilvl="0" w:tentative="0">
      <w:start w:val="0"/>
      <w:numFmt w:val="bullet"/>
      <w:lvlText w:val="•"/>
      <w:lvlJc w:val="left"/>
      <w:rPr>
        <w:color w:val="3370FF"/>
      </w:rPr>
    </w:lvl>
  </w:abstractNum>
  <w:abstractNum w:abstractNumId="89">
    <w:nsid w:val="7C246926"/>
    <w:multiLevelType w:val="singleLevel"/>
    <w:tmpl w:val="7C246926"/>
    <w:lvl w:ilvl="0" w:tentative="0">
      <w:start w:val="2"/>
      <w:numFmt w:val="decimal"/>
      <w:lvlText w:val="%1."/>
      <w:lvlJc w:val="left"/>
      <w:rPr>
        <w:color w:val="3370FF"/>
      </w:rPr>
    </w:lvl>
  </w:abstractNum>
  <w:abstractNum w:abstractNumId="90">
    <w:nsid w:val="7DEC2089"/>
    <w:multiLevelType w:val="singleLevel"/>
    <w:tmpl w:val="7DEC2089"/>
    <w:lvl w:ilvl="0" w:tentative="0">
      <w:start w:val="1"/>
      <w:numFmt w:val="decimal"/>
      <w:lvlText w:val="%1."/>
      <w:lvlJc w:val="left"/>
      <w:rPr>
        <w:color w:val="3370FF"/>
      </w:rPr>
    </w:lvl>
  </w:abstractNum>
  <w:num w:numId="1">
    <w:abstractNumId w:val="42"/>
  </w:num>
  <w:num w:numId="2">
    <w:abstractNumId w:val="29"/>
  </w:num>
  <w:num w:numId="3">
    <w:abstractNumId w:val="75"/>
  </w:num>
  <w:num w:numId="4">
    <w:abstractNumId w:val="25"/>
  </w:num>
  <w:num w:numId="5">
    <w:abstractNumId w:val="19"/>
  </w:num>
  <w:num w:numId="6">
    <w:abstractNumId w:val="45"/>
  </w:num>
  <w:num w:numId="7">
    <w:abstractNumId w:val="58"/>
  </w:num>
  <w:num w:numId="8">
    <w:abstractNumId w:val="84"/>
  </w:num>
  <w:num w:numId="9">
    <w:abstractNumId w:val="43"/>
  </w:num>
  <w:num w:numId="10">
    <w:abstractNumId w:val="6"/>
  </w:num>
  <w:num w:numId="11">
    <w:abstractNumId w:val="59"/>
  </w:num>
  <w:num w:numId="12">
    <w:abstractNumId w:val="77"/>
  </w:num>
  <w:num w:numId="13">
    <w:abstractNumId w:val="28"/>
  </w:num>
  <w:num w:numId="14">
    <w:abstractNumId w:val="72"/>
  </w:num>
  <w:num w:numId="15">
    <w:abstractNumId w:val="38"/>
  </w:num>
  <w:num w:numId="16">
    <w:abstractNumId w:val="57"/>
  </w:num>
  <w:num w:numId="17">
    <w:abstractNumId w:val="33"/>
  </w:num>
  <w:num w:numId="18">
    <w:abstractNumId w:val="31"/>
  </w:num>
  <w:num w:numId="19">
    <w:abstractNumId w:val="10"/>
  </w:num>
  <w:num w:numId="20">
    <w:abstractNumId w:val="70"/>
  </w:num>
  <w:num w:numId="21">
    <w:abstractNumId w:val="80"/>
  </w:num>
  <w:num w:numId="22">
    <w:abstractNumId w:val="48"/>
  </w:num>
  <w:num w:numId="23">
    <w:abstractNumId w:val="69"/>
  </w:num>
  <w:num w:numId="24">
    <w:abstractNumId w:val="16"/>
  </w:num>
  <w:num w:numId="25">
    <w:abstractNumId w:val="89"/>
  </w:num>
  <w:num w:numId="26">
    <w:abstractNumId w:val="87"/>
  </w:num>
  <w:num w:numId="27">
    <w:abstractNumId w:val="24"/>
  </w:num>
  <w:num w:numId="28">
    <w:abstractNumId w:val="81"/>
  </w:num>
  <w:num w:numId="29">
    <w:abstractNumId w:val="7"/>
  </w:num>
  <w:num w:numId="30">
    <w:abstractNumId w:val="66"/>
  </w:num>
  <w:num w:numId="31">
    <w:abstractNumId w:val="2"/>
  </w:num>
  <w:num w:numId="32">
    <w:abstractNumId w:val="74"/>
  </w:num>
  <w:num w:numId="33">
    <w:abstractNumId w:val="90"/>
  </w:num>
  <w:num w:numId="34">
    <w:abstractNumId w:val="0"/>
  </w:num>
  <w:num w:numId="35">
    <w:abstractNumId w:val="56"/>
  </w:num>
  <w:num w:numId="36">
    <w:abstractNumId w:val="73"/>
  </w:num>
  <w:num w:numId="37">
    <w:abstractNumId w:val="40"/>
  </w:num>
  <w:num w:numId="38">
    <w:abstractNumId w:val="34"/>
  </w:num>
  <w:num w:numId="39">
    <w:abstractNumId w:val="62"/>
  </w:num>
  <w:num w:numId="40">
    <w:abstractNumId w:val="88"/>
  </w:num>
  <w:num w:numId="41">
    <w:abstractNumId w:val="22"/>
  </w:num>
  <w:num w:numId="42">
    <w:abstractNumId w:val="4"/>
  </w:num>
  <w:num w:numId="43">
    <w:abstractNumId w:val="21"/>
  </w:num>
  <w:num w:numId="44">
    <w:abstractNumId w:val="78"/>
  </w:num>
  <w:num w:numId="45">
    <w:abstractNumId w:val="1"/>
  </w:num>
  <w:num w:numId="46">
    <w:abstractNumId w:val="52"/>
  </w:num>
  <w:num w:numId="47">
    <w:abstractNumId w:val="3"/>
  </w:num>
  <w:num w:numId="48">
    <w:abstractNumId w:val="79"/>
  </w:num>
  <w:num w:numId="49">
    <w:abstractNumId w:val="85"/>
  </w:num>
  <w:num w:numId="50">
    <w:abstractNumId w:val="71"/>
  </w:num>
  <w:num w:numId="51">
    <w:abstractNumId w:val="63"/>
  </w:num>
  <w:num w:numId="52">
    <w:abstractNumId w:val="82"/>
  </w:num>
  <w:num w:numId="53">
    <w:abstractNumId w:val="46"/>
  </w:num>
  <w:num w:numId="54">
    <w:abstractNumId w:val="47"/>
  </w:num>
  <w:num w:numId="55">
    <w:abstractNumId w:val="30"/>
  </w:num>
  <w:num w:numId="56">
    <w:abstractNumId w:val="64"/>
  </w:num>
  <w:num w:numId="57">
    <w:abstractNumId w:val="54"/>
  </w:num>
  <w:num w:numId="58">
    <w:abstractNumId w:val="37"/>
  </w:num>
  <w:num w:numId="59">
    <w:abstractNumId w:val="55"/>
  </w:num>
  <w:num w:numId="60">
    <w:abstractNumId w:val="18"/>
  </w:num>
  <w:num w:numId="61">
    <w:abstractNumId w:val="68"/>
  </w:num>
  <w:num w:numId="62">
    <w:abstractNumId w:val="49"/>
  </w:num>
  <w:num w:numId="63">
    <w:abstractNumId w:val="65"/>
  </w:num>
  <w:num w:numId="64">
    <w:abstractNumId w:val="44"/>
  </w:num>
  <w:num w:numId="65">
    <w:abstractNumId w:val="26"/>
  </w:num>
  <w:num w:numId="66">
    <w:abstractNumId w:val="50"/>
  </w:num>
  <w:num w:numId="67">
    <w:abstractNumId w:val="17"/>
  </w:num>
  <w:num w:numId="68">
    <w:abstractNumId w:val="67"/>
  </w:num>
  <w:num w:numId="69">
    <w:abstractNumId w:val="13"/>
  </w:num>
  <w:num w:numId="70">
    <w:abstractNumId w:val="39"/>
  </w:num>
  <w:num w:numId="71">
    <w:abstractNumId w:val="61"/>
  </w:num>
  <w:num w:numId="72">
    <w:abstractNumId w:val="41"/>
  </w:num>
  <w:num w:numId="73">
    <w:abstractNumId w:val="51"/>
  </w:num>
  <w:num w:numId="74">
    <w:abstractNumId w:val="83"/>
  </w:num>
  <w:num w:numId="75">
    <w:abstractNumId w:val="35"/>
  </w:num>
  <w:num w:numId="76">
    <w:abstractNumId w:val="27"/>
  </w:num>
  <w:num w:numId="77">
    <w:abstractNumId w:val="12"/>
  </w:num>
  <w:num w:numId="78">
    <w:abstractNumId w:val="86"/>
  </w:num>
  <w:num w:numId="79">
    <w:abstractNumId w:val="32"/>
  </w:num>
  <w:num w:numId="80">
    <w:abstractNumId w:val="20"/>
  </w:num>
  <w:num w:numId="81">
    <w:abstractNumId w:val="60"/>
  </w:num>
  <w:num w:numId="82">
    <w:abstractNumId w:val="36"/>
  </w:num>
  <w:num w:numId="83">
    <w:abstractNumId w:val="9"/>
  </w:num>
  <w:num w:numId="84">
    <w:abstractNumId w:val="76"/>
  </w:num>
  <w:num w:numId="85">
    <w:abstractNumId w:val="23"/>
  </w:num>
  <w:num w:numId="86">
    <w:abstractNumId w:val="15"/>
  </w:num>
  <w:num w:numId="87">
    <w:abstractNumId w:val="8"/>
  </w:num>
  <w:num w:numId="88">
    <w:abstractNumId w:val="11"/>
  </w:num>
  <w:num w:numId="89">
    <w:abstractNumId w:val="14"/>
  </w:num>
  <w:num w:numId="90">
    <w:abstractNumId w:val="5"/>
  </w:num>
  <w:num w:numId="91">
    <w:abstractNumId w:val="5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5"/>
  <w:documentProtection w:enforcement="0"/>
  <w:compat>
    <w:useFELayout/>
    <w:splitPgBreakAndParaMark/>
    <w:compatSetting w:name="compatibilityMode" w:uri="http://schemas.microsoft.com/office/word" w:val="12"/>
  </w:compat>
  <w:rsids>
    <w:rsidRoot w:val="00000000"/>
    <w:rsid w:val="2B222EB7"/>
    <w:rsid w:val="300E6FB5"/>
    <w:rsid w:val="3C385E72"/>
    <w:rsid w:val="6FC33A4E"/>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sz w:val="21"/>
      <w:szCs w:val="22"/>
    </w:rPr>
  </w:style>
  <w:style w:type="character" w:default="1" w:styleId="3">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2503</Words>
  <Characters>3141</Characters>
  <TotalTime>1</TotalTime>
  <ScaleCrop>false</ScaleCrop>
  <LinksUpToDate>false</LinksUpToDate>
  <CharactersWithSpaces>3343</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2026-07-17T03:36:00Z</dcterms:created>
  <dc:creator>Apache POI</dc:creator>
  <cp:lastModifiedBy>陈越云</cp:lastModifiedBy>
  <dcterms:modified xsi:type="dcterms:W3CDTF">2026-07-19T10:02:39Z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IGC">
    <vt:lpwstr>{"Label":"1","ContentProducer":"001191110102MACQD9K64010000","ProduceID":"7663335818917055762","ReservedCode1":"","ContentPropagator":"","PropagateID":"","ReservedCode2":""}</vt:lpwstr>
  </property>
  <property fmtid="{D5CDD505-2E9C-101B-9397-08002B2CF9AE}" pid="3" name="KSOTemplateDocerSaveRecord">
    <vt:lpwstr>eyJoZGlkIjoiNTM1Y2I1NzFiOTZmNDBlYmU5MjBmYWQxN2RhOGE0MWYiLCJ1c2VySWQiOiIxNjcxMDgzMzEyIn0=</vt:lpwstr>
  </property>
  <property fmtid="{D5CDD505-2E9C-101B-9397-08002B2CF9AE}" pid="4" name="KSOProductBuildVer">
    <vt:lpwstr>2052-12.1.0.26895</vt:lpwstr>
  </property>
  <property fmtid="{D5CDD505-2E9C-101B-9397-08002B2CF9AE}" pid="5" name="ICV">
    <vt:lpwstr>D2CCD574C2BC4411ADC449992691DC65_12</vt:lpwstr>
  </property>
</Properties>
</file>