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pPr>
    </w:p>
    <w:p>
      <w:pPr>
        <w:jc w:val="center"/>
      </w:pPr>
      <w:r>
        <w:rPr>
          <w:rFonts w:ascii="Times New Roman" w:hAnsi="Times New Roman" w:eastAsia="黑体"/>
          <w:b/>
          <w:color w:val="000000"/>
          <w:sz w:val="48"/>
        </w:rPr>
        <w:t>基于运动想象的脑-机交互算法研究与系统实现 · 技术报告</w:t>
      </w:r>
    </w:p>
    <w:p/>
    <w:p>
      <w:pPr>
        <w:jc w:val="center"/>
      </w:pPr>
      <w:r>
        <w:rPr>
          <w:rFonts w:ascii="Times New Roman" w:hAnsi="Times New Roman" w:eastAsia="宋体"/>
          <w:b w:val="0"/>
          <w:color w:val="000000"/>
          <w:sz w:val="28"/>
        </w:rPr>
        <w:t>基于运动想象的脑-机交互算法研究与系统实现</w:t>
      </w:r>
    </w:p>
    <w:p>
      <w:pPr>
        <w:jc w:val="center"/>
      </w:pPr>
      <w:r>
        <w:rPr>
          <w:rFonts w:ascii="Times New Roman" w:hAnsi="Times New Roman" w:eastAsia="宋体"/>
          <w:b w:val="0"/>
          <w:color w:val="000000"/>
          <w:sz w:val="28"/>
        </w:rPr>
        <w:t>题目编号：XH-202610 ｜ 挑战杯"揭榜挂帅"擂台赛 ｜ 提交日期：2026 年 9 月</w:t>
      </w:r>
    </w:p>
    <w:p>
      <w:r>
        <w:br w:type="page"/>
      </w:r>
    </w:p>
    <w:p>
      <w:pPr>
        <w:pStyle w:val="Heading2"/>
        <w:spacing w:line="312" w:lineRule="auto" w:before="200" w:after="160"/>
      </w:pPr>
      <w:r>
        <w:rPr>
          <w:rFonts w:ascii="Times New Roman" w:hAnsi="Times New Roman" w:eastAsia="黑体"/>
          <w:b/>
          <w:color w:val="000000"/>
          <w:sz w:val="30"/>
        </w:rPr>
        <w:t>摘要</w:t>
      </w:r>
    </w:p>
    <w:p>
      <w:pPr>
        <w:spacing w:line="312" w:lineRule="auto" w:before="0" w:after="120"/>
        <w:ind w:firstLine="480"/>
        <w:jc w:val="both"/>
      </w:pPr>
      <w:r>
        <w:rPr>
          <w:rFonts w:ascii="Times New Roman" w:hAnsi="Times New Roman" w:eastAsia="宋体"/>
          <w:b w:val="0"/>
          <w:color w:val="000000"/>
          <w:sz w:val="24"/>
        </w:rPr>
        <w:t xml:space="preserve">摘要：针对运动想象脑机接口（MI-BCI）从实验室走向实际应用面临的噪声鲁棒解码、控制/空闲状态判别、少样本个性化适配与低延迟实时运算四大瓶颈，本报告提出并实现了一套完整的"迁移学习 + 少样本个性化适配 + 在线校准"三级优化 MI-BCI 系统。系统以 OpenBMI 54 名被试公开数据预训练 ShallowFBCSPNet-E1f 四成员融合底座，在标准被试独立五折协议下取得三分类（左手/右手/空闲）试次级准确率 </w:t>
      </w:r>
      <w:r>
        <w:rPr>
          <w:rFonts w:ascii="Times New Roman" w:hAnsi="Times New Roman" w:eastAsia="宋体"/>
          <w:b/>
          <w:color w:val="000000"/>
          <w:sz w:val="24"/>
        </w:rPr>
        <w:t>61.88%</w:t>
      </w:r>
      <w:r>
        <w:rPr>
          <w:rFonts w:ascii="Times New Roman" w:hAnsi="Times New Roman" w:eastAsia="宋体"/>
          <w:b w:val="0"/>
          <w:color w:val="000000"/>
          <w:sz w:val="24"/>
        </w:rPr>
        <w:t>（召回率 macro 61.88%、特异性 macro 80.94%）；在</w:t>
      </w:r>
      <w:r>
        <w:rPr>
          <w:rFonts w:ascii="Times New Roman" w:hAnsi="Times New Roman" w:eastAsia="宋体"/>
          <w:b/>
          <w:color w:val="000000"/>
          <w:sz w:val="24"/>
        </w:rPr>
        <w:t>主办方指定标准数据集</w:t>
      </w:r>
      <w:r>
        <w:rPr>
          <w:rFonts w:ascii="Times New Roman" w:hAnsi="Times New Roman" w:eastAsia="宋体"/>
          <w:b w:val="0"/>
          <w:color w:val="000000"/>
          <w:sz w:val="24"/>
        </w:rPr>
        <w:t xml:space="preserve">上交卷栈为 </w:t>
      </w:r>
      <w:r>
        <w:rPr>
          <w:rFonts w:ascii="Times New Roman" w:hAnsi="Times New Roman" w:eastAsia="宋体"/>
          <w:b/>
          <w:color w:val="000000"/>
          <w:sz w:val="24"/>
        </w:rPr>
        <w:t>59ch 从零 E1f-A59（S0）</w:t>
      </w:r>
      <w:r>
        <w:rPr>
          <w:rFonts w:ascii="Times New Roman" w:hAnsi="Times New Roman" w:eastAsia="宋体"/>
          <w:b w:val="0"/>
          <w:color w:val="000000"/>
          <w:sz w:val="24"/>
        </w:rPr>
        <w:t xml:space="preserve">：leave-fold 嵌套主读 </w:t>
      </w:r>
      <w:r>
        <w:rPr>
          <w:rFonts w:ascii="Times New Roman" w:hAnsi="Times New Roman" w:eastAsia="宋体"/>
          <w:b/>
          <w:color w:val="000000"/>
          <w:sz w:val="24"/>
        </w:rPr>
        <w:t>0.511±0.066</w:t>
      </w:r>
      <w:r>
        <w:rPr>
          <w:rFonts w:ascii="Times New Roman" w:hAnsi="Times New Roman" w:eastAsia="宋体"/>
          <w:b w:val="0"/>
          <w:color w:val="000000"/>
          <w:sz w:val="24"/>
        </w:rPr>
        <w:t xml:space="preserve">，折内附报 </w:t>
      </w:r>
      <w:r>
        <w:rPr>
          <w:rFonts w:ascii="Times New Roman" w:hAnsi="Times New Roman" w:eastAsia="宋体"/>
          <w:b/>
          <w:color w:val="000000"/>
          <w:sz w:val="24"/>
        </w:rPr>
        <w:t>0.558±0.069</w:t>
      </w:r>
      <w:r>
        <w:rPr>
          <w:rFonts w:ascii="Times New Roman" w:hAnsi="Times New Roman" w:eastAsia="宋体"/>
          <w:b w:val="0"/>
          <w:color w:val="000000"/>
          <w:sz w:val="24"/>
        </w:rPr>
        <w:t xml:space="preserve">（in-sample 乐观约 </w:t>
      </w:r>
      <w:r>
        <w:rPr>
          <w:rFonts w:ascii="Times New Roman" w:hAnsi="Times New Roman" w:eastAsia="宋体"/>
          <w:b/>
          <w:color w:val="000000"/>
          <w:sz w:val="24"/>
        </w:rPr>
        <w:t>+4.7pp</w:t>
      </w:r>
      <w:r>
        <w:rPr>
          <w:rFonts w:ascii="Times New Roman" w:hAnsi="Times New Roman" w:eastAsia="宋体"/>
          <w:b w:val="0"/>
          <w:color w:val="000000"/>
          <w:sz w:val="24"/>
        </w:rPr>
        <w:t xml:space="preserve">，实验 37）；备选 OpenBMI→8ch FT 栈 nested </w:t>
      </w:r>
      <w:r>
        <w:rPr>
          <w:rFonts w:ascii="Times New Roman" w:hAnsi="Times New Roman" w:eastAsia="宋体"/>
          <w:b/>
          <w:color w:val="000000"/>
          <w:sz w:val="24"/>
        </w:rPr>
        <w:t>0.540</w:t>
      </w:r>
      <w:r>
        <w:rPr>
          <w:rFonts w:ascii="Times New Roman" w:hAnsi="Times New Roman" w:eastAsia="宋体"/>
          <w:b w:val="0"/>
          <w:color w:val="000000"/>
          <w:sz w:val="24"/>
        </w:rPr>
        <w:t xml:space="preserve"> 已登记但因 Val 支撑外推风险否决（实验 40）。通过跨库伪在线与 Leave-Next 仿真证明权重级增量微调是个体适配的唯一有效来源（Stieger 24 人零样本 41.98% → 少样本微调 65.90% → 生理门控 70.03%；BCI2a 仿真末档 all4 </w:t>
      </w:r>
      <w:r>
        <w:rPr>
          <w:rFonts w:ascii="Times New Roman" w:hAnsi="Times New Roman" w:eastAsia="宋体"/>
          <w:b/>
          <w:color w:val="000000"/>
          <w:sz w:val="24"/>
        </w:rPr>
        <w:t>66.3%</w:t>
      </w:r>
      <w:r>
        <w:rPr>
          <w:rFonts w:ascii="Times New Roman" w:hAnsi="Times New Roman" w:eastAsia="宋体"/>
          <w:b w:val="0"/>
          <w:color w:val="000000"/>
          <w:sz w:val="24"/>
        </w:rPr>
        <w:t xml:space="preserve"> vs 单成员 so </w:t>
      </w:r>
      <w:r>
        <w:rPr>
          <w:rFonts w:ascii="Times New Roman" w:hAnsi="Times New Roman" w:eastAsia="宋体"/>
          <w:b/>
          <w:color w:val="000000"/>
          <w:sz w:val="24"/>
        </w:rPr>
        <w:t>45.2%</w:t>
      </w:r>
      <w:r>
        <w:rPr>
          <w:rFonts w:ascii="Times New Roman" w:hAnsi="Times New Roman" w:eastAsia="宋体"/>
          <w:b w:val="0"/>
          <w:color w:val="000000"/>
          <w:sz w:val="24"/>
        </w:rPr>
        <w:t xml:space="preserve">，Δ+21.1 pp）；真实被试采后 Leave-Next 适配最优个体窗级准确率达 </w:t>
      </w:r>
      <w:r>
        <w:rPr>
          <w:rFonts w:ascii="Times New Roman" w:hAnsi="Times New Roman" w:eastAsia="宋体"/>
          <w:b/>
          <w:color w:val="000000"/>
          <w:sz w:val="24"/>
        </w:rPr>
        <w:t>92.4%</w:t>
      </w:r>
      <w:r>
        <w:rPr>
          <w:rFonts w:ascii="Times New Roman" w:hAnsi="Times New Roman" w:eastAsia="宋体"/>
          <w:b w:val="0"/>
          <w:color w:val="000000"/>
          <w:sz w:val="24"/>
        </w:rPr>
        <w:t>（F5 试次计分 41.5/45，MI 33/36）。在线端单窗前向增量耗时 1.11 ms，判定延迟约 3.5 s，配合网页游戏化诱导与第一人称反馈界面，形成可验证、可复现、可演示的完整闭环系统。</w:t>
      </w:r>
    </w:p>
    <w:p>
      <w:pPr>
        <w:spacing w:line="312" w:lineRule="auto" w:before="0" w:after="120"/>
        <w:ind w:firstLine="480"/>
        <w:jc w:val="both"/>
      </w:pPr>
      <w:r>
        <w:rPr>
          <w:rFonts w:ascii="Times New Roman" w:hAnsi="Times New Roman" w:eastAsia="宋体"/>
          <w:b w:val="0"/>
          <w:color w:val="000000"/>
          <w:sz w:val="24"/>
        </w:rPr>
        <w:t>说明：本报告与随附 Excel/代码包/演示视频构成完整提交材料；报告中标注【提交前更新】处需在最终提交前回填（自采被试人数、真机延迟 p50/p95 等）。</w:t>
      </w:r>
    </w:p>
    <w:p>
      <w:pPr>
        <w:spacing w:line="312" w:lineRule="auto" w:before="0" w:after="120"/>
        <w:ind w:firstLine="480"/>
        <w:jc w:val="both"/>
      </w:pPr>
      <w:r>
        <w:rPr>
          <w:rFonts w:ascii="Times New Roman" w:hAnsi="Times New Roman" w:eastAsia="宋体"/>
          <w:b/>
          <w:color w:val="000000"/>
          <w:sz w:val="24"/>
        </w:rPr>
        <w:t>关键词：</w:t>
      </w:r>
      <w:r>
        <w:rPr>
          <w:rFonts w:ascii="Times New Roman" w:hAnsi="Times New Roman" w:eastAsia="宋体"/>
          <w:b w:val="0"/>
          <w:color w:val="000000"/>
          <w:sz w:val="24"/>
        </w:rPr>
        <w:t>运动想象；脑机接口；少样本个性化适配；迁移学习；异步交互协议</w:t>
      </w:r>
    </w:p>
    <w:p>
      <w:r>
        <w:br w:type="page"/>
      </w:r>
    </w:p>
    <w:p>
      <w:pPr>
        <w:jc w:val="center"/>
      </w:pPr>
      <w:r>
        <w:rPr>
          <w:rFonts w:ascii="Times New Roman" w:hAnsi="Times New Roman" w:eastAsia="黑体"/>
          <w:b/>
          <w:color w:val="000000"/>
          <w:sz w:val="32"/>
        </w:rPr>
        <w:t>目  录</w:t>
      </w:r>
    </w:p>
    <w:p>
      <w:r>
        <w:fldChar w:fldCharType="begin" w:dirty="true"/>
      </w:r>
      <w:r>
        <w:instrText xml:space="preserve"> TOC \o "1-3" \h \z \u </w:instrText>
      </w:r>
      <w:r>
        <w:fldChar w:fldCharType="separate"/>
      </w:r>
      <w:r>
        <w:rPr>
          <w:rFonts w:ascii="Times New Roman" w:hAnsi="Times New Roman" w:eastAsia="宋体"/>
          <w:b w:val="0"/>
          <w:color w:val="000000"/>
          <w:sz w:val="21"/>
        </w:rPr>
        <w:t>（打开后按 F9 更新目录）</w:t>
      </w:r>
      <w:r>
        <w:fldChar w:fldCharType="end"/>
      </w:r>
    </w:p>
    <w:p>
      <w:pPr>
        <w:jc w:val="center"/>
      </w:pPr>
      <w:r>
        <w:rPr>
          <w:rFonts w:ascii="Times New Roman" w:hAnsi="Times New Roman" w:eastAsia="宋体"/>
          <w:b w:val="0"/>
          <w:color w:val="808080"/>
          <w:sz w:val="18"/>
        </w:rPr>
        <w:t>提示：打开文档后按 Ctrl+A → F9（或右键目录 → 更新域）刷新目录页码。</w:t>
      </w:r>
    </w:p>
    <w:p>
      <w:r>
        <w:br w:type="page"/>
      </w:r>
    </w:p>
    <w:p>
      <w:pPr>
        <w:pStyle w:val="Heading1"/>
        <w:spacing w:line="312" w:lineRule="auto" w:before="280" w:after="160"/>
        <w:jc w:val="center"/>
      </w:pPr>
      <w:r>
        <w:rPr>
          <w:rFonts w:ascii="Times New Roman" w:hAnsi="Times New Roman" w:eastAsia="黑体"/>
          <w:b/>
          <w:color w:val="000000"/>
          <w:sz w:val="32"/>
        </w:rPr>
        <w:t>1. 引言</w:t>
      </w:r>
    </w:p>
    <w:p>
      <w:pPr>
        <w:pStyle w:val="Heading2"/>
        <w:spacing w:line="312" w:lineRule="auto" w:before="200" w:after="160"/>
      </w:pPr>
      <w:r>
        <w:rPr>
          <w:rFonts w:ascii="Times New Roman" w:hAnsi="Times New Roman" w:eastAsia="黑体"/>
          <w:b/>
          <w:color w:val="000000"/>
          <w:sz w:val="30"/>
        </w:rPr>
        <w:t>1.1 应用背景与核心技术瓶颈</w:t>
      </w:r>
    </w:p>
    <w:p>
      <w:pPr>
        <w:spacing w:line="312" w:lineRule="auto" w:before="0" w:after="120"/>
        <w:ind w:firstLine="480"/>
        <w:jc w:val="both"/>
      </w:pPr>
      <w:r>
        <w:rPr>
          <w:rFonts w:ascii="Times New Roman" w:hAnsi="Times New Roman" w:eastAsia="宋体"/>
          <w:b w:val="0"/>
          <w:color w:val="000000"/>
          <w:sz w:val="24"/>
        </w:rPr>
        <w:t>我国 60 岁及以上人口已达 2.8 亿，脑卒中患者总数超 2876 万，绝大多数患者遗留运动功能障碍，对智能康复与辅助移动技术形成庞大刚性需求。运动想象脑机接口（Motor Imagery BCI, MI-BCI）无需外部刺激与残存肌力参与，仅通过用户想象肢体动作即可产生控制信号，是实现"随心而动"智能辅具的核心技术路径。</w:t>
      </w:r>
    </w:p>
    <w:p>
      <w:pPr>
        <w:spacing w:line="312" w:lineRule="auto" w:before="0" w:after="120"/>
        <w:ind w:firstLine="480"/>
        <w:jc w:val="both"/>
      </w:pPr>
      <w:r>
        <w:rPr>
          <w:rFonts w:ascii="Times New Roman" w:hAnsi="Times New Roman" w:eastAsia="宋体"/>
          <w:b w:val="0"/>
          <w:color w:val="000000"/>
          <w:sz w:val="24"/>
        </w:rPr>
        <w:t>但该范式从实验室走向真实应用仍存在三大瓶颈：其一，日常环境电磁干扰与生理噪声下，微弱且个体差异显著的运动想象脑电信号难以实现鲁棒、高精度解码；其二，缺乏可靠的异步交互协议，无法精准判别用户"控制状态"与"空闲状态"，存在使用安全隐患；其三，算法在有限训练数据下的快速个性化适配及实时低延迟运算难题尚未突破。此外，运动想象"操作要领"因人而异，初学者摸索周期长，制约技术规模化推广。</w:t>
      </w:r>
    </w:p>
    <w:p>
      <w:pPr>
        <w:pStyle w:val="Heading2"/>
        <w:spacing w:line="312" w:lineRule="auto" w:before="200" w:after="160"/>
      </w:pPr>
      <w:r>
        <w:rPr>
          <w:rFonts w:ascii="Times New Roman" w:hAnsi="Times New Roman" w:eastAsia="黑体"/>
          <w:b/>
          <w:color w:val="000000"/>
          <w:sz w:val="30"/>
        </w:rPr>
        <w:t>1.2 赛题需求对接与本文贡献</w:t>
      </w:r>
    </w:p>
    <w:p>
      <w:pPr>
        <w:spacing w:line="312" w:lineRule="auto" w:before="0" w:after="120"/>
        <w:ind w:firstLine="480"/>
        <w:jc w:val="both"/>
      </w:pPr>
      <w:r>
        <w:rPr>
          <w:rFonts w:ascii="Times New Roman" w:hAnsi="Times New Roman" w:eastAsia="宋体"/>
          <w:b w:val="0"/>
          <w:color w:val="000000"/>
          <w:sz w:val="24"/>
        </w:rPr>
        <w:t>对照赛题攻关任务（三类认知状态精准分类与实时识别、不少于 20 人自采数据佐证、完整可演示系统），本文贡献如下：</w:t>
      </w:r>
    </w:p>
    <w:p>
      <w:pPr>
        <w:spacing w:line="312" w:lineRule="auto" w:before="0" w:after="120"/>
        <w:ind w:left="480"/>
        <w:jc w:val="both"/>
      </w:pPr>
      <w:r>
        <w:rPr>
          <w:rFonts w:ascii="Times New Roman" w:hAnsi="Times New Roman" w:eastAsia="宋体"/>
          <w:b/>
          <w:color w:val="000000"/>
          <w:sz w:val="24"/>
        </w:rPr>
        <w:t>统一协议下的底座选型与机制分析</w:t>
      </w:r>
      <w:r>
        <w:rPr>
          <w:rFonts w:ascii="Times New Roman" w:hAnsi="Times New Roman" w:eastAsia="宋体"/>
          <w:b w:val="0"/>
          <w:color w:val="000000"/>
          <w:sz w:val="24"/>
        </w:rPr>
        <w:t>：对 11 种主流脑电解码模型在 OpenBMI 54 人数据上完成统一协议正式对比，结合"未来信息上界 oracle""测试时适配（OTTA/EA/AdaBN）"等机制实验，证明"信息在可见窗内基本完备、域间隙不在二阶统计量层"，为"权重级适配"路线提供机制依据（§5、§7）。</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E1f 四成员概率级融合与因果读出</w:t>
      </w:r>
      <w:r>
        <w:rPr>
          <w:rFonts w:ascii="Times New Roman" w:hAnsi="Times New Roman" w:eastAsia="宋体"/>
          <w:b w:val="0"/>
          <w:color w:val="000000"/>
          <w:sz w:val="24"/>
        </w:rPr>
        <w:t>：以温度校准 + 验证集加权的四成员融合（Shallow/T-Shallow/EEGNet/Conformer）叠加因果平滑读出，取得 OpenBMI 三分类 61.88%（§5）。</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采后 Leave-Next 少样本个性化适配</w:t>
      </w:r>
      <w:r>
        <w:rPr>
          <w:rFonts w:ascii="Times New Roman" w:hAnsi="Times New Roman" w:eastAsia="宋体"/>
          <w:b w:val="0"/>
          <w:color w:val="000000"/>
          <w:sz w:val="24"/>
        </w:rPr>
        <w:t>：新被试每完成一个会话即对全部四成员做增量微调并晋升，配合源域回放、质量门控与强制晋升告警，实现"边采边适配"；在公开库仿真与真实被试上均显著优于单成员微调与零样本（§7）。</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完整在线系统</w:t>
      </w:r>
      <w:r>
        <w:rPr>
          <w:rFonts w:ascii="Times New Roman" w:hAnsi="Times New Roman" w:eastAsia="宋体"/>
          <w:b w:val="0"/>
          <w:color w:val="000000"/>
          <w:sz w:val="24"/>
        </w:rPr>
        <w:t>：网页游戏化诱导、第一人称虚拟手反馈、操作台实时监测与三类实时分类，单窗前向 1.11 ms 的低延迟推理链路（§8、§10）。</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全套可复现材料</w:t>
      </w:r>
      <w:r>
        <w:rPr>
          <w:rFonts w:ascii="Times New Roman" w:hAnsi="Times New Roman" w:eastAsia="宋体"/>
          <w:b w:val="0"/>
          <w:color w:val="000000"/>
          <w:sz w:val="24"/>
        </w:rPr>
        <w:t>：离线验证 Excel（含混淆矩阵、每类召回率/特异性、延迟与原始数据索引）、源代码包与本报告（§11）。</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指定集嵌套协议与交卷定稿</w:t>
      </w:r>
      <w:r>
        <w:rPr>
          <w:rFonts w:ascii="Times New Roman" w:hAnsi="Times New Roman" w:eastAsia="宋体"/>
          <w:b w:val="0"/>
          <w:color w:val="000000"/>
          <w:sz w:val="24"/>
        </w:rPr>
        <w:t xml:space="preserve">：在主办方指定集上完成 Exp34–40；交卷为从零栈 </w:t>
      </w:r>
      <w:r>
        <w:rPr>
          <w:rFonts w:ascii="Times New Roman" w:hAnsi="Times New Roman" w:eastAsia="宋体"/>
          <w:b/>
          <w:color w:val="000000"/>
          <w:sz w:val="24"/>
        </w:rPr>
        <w:t>S0</w:t>
      </w:r>
      <w:r>
        <w:rPr>
          <w:rFonts w:ascii="Times New Roman" w:hAnsi="Times New Roman" w:eastAsia="宋体"/>
          <w:b w:val="0"/>
          <w:color w:val="000000"/>
          <w:sz w:val="24"/>
        </w:rPr>
        <w:t xml:space="preserve">（嵌套 0.511 / 折内 0.558 双标注），并量化折内融合乐观约 </w:t>
      </w:r>
      <w:r>
        <w:rPr>
          <w:rFonts w:ascii="Times New Roman" w:hAnsi="Times New Roman" w:eastAsia="宋体"/>
          <w:b/>
          <w:color w:val="000000"/>
          <w:sz w:val="24"/>
        </w:rPr>
        <w:t>+4.7pp</w:t>
      </w:r>
      <w:r>
        <w:rPr>
          <w:rFonts w:ascii="Times New Roman" w:hAnsi="Times New Roman" w:eastAsia="宋体"/>
          <w:b w:val="0"/>
          <w:color w:val="000000"/>
          <w:sz w:val="24"/>
        </w:rPr>
        <w:t>；备选 R-B8=0.540 因外推风险否决并归档（§9.7）。</w:t>
      </w:r>
      <w:r>
        <w:rPr>
          <w:rFonts w:ascii="Times New Roman" w:hAnsi="Times New Roman" w:eastAsia="宋体"/>
          <w:b w:val="0"/>
          <w:color w:val="000000"/>
          <w:sz w:val="24"/>
        </w:rPr>
        <w:t xml:space="preserve">· </w:t>
      </w:r>
    </w:p>
    <w:p>
      <w:pPr>
        <w:pStyle w:val="Heading1"/>
        <w:spacing w:line="312" w:lineRule="auto" w:before="280" w:after="160"/>
        <w:jc w:val="center"/>
      </w:pPr>
      <w:r>
        <w:rPr>
          <w:rFonts w:ascii="Times New Roman" w:hAnsi="Times New Roman" w:eastAsia="黑体"/>
          <w:b/>
          <w:color w:val="000000"/>
          <w:sz w:val="32"/>
        </w:rPr>
        <w:t>2. 系统总体设计</w:t>
      </w:r>
    </w:p>
    <w:p>
      <w:pPr>
        <w:pStyle w:val="Heading2"/>
        <w:spacing w:line="312" w:lineRule="auto" w:before="200" w:after="160"/>
      </w:pPr>
      <w:r>
        <w:rPr>
          <w:rFonts w:ascii="Times New Roman" w:hAnsi="Times New Roman" w:eastAsia="黑体"/>
          <w:b/>
          <w:color w:val="000000"/>
          <w:sz w:val="30"/>
        </w:rPr>
        <w:t>2.1 三级优化框架</w:t>
      </w:r>
    </w:p>
    <w:p>
      <w:pPr>
        <w:spacing w:line="312" w:lineRule="auto" w:before="0" w:after="120"/>
        <w:ind w:firstLine="480"/>
        <w:jc w:val="both"/>
      </w:pPr>
      <w:r>
        <w:rPr>
          <w:rFonts w:ascii="Times New Roman" w:hAnsi="Times New Roman" w:eastAsia="宋体"/>
          <w:b w:val="0"/>
          <w:color w:val="000000"/>
          <w:sz w:val="24"/>
        </w:rPr>
        <w:t>系统采用"迁移学习（Transfer Learning）+ 少样本个性化适配（Few-shot Adaptation）+ 在线校准（Online Calibration）"三级优化框架：</w:t>
      </w:r>
    </w:p>
    <w:p>
      <w:pPr>
        <w:spacing w:line="312" w:lineRule="auto" w:before="0" w:after="120"/>
        <w:ind w:left="480"/>
        <w:jc w:val="both"/>
      </w:pPr>
      <w:r>
        <w:rPr>
          <w:rFonts w:ascii="Times New Roman" w:hAnsi="Times New Roman" w:eastAsia="宋体"/>
          <w:b/>
          <w:color w:val="000000"/>
          <w:sz w:val="24"/>
        </w:rPr>
        <w:t>第一级（通用表征）</w:t>
      </w:r>
      <w:r>
        <w:rPr>
          <w:rFonts w:ascii="Times New Roman" w:hAnsi="Times New Roman" w:eastAsia="宋体"/>
          <w:b w:val="0"/>
          <w:color w:val="000000"/>
          <w:sz w:val="24"/>
        </w:rPr>
        <w:t>：在公开运动想象数据集（OpenBMI 54 人）上按统一协议预训练通用底座，学习跨被试脑电表征；</w:t>
      </w:r>
    </w:p>
    <w:p>
      <w:pPr>
        <w:spacing w:line="312" w:lineRule="auto" w:before="0" w:after="120"/>
        <w:ind w:left="480"/>
        <w:jc w:val="both"/>
      </w:pPr>
      <w:r>
        <w:rPr>
          <w:rFonts w:ascii="Times New Roman" w:hAnsi="Times New Roman" w:eastAsia="宋体"/>
          <w:b/>
          <w:color w:val="000000"/>
          <w:sz w:val="24"/>
        </w:rPr>
        <w:t>第二级（底座强化）</w:t>
      </w:r>
      <w:r>
        <w:rPr>
          <w:rFonts w:ascii="Times New Roman" w:hAnsi="Times New Roman" w:eastAsia="宋体"/>
          <w:b w:val="0"/>
          <w:color w:val="000000"/>
          <w:sz w:val="24"/>
        </w:rPr>
        <w:t>：以自行采集的真实被试数据对底座做增量微调，构成贴近目标人群的通用模型；</w:t>
      </w:r>
    </w:p>
    <w:p>
      <w:pPr>
        <w:spacing w:line="312" w:lineRule="auto" w:before="0" w:after="120"/>
        <w:ind w:left="480"/>
        <w:jc w:val="both"/>
      </w:pPr>
      <w:r>
        <w:rPr>
          <w:rFonts w:ascii="Times New Roman" w:hAnsi="Times New Roman" w:eastAsia="宋体"/>
          <w:b/>
          <w:color w:val="000000"/>
          <w:sz w:val="24"/>
        </w:rPr>
        <w:t>第三级（个体适配）</w:t>
      </w:r>
      <w:r>
        <w:rPr>
          <w:rFonts w:ascii="Times New Roman" w:hAnsi="Times New Roman" w:eastAsia="宋体"/>
          <w:b w:val="0"/>
          <w:color w:val="000000"/>
          <w:sz w:val="24"/>
        </w:rPr>
        <w:t>：新用户每完成一个采集/游戏会话，即触发一次采后 Leave-Next 增量微调，生成用户专属模型，并以质量门控与回放正则保证适配稳定性。</w:t>
      </w:r>
    </w:p>
    <w:p>
      <w:pPr>
        <w:pStyle w:val="Heading2"/>
        <w:spacing w:line="312" w:lineRule="auto" w:before="200" w:after="160"/>
      </w:pPr>
      <w:r>
        <w:rPr>
          <w:rFonts w:ascii="Times New Roman" w:hAnsi="Times New Roman" w:eastAsia="黑体"/>
          <w:b/>
          <w:color w:val="000000"/>
          <w:sz w:val="30"/>
        </w:rPr>
        <w:t>2.2 系统运行链路</w:t>
      </w:r>
    </w:p>
    <w:p>
      <w:pPr>
        <w:spacing w:line="264" w:lineRule="auto"/>
        <w:ind w:left="480"/>
        <w:shd w:val="clear" w:fill="F2F2F2"/>
      </w:pPr>
      <w:r>
        <w:rPr>
          <w:rFonts w:ascii="Consolas" w:hAnsi="Consolas" w:eastAsia="宋体"/>
          <w:b w:val="0"/>
          <w:color w:val="000000"/>
          <w:sz w:val="18"/>
        </w:rPr>
        <w:t>公开数据（OpenBMI/BCI2a/Stieger）统一切窗 → 预训练通用底座（E1f 四成员）</w:t>
        <w:br/>
      </w:r>
      <w:r>
        <w:rPr>
          <w:rFonts w:ascii="Consolas" w:hAnsi="Consolas" w:eastAsia="宋体"/>
          <w:b w:val="0"/>
          <w:color w:val="000000"/>
          <w:sz w:val="18"/>
        </w:rPr>
        <w:t xml:space="preserve">  → 新用户采集会话（网页游戏范式，8 通道 250 Hz）</w:t>
        <w:br/>
      </w:r>
      <w:r>
        <w:rPr>
          <w:rFonts w:ascii="Consolas" w:hAnsi="Consolas" w:eastAsia="宋体"/>
          <w:b w:val="0"/>
          <w:color w:val="000000"/>
          <w:sz w:val="18"/>
        </w:rPr>
        <w:t xml:space="preserve">  → 采后 Leave-Next 增量微调（all4 + replay 0.10 + 门控）</w:t>
        <w:br/>
      </w:r>
      <w:r>
        <w:rPr>
          <w:rFonts w:ascii="Consolas" w:hAnsi="Consolas" w:eastAsia="宋体"/>
          <w:b w:val="0"/>
          <w:color w:val="000000"/>
          <w:sz w:val="18"/>
        </w:rPr>
        <w:t xml:space="preserve">  → 用户专属模型（subjects/*/models/current）</w:t>
        <w:br/>
      </w:r>
      <w:r>
        <w:rPr>
          <w:rFonts w:ascii="Consolas" w:hAnsi="Consolas" w:eastAsia="宋体"/>
          <w:b w:val="0"/>
          <w:color w:val="000000"/>
          <w:sz w:val="18"/>
        </w:rPr>
        <w:t xml:space="preserve">  → 在线三类实时分类（因果平滑 + 多数票读出）+ 第一人称游戏反馈</w:t>
        <w:br/>
      </w:r>
      <w:r>
        <w:rPr>
          <w:rFonts w:ascii="Consolas" w:hAnsi="Consolas" w:eastAsia="宋体"/>
          <w:b w:val="0"/>
          <w:color w:val="000000"/>
          <w:sz w:val="18"/>
        </w:rPr>
        <w:t xml:space="preserve">  → 会话数据回灌 → 持续适配</w:t>
        <w:br/>
      </w:r>
    </w:p>
    <w:p>
      <w:pPr>
        <w:pStyle w:val="Heading2"/>
        <w:spacing w:line="312" w:lineRule="auto" w:before="200" w:after="160"/>
      </w:pPr>
      <w:r>
        <w:rPr>
          <w:rFonts w:ascii="Times New Roman" w:hAnsi="Times New Roman" w:eastAsia="黑体"/>
          <w:b/>
          <w:color w:val="000000"/>
          <w:sz w:val="30"/>
        </w:rPr>
        <w:t>2.3 关键设计原则</w:t>
      </w:r>
    </w:p>
    <w:p>
      <w:pPr>
        <w:spacing w:line="312" w:lineRule="auto" w:before="0" w:after="120"/>
        <w:ind w:left="480"/>
        <w:jc w:val="both"/>
      </w:pPr>
      <w:r>
        <w:rPr>
          <w:rFonts w:ascii="Times New Roman" w:hAnsi="Times New Roman" w:eastAsia="宋体"/>
          <w:b/>
          <w:color w:val="000000"/>
          <w:sz w:val="24"/>
        </w:rPr>
        <w:t>通道序冻结</w:t>
      </w:r>
      <w:r>
        <w:rPr>
          <w:rFonts w:ascii="Times New Roman" w:hAnsi="Times New Roman" w:eastAsia="宋体"/>
          <w:b w:val="0"/>
          <w:color w:val="000000"/>
          <w:sz w:val="24"/>
        </w:rPr>
        <w:t>：8 通道顺序 Cz, C3, C4, CP3, FC4, FC3, CP4, CPz 同时作为模型输入通道轴顺序（索引 0=Cz, 1=C3, 2=C4, 3=CP3, 4=FC4, 5=FC3, 6=CP4, 7=CPz），全部数据集、训练、微调与在线推理均不重排；</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配置即权威</w:t>
      </w:r>
      <w:r>
        <w:rPr>
          <w:rFonts w:ascii="Times New Roman" w:hAnsi="Times New Roman" w:eastAsia="宋体"/>
          <w:b w:val="0"/>
          <w:color w:val="000000"/>
          <w:sz w:val="24"/>
        </w:rPr>
        <w:t>：范式时序、微调策略等全部冻结在配置文件（</w:t>
      </w:r>
      <w:r>
        <w:rPr>
          <w:rFonts w:ascii="Consolas" w:hAnsi="Consolas" w:eastAsia="Consolas"/>
          <w:b w:val="0"/>
          <w:color w:val="000000"/>
          <w:sz w:val="21"/>
        </w:rPr>
        <w:t>v3_session.yaml</w:t>
      </w:r>
      <w:r>
        <w:rPr>
          <w:rFonts w:ascii="Times New Roman" w:hAnsi="Times New Roman" w:eastAsia="宋体"/>
          <w:b w:val="0"/>
          <w:color w:val="000000"/>
          <w:sz w:val="24"/>
        </w:rPr>
        <w:t>、</w:t>
      </w:r>
      <w:r>
        <w:rPr>
          <w:rFonts w:ascii="Consolas" w:hAnsi="Consolas" w:eastAsia="Consolas"/>
          <w:b w:val="0"/>
          <w:color w:val="000000"/>
          <w:sz w:val="21"/>
        </w:rPr>
        <w:t>ft_policy.json</w:t>
      </w:r>
      <w:r>
        <w:rPr>
          <w:rFonts w:ascii="Times New Roman" w:hAnsi="Times New Roman" w:eastAsia="宋体"/>
          <w:b w:val="0"/>
          <w:color w:val="000000"/>
          <w:sz w:val="24"/>
        </w:rPr>
        <w:t>）中，文档与代码冲突时以配置为准，保证"报告—代码—演示"三者一致；</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全链路留痕</w:t>
      </w:r>
      <w:r>
        <w:rPr>
          <w:rFonts w:ascii="Times New Roman" w:hAnsi="Times New Roman" w:eastAsia="宋体"/>
          <w:b w:val="0"/>
          <w:color w:val="000000"/>
          <w:sz w:val="24"/>
        </w:rPr>
        <w:t>：每个会话的原始脑电（eeg.csv）、事件（events.jsonl）、清单（manifest.json）与模型快照均落盘，任何一次评测均可从原始数据重放复现。</w:t>
      </w:r>
      <w:r>
        <w:rPr>
          <w:rFonts w:ascii="Times New Roman" w:hAnsi="Times New Roman" w:eastAsia="宋体"/>
          <w:b w:val="0"/>
          <w:color w:val="000000"/>
          <w:sz w:val="24"/>
        </w:rPr>
        <w:t xml:space="preserve">· </w:t>
      </w:r>
    </w:p>
    <w:p>
      <w:pPr>
        <w:pStyle w:val="Heading1"/>
        <w:spacing w:line="312" w:lineRule="auto" w:before="280" w:after="160"/>
        <w:jc w:val="center"/>
      </w:pPr>
      <w:r>
        <w:rPr>
          <w:rFonts w:ascii="Times New Roman" w:hAnsi="Times New Roman" w:eastAsia="黑体"/>
          <w:b/>
          <w:color w:val="000000"/>
          <w:sz w:val="32"/>
        </w:rPr>
        <w:t>3. 脑电数据采集规范</w:t>
      </w:r>
    </w:p>
    <w:p>
      <w:pPr>
        <w:pStyle w:val="Heading2"/>
        <w:spacing w:line="312" w:lineRule="auto" w:before="200" w:after="160"/>
      </w:pPr>
      <w:r>
        <w:rPr>
          <w:rFonts w:ascii="Times New Roman" w:hAnsi="Times New Roman" w:eastAsia="黑体"/>
          <w:b/>
          <w:color w:val="000000"/>
          <w:sz w:val="30"/>
        </w:rPr>
        <w:t>3.1 采集设备与信号链</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项</w:t>
            </w:r>
          </w:p>
        </w:tc>
        <w:tc>
          <w:tcPr>
            <w:tcW w:type="dxa" w:w="4353"/>
            <w:shd w:val="clear" w:fill="D9E2F3"/>
          </w:tcPr>
          <w:p>
            <w:pPr>
              <w:spacing w:line="276" w:lineRule="auto"/>
              <w:jc w:val="center"/>
            </w:pPr>
            <w:r>
              <w:rPr>
                <w:rFonts w:ascii="Times New Roman" w:hAnsi="Times New Roman" w:eastAsia="宋体"/>
                <w:b/>
                <w:color w:val="000000"/>
                <w:sz w:val="21"/>
              </w:rPr>
              <w:t>规格</w:t>
            </w:r>
          </w:p>
        </w:tc>
      </w:tr>
      <w:tr>
        <w:trPr>
          <w:cantSplit/>
        </w:trPr>
        <w:tc>
          <w:tcPr>
            <w:tcW w:type="dxa" w:w="4353"/>
          </w:tcPr>
          <w:p>
            <w:pPr>
              <w:spacing w:line="276" w:lineRule="auto"/>
              <w:jc w:val="left"/>
            </w:pPr>
            <w:r>
              <w:rPr>
                <w:rFonts w:ascii="Times New Roman" w:hAnsi="Times New Roman" w:eastAsia="宋体"/>
                <w:b w:val="0"/>
                <w:color w:val="000000"/>
                <w:sz w:val="21"/>
              </w:rPr>
              <w:t>放大器</w:t>
            </w:r>
          </w:p>
        </w:tc>
        <w:tc>
          <w:tcPr>
            <w:tcW w:type="dxa" w:w="4353"/>
          </w:tcPr>
          <w:p>
            <w:pPr>
              <w:spacing w:line="276" w:lineRule="auto"/>
              <w:jc w:val="left"/>
            </w:pPr>
            <w:r>
              <w:rPr>
                <w:rFonts w:ascii="Times New Roman" w:hAnsi="Times New Roman" w:eastAsia="宋体"/>
                <w:b w:val="0"/>
                <w:color w:val="000000"/>
                <w:sz w:val="21"/>
              </w:rPr>
              <w:t>OpenBCI Cyton（8 通道）</w:t>
            </w:r>
          </w:p>
        </w:tc>
      </w:tr>
      <w:tr>
        <w:trPr>
          <w:cantSplit/>
        </w:trPr>
        <w:tc>
          <w:tcPr>
            <w:tcW w:type="dxa" w:w="4353"/>
          </w:tcPr>
          <w:p>
            <w:pPr>
              <w:spacing w:line="276" w:lineRule="auto"/>
              <w:jc w:val="left"/>
            </w:pPr>
            <w:r>
              <w:rPr>
                <w:rFonts w:ascii="Times New Roman" w:hAnsi="Times New Roman" w:eastAsia="宋体"/>
                <w:b w:val="0"/>
                <w:color w:val="000000"/>
                <w:sz w:val="21"/>
              </w:rPr>
              <w:t>电极位置</w:t>
            </w:r>
          </w:p>
        </w:tc>
        <w:tc>
          <w:tcPr>
            <w:tcW w:type="dxa" w:w="4353"/>
          </w:tcPr>
          <w:p>
            <w:pPr>
              <w:spacing w:line="276" w:lineRule="auto"/>
              <w:jc w:val="left"/>
            </w:pPr>
            <w:r>
              <w:rPr>
                <w:rFonts w:ascii="Times New Roman" w:hAnsi="Times New Roman" w:eastAsia="宋体"/>
                <w:b w:val="0"/>
                <w:color w:val="000000"/>
                <w:sz w:val="21"/>
              </w:rPr>
              <w:t>Cz, C3, C4, CP3, FC4, FC3, CP4, CPz（运动皮层覆盖，与 OpenBMI 8 导对齐）</w:t>
            </w:r>
          </w:p>
        </w:tc>
      </w:tr>
      <w:tr>
        <w:trPr>
          <w:cantSplit/>
        </w:trPr>
        <w:tc>
          <w:tcPr>
            <w:tcW w:type="dxa" w:w="4353"/>
          </w:tcPr>
          <w:p>
            <w:pPr>
              <w:spacing w:line="276" w:lineRule="auto"/>
              <w:jc w:val="left"/>
            </w:pPr>
            <w:r>
              <w:rPr>
                <w:rFonts w:ascii="Times New Roman" w:hAnsi="Times New Roman" w:eastAsia="宋体"/>
                <w:b w:val="0"/>
                <w:color w:val="000000"/>
                <w:sz w:val="21"/>
              </w:rPr>
              <w:t>采样率</w:t>
            </w:r>
          </w:p>
        </w:tc>
        <w:tc>
          <w:tcPr>
            <w:tcW w:type="dxa" w:w="4353"/>
          </w:tcPr>
          <w:p>
            <w:pPr>
              <w:spacing w:line="276" w:lineRule="auto"/>
              <w:jc w:val="left"/>
            </w:pPr>
            <w:r>
              <w:rPr>
                <w:rFonts w:ascii="Times New Roman" w:hAnsi="Times New Roman" w:eastAsia="宋体"/>
                <w:b w:val="0"/>
                <w:color w:val="000000"/>
                <w:sz w:val="21"/>
              </w:rPr>
              <w:t>250 Hz</w:t>
            </w:r>
          </w:p>
        </w:tc>
      </w:tr>
      <w:tr>
        <w:trPr>
          <w:cantSplit/>
        </w:trPr>
        <w:tc>
          <w:tcPr>
            <w:tcW w:type="dxa" w:w="4353"/>
          </w:tcPr>
          <w:p>
            <w:pPr>
              <w:spacing w:line="276" w:lineRule="auto"/>
              <w:jc w:val="left"/>
            </w:pPr>
            <w:r>
              <w:rPr>
                <w:rFonts w:ascii="Times New Roman" w:hAnsi="Times New Roman" w:eastAsia="宋体"/>
                <w:b w:val="0"/>
                <w:color w:val="000000"/>
                <w:sz w:val="21"/>
              </w:rPr>
              <w:t>采集层滤波</w:t>
            </w:r>
          </w:p>
        </w:tc>
        <w:tc>
          <w:tcPr>
            <w:tcW w:type="dxa" w:w="4353"/>
          </w:tcPr>
          <w:p>
            <w:pPr>
              <w:spacing w:line="276" w:lineRule="auto"/>
              <w:jc w:val="left"/>
            </w:pPr>
            <w:r>
              <w:rPr>
                <w:rFonts w:ascii="Times New Roman" w:hAnsi="Times New Roman" w:eastAsia="宋体"/>
                <w:b w:val="0"/>
                <w:color w:val="000000"/>
                <w:sz w:val="21"/>
              </w:rPr>
              <w:t>0.5–45 Hz 带通 + 50 Hz 工频陷波（采集软件层完成）</w:t>
            </w:r>
          </w:p>
        </w:tc>
      </w:tr>
      <w:tr>
        <w:trPr>
          <w:cantSplit/>
        </w:trPr>
        <w:tc>
          <w:tcPr>
            <w:tcW w:type="dxa" w:w="4353"/>
          </w:tcPr>
          <w:p>
            <w:pPr>
              <w:spacing w:line="276" w:lineRule="auto"/>
              <w:jc w:val="left"/>
            </w:pPr>
            <w:r>
              <w:rPr>
                <w:rFonts w:ascii="Times New Roman" w:hAnsi="Times New Roman" w:eastAsia="宋体"/>
                <w:b w:val="0"/>
                <w:color w:val="000000"/>
                <w:sz w:val="21"/>
              </w:rPr>
              <w:t>流式传输</w:t>
            </w:r>
          </w:p>
        </w:tc>
        <w:tc>
          <w:tcPr>
            <w:tcW w:type="dxa" w:w="4353"/>
          </w:tcPr>
          <w:p>
            <w:pPr>
              <w:spacing w:line="276" w:lineRule="auto"/>
              <w:jc w:val="left"/>
            </w:pPr>
            <w:r>
              <w:rPr>
                <w:rFonts w:ascii="Times New Roman" w:hAnsi="Times New Roman" w:eastAsia="宋体"/>
                <w:b w:val="0"/>
                <w:color w:val="000000"/>
                <w:sz w:val="21"/>
              </w:rPr>
              <w:t>LSL（Lab Streaming Layer）因果推流，支持合成板调试</w:t>
            </w:r>
          </w:p>
        </w:tc>
      </w:tr>
      <w:tr>
        <w:trPr>
          <w:cantSplit/>
        </w:trPr>
        <w:tc>
          <w:tcPr>
            <w:tcW w:type="dxa" w:w="4353"/>
          </w:tcPr>
          <w:p>
            <w:pPr>
              <w:spacing w:line="276" w:lineRule="auto"/>
              <w:jc w:val="left"/>
            </w:pPr>
            <w:r>
              <w:rPr>
                <w:rFonts w:ascii="Times New Roman" w:hAnsi="Times New Roman" w:eastAsia="宋体"/>
                <w:b w:val="0"/>
                <w:color w:val="000000"/>
                <w:sz w:val="21"/>
              </w:rPr>
              <w:t>离线预处理</w:t>
            </w:r>
          </w:p>
        </w:tc>
        <w:tc>
          <w:tcPr>
            <w:tcW w:type="dxa" w:w="4353"/>
          </w:tcPr>
          <w:p>
            <w:pPr>
              <w:spacing w:line="276" w:lineRule="auto"/>
              <w:jc w:val="left"/>
            </w:pPr>
            <w:r>
              <w:rPr>
                <w:rFonts w:ascii="Times New Roman" w:hAnsi="Times New Roman" w:eastAsia="宋体"/>
                <w:b w:val="0"/>
                <w:color w:val="000000"/>
                <w:sz w:val="21"/>
              </w:rPr>
              <w:t>CAR（共平均参考）→ 8–30 Hz 带通 → 250 Hz 重采样 → 逐窗 z-score 标准化</w:t>
            </w:r>
          </w:p>
        </w:tc>
      </w:tr>
    </w:tbl>
    <w:p>
      <w:pPr>
        <w:spacing w:after="60"/>
      </w:pPr>
    </w:p>
    <w:p>
      <w:pPr>
        <w:pStyle w:val="Heading2"/>
        <w:spacing w:line="312" w:lineRule="auto" w:before="200" w:after="160"/>
      </w:pPr>
      <w:r>
        <w:rPr>
          <w:rFonts w:ascii="Times New Roman" w:hAnsi="Times New Roman" w:eastAsia="黑体"/>
          <w:b/>
          <w:color w:val="000000"/>
          <w:sz w:val="30"/>
        </w:rPr>
        <w:t>3.2 实验范式（OpenBMI-Align v1，冻结口径）</w:t>
      </w:r>
    </w:p>
    <w:p>
      <w:pPr>
        <w:spacing w:line="312" w:lineRule="auto" w:before="0" w:after="120"/>
        <w:ind w:firstLine="480"/>
        <w:jc w:val="both"/>
      </w:pPr>
      <w:r>
        <w:rPr>
          <w:rFonts w:ascii="Times New Roman" w:hAnsi="Times New Roman" w:eastAsia="宋体"/>
          <w:b w:val="0"/>
          <w:color w:val="000000"/>
          <w:sz w:val="24"/>
        </w:rPr>
        <w:t>单试次时序如下，判定窗与离线切窗均锚定 Cue 起点：</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color w:val="000000"/>
                <w:sz w:val="21"/>
              </w:rPr>
              <w:t>阶段</w:t>
            </w:r>
          </w:p>
        </w:tc>
        <w:tc>
          <w:tcPr>
            <w:tcW w:type="dxa" w:w="2902"/>
            <w:shd w:val="clear" w:fill="D9E2F3"/>
          </w:tcPr>
          <w:p>
            <w:pPr>
              <w:spacing w:line="276" w:lineRule="auto"/>
              <w:jc w:val="center"/>
            </w:pPr>
            <w:r>
              <w:rPr>
                <w:rFonts w:ascii="Times New Roman" w:hAnsi="Times New Roman" w:eastAsia="宋体"/>
                <w:b/>
                <w:color w:val="000000"/>
                <w:sz w:val="21"/>
              </w:rPr>
              <w:t>时长</w:t>
            </w:r>
          </w:p>
        </w:tc>
        <w:tc>
          <w:tcPr>
            <w:tcW w:type="dxa" w:w="2902"/>
            <w:shd w:val="clear" w:fill="D9E2F3"/>
          </w:tcPr>
          <w:p>
            <w:pPr>
              <w:spacing w:line="276" w:lineRule="auto"/>
              <w:jc w:val="center"/>
            </w:pPr>
            <w:r>
              <w:rPr>
                <w:rFonts w:ascii="Times New Roman" w:hAnsi="Times New Roman" w:eastAsia="宋体"/>
                <w:b/>
                <w:color w:val="000000"/>
                <w:sz w:val="21"/>
              </w:rPr>
              <w:t>说明</w:t>
            </w:r>
          </w:p>
        </w:tc>
      </w:tr>
      <w:tr>
        <w:trPr>
          <w:cantSplit/>
        </w:trPr>
        <w:tc>
          <w:tcPr>
            <w:tcW w:type="dxa" w:w="2902"/>
          </w:tcPr>
          <w:p>
            <w:pPr>
              <w:spacing w:line="276" w:lineRule="auto"/>
              <w:jc w:val="left"/>
            </w:pPr>
            <w:r>
              <w:rPr>
                <w:rFonts w:ascii="Times New Roman" w:hAnsi="Times New Roman" w:eastAsia="宋体"/>
                <w:b w:val="0"/>
                <w:color w:val="000000"/>
                <w:sz w:val="21"/>
              </w:rPr>
              <w:t>专用 Rest</w:t>
            </w:r>
          </w:p>
        </w:tc>
        <w:tc>
          <w:tcPr>
            <w:tcW w:type="dxa" w:w="2902"/>
          </w:tcPr>
          <w:p>
            <w:pPr>
              <w:spacing w:line="276" w:lineRule="auto"/>
              <w:jc w:val="left"/>
            </w:pPr>
            <w:r>
              <w:rPr>
                <w:rFonts w:ascii="Times New Roman" w:hAnsi="Times New Roman" w:eastAsia="宋体"/>
                <w:b w:val="0"/>
                <w:color w:val="000000"/>
                <w:sz w:val="21"/>
              </w:rPr>
              <w:t>4 s</w:t>
            </w:r>
          </w:p>
        </w:tc>
        <w:tc>
          <w:tcPr>
            <w:tcW w:type="dxa" w:w="2902"/>
          </w:tcPr>
          <w:p>
            <w:pPr>
              <w:spacing w:line="276" w:lineRule="auto"/>
              <w:jc w:val="left"/>
            </w:pPr>
            <w:r>
              <w:rPr>
                <w:rFonts w:ascii="Times New Roman" w:hAnsi="Times New Roman" w:eastAsia="宋体"/>
                <w:b w:val="0"/>
                <w:color w:val="000000"/>
                <w:sz w:val="21"/>
              </w:rPr>
              <w:t>试次间静息段（rest_start–rest_end），作为空闲类样本，不含其后的准备段</w:t>
            </w:r>
          </w:p>
        </w:tc>
      </w:tr>
      <w:tr>
        <w:trPr>
          <w:cantSplit/>
        </w:trPr>
        <w:tc>
          <w:tcPr>
            <w:tcW w:type="dxa" w:w="2902"/>
          </w:tcPr>
          <w:p>
            <w:pPr>
              <w:spacing w:line="276" w:lineRule="auto"/>
              <w:jc w:val="left"/>
            </w:pPr>
            <w:r>
              <w:rPr>
                <w:rFonts w:ascii="Times New Roman" w:hAnsi="Times New Roman" w:eastAsia="宋体"/>
                <w:b w:val="0"/>
                <w:color w:val="000000"/>
                <w:sz w:val="21"/>
              </w:rPr>
              <w:t>准备 prep</w:t>
            </w:r>
          </w:p>
        </w:tc>
        <w:tc>
          <w:tcPr>
            <w:tcW w:type="dxa" w:w="2902"/>
          </w:tcPr>
          <w:p>
            <w:pPr>
              <w:spacing w:line="276" w:lineRule="auto"/>
              <w:jc w:val="left"/>
            </w:pPr>
            <w:r>
              <w:rPr>
                <w:rFonts w:ascii="Times New Roman" w:hAnsi="Times New Roman" w:eastAsia="宋体"/>
                <w:b w:val="0"/>
                <w:color w:val="000000"/>
                <w:sz w:val="21"/>
              </w:rPr>
              <w:t>2 s</w:t>
            </w:r>
          </w:p>
        </w:tc>
        <w:tc>
          <w:tcPr>
            <w:tcW w:type="dxa" w:w="2902"/>
          </w:tcPr>
          <w:p>
            <w:pPr>
              <w:spacing w:line="276" w:lineRule="auto"/>
              <w:jc w:val="left"/>
            </w:pPr>
            <w:r>
              <w:rPr>
                <w:rFonts w:ascii="Times New Roman" w:hAnsi="Times New Roman" w:eastAsia="宋体"/>
                <w:b w:val="0"/>
                <w:color w:val="000000"/>
                <w:sz w:val="21"/>
              </w:rPr>
              <w:t>注视点</w:t>
            </w:r>
          </w:p>
        </w:tc>
      </w:tr>
      <w:tr>
        <w:trPr>
          <w:cantSplit/>
        </w:trPr>
        <w:tc>
          <w:tcPr>
            <w:tcW w:type="dxa" w:w="2902"/>
          </w:tcPr>
          <w:p>
            <w:pPr>
              <w:spacing w:line="276" w:lineRule="auto"/>
              <w:jc w:val="left"/>
            </w:pPr>
            <w:r>
              <w:rPr>
                <w:rFonts w:ascii="Times New Roman" w:hAnsi="Times New Roman" w:eastAsia="宋体"/>
                <w:b w:val="0"/>
                <w:color w:val="000000"/>
                <w:sz w:val="21"/>
              </w:rPr>
              <w:t>Cue</w:t>
            </w:r>
          </w:p>
        </w:tc>
        <w:tc>
          <w:tcPr>
            <w:tcW w:type="dxa" w:w="2902"/>
          </w:tcPr>
          <w:p>
            <w:pPr>
              <w:spacing w:line="276" w:lineRule="auto"/>
              <w:jc w:val="left"/>
            </w:pPr>
            <w:r>
              <w:rPr>
                <w:rFonts w:ascii="Times New Roman" w:hAnsi="Times New Roman" w:eastAsia="宋体"/>
                <w:b w:val="0"/>
                <w:color w:val="000000"/>
                <w:sz w:val="21"/>
              </w:rPr>
              <w:t>1 s</w:t>
            </w:r>
          </w:p>
        </w:tc>
        <w:tc>
          <w:tcPr>
            <w:tcW w:type="dxa" w:w="2902"/>
          </w:tcPr>
          <w:p>
            <w:pPr>
              <w:spacing w:line="276" w:lineRule="auto"/>
              <w:jc w:val="left"/>
            </w:pPr>
            <w:r>
              <w:rPr>
                <w:rFonts w:ascii="Times New Roman" w:hAnsi="Times New Roman" w:eastAsia="宋体"/>
                <w:b w:val="0"/>
                <w:color w:val="000000"/>
                <w:sz w:val="21"/>
              </w:rPr>
              <w:t>提示线索：左手=左侧目标物、右手=右侧目标物、静息=固定图标；被试自 Cue 起开始想象</w:t>
            </w:r>
          </w:p>
        </w:tc>
      </w:tr>
      <w:tr>
        <w:trPr>
          <w:cantSplit/>
        </w:trPr>
        <w:tc>
          <w:tcPr>
            <w:tcW w:type="dxa" w:w="2902"/>
          </w:tcPr>
          <w:p>
            <w:pPr>
              <w:spacing w:line="276" w:lineRule="auto"/>
              <w:jc w:val="left"/>
            </w:pPr>
            <w:r>
              <w:rPr>
                <w:rFonts w:ascii="Times New Roman" w:hAnsi="Times New Roman" w:eastAsia="宋体"/>
                <w:b w:val="0"/>
                <w:color w:val="000000"/>
                <w:sz w:val="21"/>
              </w:rPr>
              <w:t>运动想象 MI</w:t>
            </w:r>
          </w:p>
        </w:tc>
        <w:tc>
          <w:tcPr>
            <w:tcW w:type="dxa" w:w="2902"/>
          </w:tcPr>
          <w:p>
            <w:pPr>
              <w:spacing w:line="276" w:lineRule="auto"/>
              <w:jc w:val="left"/>
            </w:pPr>
            <w:r>
              <w:rPr>
                <w:rFonts w:ascii="Times New Roman" w:hAnsi="Times New Roman" w:eastAsia="宋体"/>
                <w:b w:val="0"/>
                <w:color w:val="000000"/>
                <w:sz w:val="21"/>
              </w:rPr>
              <w:t>4 s</w:t>
            </w:r>
          </w:p>
        </w:tc>
        <w:tc>
          <w:tcPr>
            <w:tcW w:type="dxa" w:w="2902"/>
          </w:tcPr>
          <w:p>
            <w:pPr>
              <w:spacing w:line="276" w:lineRule="auto"/>
              <w:jc w:val="left"/>
            </w:pPr>
            <w:r>
              <w:rPr>
                <w:rFonts w:ascii="Times New Roman" w:hAnsi="Times New Roman" w:eastAsia="宋体"/>
                <w:b w:val="0"/>
                <w:color w:val="000000"/>
                <w:sz w:val="21"/>
              </w:rPr>
              <w:t>想象该手抓握桌面目标物（mi_start–mi_end），与 OpenBMI 训练时序同构</w:t>
            </w:r>
          </w:p>
        </w:tc>
      </w:tr>
      <w:tr>
        <w:trPr>
          <w:cantSplit/>
        </w:trPr>
        <w:tc>
          <w:tcPr>
            <w:tcW w:type="dxa" w:w="2902"/>
          </w:tcPr>
          <w:p>
            <w:pPr>
              <w:spacing w:line="276" w:lineRule="auto"/>
              <w:jc w:val="left"/>
            </w:pPr>
            <w:r>
              <w:rPr>
                <w:rFonts w:ascii="Times New Roman" w:hAnsi="Times New Roman" w:eastAsia="宋体"/>
                <w:b w:val="0"/>
                <w:color w:val="000000"/>
                <w:sz w:val="21"/>
              </w:rPr>
              <w:t>ITI</w:t>
            </w:r>
          </w:p>
        </w:tc>
        <w:tc>
          <w:tcPr>
            <w:tcW w:type="dxa" w:w="2902"/>
          </w:tcPr>
          <w:p>
            <w:pPr>
              <w:spacing w:line="276" w:lineRule="auto"/>
              <w:jc w:val="left"/>
            </w:pPr>
            <w:r>
              <w:rPr>
                <w:rFonts w:ascii="Times New Roman" w:hAnsi="Times New Roman" w:eastAsia="宋体"/>
                <w:b w:val="0"/>
                <w:color w:val="000000"/>
                <w:sz w:val="21"/>
              </w:rPr>
              <w:t>3 s</w:t>
            </w:r>
          </w:p>
        </w:tc>
        <w:tc>
          <w:tcPr>
            <w:tcW w:type="dxa" w:w="2902"/>
          </w:tcPr>
          <w:p>
            <w:pPr>
              <w:spacing w:line="276" w:lineRule="auto"/>
              <w:jc w:val="left"/>
            </w:pPr>
            <w:r>
              <w:rPr>
                <w:rFonts w:ascii="Times New Roman" w:hAnsi="Times New Roman" w:eastAsia="宋体"/>
                <w:b w:val="0"/>
                <w:color w:val="000000"/>
                <w:sz w:val="21"/>
              </w:rPr>
              <w:t>试次间隔；块间休息 30 s</w:t>
            </w:r>
          </w:p>
        </w:tc>
      </w:tr>
    </w:tbl>
    <w:p>
      <w:pPr>
        <w:spacing w:after="60"/>
      </w:pPr>
    </w:p>
    <w:p>
      <w:pPr>
        <w:spacing w:line="312" w:lineRule="auto" w:before="0" w:after="120"/>
        <w:ind w:firstLine="480"/>
        <w:jc w:val="both"/>
      </w:pPr>
      <w:r>
        <w:rPr>
          <w:rFonts w:ascii="Times New Roman" w:hAnsi="Times New Roman" w:eastAsia="宋体"/>
          <w:b w:val="0"/>
          <w:color w:val="000000"/>
          <w:sz w:val="24"/>
        </w:rPr>
        <w:t xml:space="preserve">在线判定采用 </w:t>
      </w:r>
      <w:r>
        <w:rPr>
          <w:rFonts w:ascii="Times New Roman" w:hAnsi="Times New Roman" w:eastAsia="宋体"/>
          <w:b/>
          <w:color w:val="000000"/>
          <w:sz w:val="24"/>
        </w:rPr>
        <w:t>3 s / 750 点滑窗、步长 100 ms</w:t>
      </w:r>
      <w:r>
        <w:rPr>
          <w:rFonts w:ascii="Times New Roman" w:hAnsi="Times New Roman" w:eastAsia="宋体"/>
          <w:b w:val="0"/>
          <w:color w:val="000000"/>
          <w:sz w:val="24"/>
        </w:rPr>
        <w:t>（与离线训练完全同口径），窗尾相对 Cue 覆盖 3.0–4.0 s 共 11 档判定点；段级基线取 Cue 前 0.5 s。</w:t>
      </w:r>
    </w:p>
    <w:p>
      <w:pPr>
        <w:pStyle w:val="Heading2"/>
        <w:spacing w:line="312" w:lineRule="auto" w:before="200" w:after="160"/>
      </w:pPr>
      <w:r>
        <w:rPr>
          <w:rFonts w:ascii="Times New Roman" w:hAnsi="Times New Roman" w:eastAsia="黑体"/>
          <w:b/>
          <w:color w:val="000000"/>
          <w:sz w:val="30"/>
        </w:rPr>
        <w:t>3.3 数据落盘与质量控制</w:t>
      </w:r>
    </w:p>
    <w:p>
      <w:pPr>
        <w:spacing w:line="312" w:lineRule="auto" w:before="0" w:after="120"/>
        <w:ind w:firstLine="480"/>
        <w:jc w:val="both"/>
      </w:pPr>
      <w:r>
        <w:rPr>
          <w:rFonts w:ascii="Times New Roman" w:hAnsi="Times New Roman" w:eastAsia="宋体"/>
          <w:b w:val="0"/>
          <w:color w:val="000000"/>
          <w:sz w:val="24"/>
        </w:rPr>
        <w:t xml:space="preserve">每会话落盘 </w:t>
      </w:r>
      <w:r>
        <w:rPr>
          <w:rFonts w:ascii="Consolas" w:hAnsi="Consolas" w:eastAsia="Consolas"/>
          <w:b w:val="0"/>
          <w:color w:val="000000"/>
          <w:sz w:val="21"/>
        </w:rPr>
        <w:t>eeg.csv</w:t>
      </w:r>
      <w:r>
        <w:rPr>
          <w:rFonts w:ascii="Times New Roman" w:hAnsi="Times New Roman" w:eastAsia="宋体"/>
          <w:b w:val="0"/>
          <w:color w:val="000000"/>
          <w:sz w:val="24"/>
        </w:rPr>
        <w:t>（原始脑电）、</w:t>
      </w:r>
      <w:r>
        <w:rPr>
          <w:rFonts w:ascii="Consolas" w:hAnsi="Consolas" w:eastAsia="Consolas"/>
          <w:b w:val="0"/>
          <w:color w:val="000000"/>
          <w:sz w:val="21"/>
        </w:rPr>
        <w:t>events.jsonl</w:t>
      </w:r>
      <w:r>
        <w:rPr>
          <w:rFonts w:ascii="Times New Roman" w:hAnsi="Times New Roman" w:eastAsia="宋体"/>
          <w:b w:val="0"/>
          <w:color w:val="000000"/>
          <w:sz w:val="24"/>
        </w:rPr>
        <w:t>（事件与标签）、</w:t>
      </w:r>
      <w:r>
        <w:rPr>
          <w:rFonts w:ascii="Consolas" w:hAnsi="Consolas" w:eastAsia="Consolas"/>
          <w:b w:val="0"/>
          <w:color w:val="000000"/>
          <w:sz w:val="21"/>
        </w:rPr>
        <w:t>manifest.json</w:t>
      </w:r>
      <w:r>
        <w:rPr>
          <w:rFonts w:ascii="Times New Roman" w:hAnsi="Times New Roman" w:eastAsia="宋体"/>
          <w:b w:val="0"/>
          <w:color w:val="000000"/>
          <w:sz w:val="24"/>
        </w:rPr>
        <w:t>/</w:t>
      </w:r>
      <w:r>
        <w:rPr>
          <w:rFonts w:ascii="Consolas" w:hAnsi="Consolas" w:eastAsia="Consolas"/>
          <w:b w:val="0"/>
          <w:color w:val="000000"/>
          <w:sz w:val="21"/>
        </w:rPr>
        <w:t>session.meta.json</w:t>
      </w:r>
      <w:r>
        <w:rPr>
          <w:rFonts w:ascii="Times New Roman" w:hAnsi="Times New Roman" w:eastAsia="宋体"/>
          <w:b w:val="0"/>
          <w:color w:val="000000"/>
          <w:sz w:val="24"/>
        </w:rPr>
        <w:t xml:space="preserve">（会话元数据）与 </w:t>
      </w:r>
      <w:r>
        <w:rPr>
          <w:rFonts w:ascii="Consolas" w:hAnsi="Consolas" w:eastAsia="Consolas"/>
          <w:b w:val="0"/>
          <w:color w:val="000000"/>
          <w:sz w:val="21"/>
        </w:rPr>
        <w:t>run_config.json</w:t>
      </w:r>
      <w:r>
        <w:rPr>
          <w:rFonts w:ascii="Times New Roman" w:hAnsi="Times New Roman" w:eastAsia="宋体"/>
          <w:b w:val="0"/>
          <w:color w:val="000000"/>
          <w:sz w:val="24"/>
        </w:rPr>
        <w:t xml:space="preserve">（当次配置快照），并附 </w:t>
      </w:r>
      <w:r>
        <w:rPr>
          <w:rFonts w:ascii="Consolas" w:hAnsi="Consolas" w:eastAsia="Consolas"/>
          <w:b w:val="0"/>
          <w:color w:val="000000"/>
          <w:sz w:val="21"/>
        </w:rPr>
        <w:t>continuous/</w:t>
      </w:r>
      <w:r>
        <w:rPr>
          <w:rFonts w:ascii="Times New Roman" w:hAnsi="Times New Roman" w:eastAsia="宋体"/>
          <w:b w:val="0"/>
          <w:color w:val="000000"/>
          <w:sz w:val="24"/>
        </w:rPr>
        <w:t>、</w:t>
      </w:r>
      <w:r>
        <w:rPr>
          <w:rFonts w:ascii="Consolas" w:hAnsi="Consolas" w:eastAsia="Consolas"/>
          <w:b w:val="0"/>
          <w:color w:val="000000"/>
          <w:sz w:val="21"/>
        </w:rPr>
        <w:t>by_phase/</w:t>
      </w:r>
      <w:r>
        <w:rPr>
          <w:rFonts w:ascii="Times New Roman" w:hAnsi="Times New Roman" w:eastAsia="宋体"/>
          <w:b w:val="0"/>
          <w:color w:val="000000"/>
          <w:sz w:val="24"/>
        </w:rPr>
        <w:t xml:space="preserve"> 切分产物。采集链路内置健康监测（缓冲龄、信号质量、通道完整性）与 </w:t>
      </w:r>
      <w:r>
        <w:rPr>
          <w:rFonts w:ascii="Times New Roman" w:hAnsi="Times New Roman" w:eastAsia="宋体"/>
          <w:b/>
          <w:color w:val="000000"/>
          <w:sz w:val="24"/>
        </w:rPr>
        <w:t>EEG 断流看门狗</w:t>
      </w:r>
      <w:r>
        <w:rPr>
          <w:rFonts w:ascii="Times New Roman" w:hAnsi="Times New Roman" w:eastAsia="宋体"/>
          <w:b w:val="0"/>
          <w:color w:val="000000"/>
          <w:sz w:val="24"/>
        </w:rPr>
        <w:t xml:space="preserve">（缓冲停滞告警 </w:t>
      </w:r>
      <w:r>
        <w:rPr>
          <w:rFonts w:ascii="Times New Roman" w:hAnsi="Times New Roman" w:eastAsia="宋体"/>
          <w:b/>
          <w:color w:val="000000"/>
          <w:sz w:val="24"/>
        </w:rPr>
        <w:t>2 s</w:t>
      </w:r>
      <w:r>
        <w:rPr>
          <w:rFonts w:ascii="Times New Roman" w:hAnsi="Times New Roman" w:eastAsia="宋体"/>
          <w:b w:val="0"/>
          <w:color w:val="000000"/>
          <w:sz w:val="24"/>
        </w:rPr>
        <w:t xml:space="preserve">、会话中止 </w:t>
      </w:r>
      <w:r>
        <w:rPr>
          <w:rFonts w:ascii="Times New Roman" w:hAnsi="Times New Roman" w:eastAsia="宋体"/>
          <w:b/>
          <w:color w:val="000000"/>
          <w:sz w:val="24"/>
        </w:rPr>
        <w:t>5 s</w:t>
      </w:r>
      <w:r>
        <w:rPr>
          <w:rFonts w:ascii="Times New Roman" w:hAnsi="Times New Roman" w:eastAsia="宋体"/>
          <w:b w:val="0"/>
          <w:color w:val="000000"/>
          <w:sz w:val="24"/>
        </w:rPr>
        <w:t xml:space="preserve">，配置于 </w:t>
      </w:r>
      <w:r>
        <w:rPr>
          <w:rFonts w:ascii="Consolas" w:hAnsi="Consolas" w:eastAsia="Consolas"/>
          <w:b w:val="0"/>
          <w:color w:val="000000"/>
          <w:sz w:val="21"/>
        </w:rPr>
        <w:t>protocol.yaml</w:t>
      </w:r>
      <w:r>
        <w:rPr>
          <w:rFonts w:ascii="Times New Roman" w:hAnsi="Times New Roman" w:eastAsia="宋体"/>
          <w:b w:val="0"/>
          <w:color w:val="000000"/>
          <w:sz w:val="24"/>
        </w:rPr>
        <w:t>），会话结束自动完成标记-脑电对齐校验（</w:t>
      </w:r>
      <w:r>
        <w:rPr>
          <w:rFonts w:ascii="Consolas" w:hAnsi="Consolas" w:eastAsia="Consolas"/>
          <w:b w:val="0"/>
          <w:color w:val="000000"/>
          <w:sz w:val="21"/>
        </w:rPr>
        <w:t>alignment/verify_report.json</w:t>
      </w:r>
      <w:r>
        <w:rPr>
          <w:rFonts w:ascii="Times New Roman" w:hAnsi="Times New Roman" w:eastAsia="宋体"/>
          <w:b w:val="0"/>
          <w:color w:val="000000"/>
          <w:sz w:val="24"/>
        </w:rPr>
        <w:t>），不合格会话不入库。</w:t>
      </w:r>
    </w:p>
    <w:p>
      <w:pPr>
        <w:pStyle w:val="Heading2"/>
        <w:spacing w:line="312" w:lineRule="auto" w:before="200" w:after="160"/>
      </w:pPr>
      <w:r>
        <w:rPr>
          <w:rFonts w:ascii="Times New Roman" w:hAnsi="Times New Roman" w:eastAsia="黑体"/>
          <w:b/>
          <w:color w:val="000000"/>
          <w:sz w:val="30"/>
        </w:rPr>
        <w:t>3.4 数据集</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color w:val="000000"/>
                <w:sz w:val="21"/>
              </w:rPr>
              <w:t>数据集</w:t>
            </w:r>
          </w:p>
        </w:tc>
        <w:tc>
          <w:tcPr>
            <w:tcW w:type="dxa" w:w="2902"/>
            <w:shd w:val="clear" w:fill="D9E2F3"/>
          </w:tcPr>
          <w:p>
            <w:pPr>
              <w:spacing w:line="276" w:lineRule="auto"/>
              <w:jc w:val="center"/>
            </w:pPr>
            <w:r>
              <w:rPr>
                <w:rFonts w:ascii="Times New Roman" w:hAnsi="Times New Roman" w:eastAsia="宋体"/>
                <w:b/>
                <w:color w:val="000000"/>
                <w:sz w:val="21"/>
              </w:rPr>
              <w:t>规模</w:t>
            </w:r>
          </w:p>
        </w:tc>
        <w:tc>
          <w:tcPr>
            <w:tcW w:type="dxa" w:w="2902"/>
            <w:shd w:val="clear" w:fill="D9E2F3"/>
          </w:tcPr>
          <w:p>
            <w:pPr>
              <w:spacing w:line="276" w:lineRule="auto"/>
              <w:jc w:val="center"/>
            </w:pPr>
            <w:r>
              <w:rPr>
                <w:rFonts w:ascii="Times New Roman" w:hAnsi="Times New Roman" w:eastAsia="宋体"/>
                <w:b/>
                <w:color w:val="000000"/>
                <w:sz w:val="21"/>
              </w:rPr>
              <w:t>用途</w:t>
            </w:r>
          </w:p>
        </w:tc>
      </w:tr>
      <w:tr>
        <w:trPr>
          <w:cantSplit/>
        </w:trPr>
        <w:tc>
          <w:tcPr>
            <w:tcW w:type="dxa" w:w="2902"/>
          </w:tcPr>
          <w:p>
            <w:pPr>
              <w:spacing w:line="276" w:lineRule="auto"/>
              <w:jc w:val="left"/>
            </w:pPr>
            <w:r>
              <w:rPr>
                <w:rFonts w:ascii="Times New Roman" w:hAnsi="Times New Roman" w:eastAsia="宋体"/>
                <w:b w:val="0"/>
                <w:color w:val="000000"/>
                <w:sz w:val="21"/>
              </w:rPr>
              <w:t>OpenBMI（公开）</w:t>
            </w:r>
          </w:p>
        </w:tc>
        <w:tc>
          <w:tcPr>
            <w:tcW w:type="dxa" w:w="2902"/>
          </w:tcPr>
          <w:p>
            <w:pPr>
              <w:spacing w:line="276" w:lineRule="auto"/>
              <w:jc w:val="left"/>
            </w:pPr>
            <w:r>
              <w:rPr>
                <w:rFonts w:ascii="Times New Roman" w:hAnsi="Times New Roman" w:eastAsia="宋体"/>
                <w:b w:val="0"/>
                <w:color w:val="000000"/>
                <w:sz w:val="21"/>
              </w:rPr>
              <w:t>54 人 × 2 会话，EEG_MI_train 块</w:t>
            </w:r>
          </w:p>
        </w:tc>
        <w:tc>
          <w:tcPr>
            <w:tcW w:type="dxa" w:w="2902"/>
          </w:tcPr>
          <w:p>
            <w:pPr>
              <w:spacing w:line="276" w:lineRule="auto"/>
              <w:jc w:val="left"/>
            </w:pPr>
            <w:r>
              <w:rPr>
                <w:rFonts w:ascii="Times New Roman" w:hAnsi="Times New Roman" w:eastAsia="宋体"/>
                <w:b w:val="0"/>
                <w:color w:val="000000"/>
                <w:sz w:val="21"/>
              </w:rPr>
              <w:t>预训练底座 + 主离线验证</w:t>
            </w:r>
          </w:p>
        </w:tc>
      </w:tr>
      <w:tr>
        <w:trPr>
          <w:cantSplit/>
        </w:trPr>
        <w:tc>
          <w:tcPr>
            <w:tcW w:type="dxa" w:w="2902"/>
          </w:tcPr>
          <w:p>
            <w:pPr>
              <w:spacing w:line="276" w:lineRule="auto"/>
              <w:jc w:val="left"/>
            </w:pPr>
            <w:r>
              <w:rPr>
                <w:rFonts w:ascii="Times New Roman" w:hAnsi="Times New Roman" w:eastAsia="宋体"/>
                <w:b w:val="0"/>
                <w:color w:val="000000"/>
                <w:sz w:val="21"/>
              </w:rPr>
              <w:t>BCI Competition IV 2a（公开）</w:t>
            </w:r>
          </w:p>
        </w:tc>
        <w:tc>
          <w:tcPr>
            <w:tcW w:type="dxa" w:w="2902"/>
          </w:tcPr>
          <w:p>
            <w:pPr>
              <w:spacing w:line="276" w:lineRule="auto"/>
              <w:jc w:val="left"/>
            </w:pPr>
            <w:r>
              <w:rPr>
                <w:rFonts w:ascii="Times New Roman" w:hAnsi="Times New Roman" w:eastAsia="宋体"/>
                <w:b w:val="0"/>
                <w:color w:val="000000"/>
                <w:sz w:val="21"/>
              </w:rPr>
              <w:t>A01–A09，仅保留左/右手试次，空闲取自 run 间休息段</w:t>
            </w:r>
          </w:p>
        </w:tc>
        <w:tc>
          <w:tcPr>
            <w:tcW w:type="dxa" w:w="2902"/>
          </w:tcPr>
          <w:p>
            <w:pPr>
              <w:spacing w:line="276" w:lineRule="auto"/>
              <w:jc w:val="left"/>
            </w:pPr>
            <w:r>
              <w:rPr>
                <w:rFonts w:ascii="Times New Roman" w:hAnsi="Times New Roman" w:eastAsia="宋体"/>
                <w:b w:val="0"/>
                <w:color w:val="000000"/>
                <w:sz w:val="21"/>
              </w:rPr>
              <w:t>Leave-Next 仿真</w:t>
            </w:r>
          </w:p>
        </w:tc>
      </w:tr>
      <w:tr>
        <w:trPr>
          <w:cantSplit/>
        </w:trPr>
        <w:tc>
          <w:tcPr>
            <w:tcW w:type="dxa" w:w="2902"/>
          </w:tcPr>
          <w:p>
            <w:pPr>
              <w:spacing w:line="276" w:lineRule="auto"/>
              <w:jc w:val="left"/>
            </w:pPr>
            <w:r>
              <w:rPr>
                <w:rFonts w:ascii="Times New Roman" w:hAnsi="Times New Roman" w:eastAsia="宋体"/>
                <w:b w:val="0"/>
                <w:color w:val="000000"/>
                <w:sz w:val="21"/>
              </w:rPr>
              <w:t>Stieger2021（公开）</w:t>
            </w:r>
          </w:p>
        </w:tc>
        <w:tc>
          <w:tcPr>
            <w:tcW w:type="dxa" w:w="2902"/>
          </w:tcPr>
          <w:p>
            <w:pPr>
              <w:spacing w:line="276" w:lineRule="auto"/>
              <w:jc w:val="left"/>
            </w:pPr>
            <w:r>
              <w:rPr>
                <w:rFonts w:ascii="Times New Roman" w:hAnsi="Times New Roman" w:eastAsia="宋体"/>
                <w:b w:val="0"/>
                <w:color w:val="000000"/>
                <w:sz w:val="21"/>
              </w:rPr>
              <w:t>24 人（缺 S6）× 约 11 会话</w:t>
            </w:r>
          </w:p>
        </w:tc>
        <w:tc>
          <w:tcPr>
            <w:tcW w:type="dxa" w:w="2902"/>
          </w:tcPr>
          <w:p>
            <w:pPr>
              <w:spacing w:line="276" w:lineRule="auto"/>
              <w:jc w:val="left"/>
            </w:pPr>
            <w:r>
              <w:rPr>
                <w:rFonts w:ascii="Times New Roman" w:hAnsi="Times New Roman" w:eastAsia="宋体"/>
                <w:b w:val="0"/>
                <w:color w:val="000000"/>
                <w:sz w:val="21"/>
              </w:rPr>
              <w:t>跨库伪在线验证</w:t>
            </w:r>
          </w:p>
        </w:tc>
      </w:tr>
      <w:tr>
        <w:trPr>
          <w:cantSplit/>
        </w:trPr>
        <w:tc>
          <w:tcPr>
            <w:tcW w:type="dxa" w:w="2902"/>
          </w:tcPr>
          <w:p>
            <w:pPr>
              <w:spacing w:line="276" w:lineRule="auto"/>
              <w:jc w:val="left"/>
            </w:pPr>
            <w:r>
              <w:rPr>
                <w:rFonts w:ascii="Times New Roman" w:hAnsi="Times New Roman" w:eastAsia="宋体"/>
                <w:b/>
                <w:color w:val="000000"/>
                <w:sz w:val="21"/>
              </w:rPr>
              <w:t>主办方指定标准数据集（Challenge MI）</w:t>
            </w:r>
          </w:p>
        </w:tc>
        <w:tc>
          <w:tcPr>
            <w:tcW w:type="dxa" w:w="2902"/>
          </w:tcPr>
          <w:p>
            <w:pPr>
              <w:spacing w:line="276" w:lineRule="auto"/>
              <w:jc w:val="left"/>
            </w:pPr>
            <w:r>
              <w:rPr>
                <w:rFonts w:ascii="Times New Roman" w:hAnsi="Times New Roman" w:eastAsia="宋体"/>
                <w:b w:val="0"/>
                <w:color w:val="000000"/>
                <w:sz w:val="21"/>
              </w:rPr>
              <w:t>6 被试 · LOSO6 · 1 trial=1×3s 窗</w:t>
            </w:r>
          </w:p>
        </w:tc>
        <w:tc>
          <w:tcPr>
            <w:tcW w:type="dxa" w:w="2902"/>
          </w:tcPr>
          <w:p>
            <w:pPr>
              <w:spacing w:line="276" w:lineRule="auto"/>
              <w:jc w:val="left"/>
            </w:pPr>
            <w:r>
              <w:rPr>
                <w:rFonts w:ascii="Times New Roman" w:hAnsi="Times New Roman" w:eastAsia="宋体"/>
                <w:b/>
                <w:color w:val="000000"/>
                <w:sz w:val="21"/>
              </w:rPr>
              <w:t>60 分项主体</w:t>
            </w:r>
            <w:r>
              <w:rPr>
                <w:rFonts w:ascii="Times New Roman" w:hAnsi="Times New Roman" w:eastAsia="宋体"/>
                <w:b w:val="0"/>
                <w:color w:val="000000"/>
                <w:sz w:val="21"/>
              </w:rPr>
              <w:t>；</w:t>
            </w:r>
            <w:r>
              <w:rPr>
                <w:rFonts w:ascii="Times New Roman" w:hAnsi="Times New Roman" w:eastAsia="宋体"/>
                <w:b/>
                <w:color w:val="000000"/>
                <w:sz w:val="21"/>
              </w:rPr>
              <w:t>交卷=59ch 从零 S0</w:t>
            </w:r>
            <w:r>
              <w:rPr>
                <w:rFonts w:ascii="Times New Roman" w:hAnsi="Times New Roman" w:eastAsia="宋体"/>
                <w:b w:val="0"/>
                <w:color w:val="000000"/>
                <w:sz w:val="21"/>
              </w:rPr>
              <w:t>；OpenBMI→8ch FT 为已登记备选；详见 §9.7</w:t>
            </w:r>
          </w:p>
        </w:tc>
      </w:tr>
      <w:tr>
        <w:trPr>
          <w:cantSplit/>
        </w:trPr>
        <w:tc>
          <w:tcPr>
            <w:tcW w:type="dxa" w:w="2902"/>
          </w:tcPr>
          <w:p>
            <w:pPr>
              <w:spacing w:line="276" w:lineRule="auto"/>
              <w:jc w:val="left"/>
            </w:pPr>
            <w:r>
              <w:rPr>
                <w:rFonts w:ascii="Times New Roman" w:hAnsi="Times New Roman" w:eastAsia="宋体"/>
                <w:b w:val="0"/>
                <w:color w:val="000000"/>
                <w:sz w:val="21"/>
              </w:rPr>
              <w:t>自采数据</w:t>
            </w:r>
          </w:p>
        </w:tc>
        <w:tc>
          <w:tcPr>
            <w:tcW w:type="dxa" w:w="2902"/>
          </w:tcPr>
          <w:p>
            <w:pPr>
              <w:spacing w:line="276" w:lineRule="auto"/>
              <w:jc w:val="left"/>
            </w:pPr>
            <w:r>
              <w:rPr>
                <w:rFonts w:ascii="Times New Roman" w:hAnsi="Times New Roman" w:eastAsia="宋体"/>
                <w:b/>
                <w:color w:val="000000"/>
                <w:sz w:val="21"/>
              </w:rPr>
              <w:t>截至 2026-09-01 累计 ≥10 名 v3 范式真实被试</w:t>
            </w:r>
            <w:r>
              <w:rPr>
                <w:rFonts w:ascii="Times New Roman" w:hAnsi="Times New Roman" w:eastAsia="宋体"/>
                <w:b w:val="0"/>
                <w:color w:val="000000"/>
                <w:sz w:val="21"/>
              </w:rPr>
              <w:t xml:space="preserve">（syj0828/fnz0828/cyy0830/fnz0830/wzr0830/xj0830/cjf0831/npl0831/ycx0831/ytl0901 等，各多会话；另有早期范式被试），Leave-Next all4 全表门控 </w:t>
            </w:r>
            <w:r>
              <w:rPr>
                <w:rFonts w:ascii="Times New Roman" w:hAnsi="Times New Roman" w:eastAsia="宋体"/>
                <w:b/>
                <w:color w:val="000000"/>
                <w:sz w:val="21"/>
              </w:rPr>
              <w:t>20/50 PASS</w:t>
            </w:r>
            <w:r>
              <w:rPr>
                <w:rFonts w:ascii="Times New Roman" w:hAnsi="Times New Roman" w:eastAsia="宋体"/>
                <w:b w:val="0"/>
                <w:color w:val="000000"/>
                <w:sz w:val="21"/>
              </w:rPr>
              <w:t>；采集按计划推进至不少于 20 名【提交前更新为最终人数】</w:t>
            </w:r>
          </w:p>
        </w:tc>
        <w:tc>
          <w:tcPr>
            <w:tcW w:type="dxa" w:w="2902"/>
          </w:tcPr>
          <w:p>
            <w:pPr>
              <w:spacing w:line="276" w:lineRule="auto"/>
              <w:jc w:val="left"/>
            </w:pPr>
            <w:r>
              <w:rPr>
                <w:rFonts w:ascii="Times New Roman" w:hAnsi="Times New Roman" w:eastAsia="宋体"/>
                <w:b w:val="0"/>
                <w:color w:val="000000"/>
                <w:sz w:val="21"/>
              </w:rPr>
              <w:t>底座强化 + 个体适配验证</w:t>
            </w:r>
          </w:p>
        </w:tc>
      </w:tr>
    </w:tbl>
    <w:p>
      <w:pPr>
        <w:spacing w:after="60"/>
      </w:pPr>
    </w:p>
    <w:p>
      <w:pPr>
        <w:pStyle w:val="Heading1"/>
        <w:spacing w:line="312" w:lineRule="auto" w:before="280" w:after="160"/>
        <w:jc w:val="center"/>
      </w:pPr>
      <w:r>
        <w:rPr>
          <w:rFonts w:ascii="Times New Roman" w:hAnsi="Times New Roman" w:eastAsia="黑体"/>
          <w:b/>
          <w:color w:val="000000"/>
          <w:sz w:val="32"/>
        </w:rPr>
        <w:t>4. 信号预处理与特征提取</w:t>
      </w:r>
    </w:p>
    <w:p>
      <w:pPr>
        <w:pStyle w:val="Heading2"/>
        <w:spacing w:line="312" w:lineRule="auto" w:before="200" w:after="160"/>
      </w:pPr>
      <w:r>
        <w:rPr>
          <w:rFonts w:ascii="Times New Roman" w:hAnsi="Times New Roman" w:eastAsia="黑体"/>
          <w:b/>
          <w:color w:val="000000"/>
          <w:sz w:val="30"/>
        </w:rPr>
        <w:t>4.1 统一预处理口径</w:t>
      </w:r>
    </w:p>
    <w:p>
      <w:pPr>
        <w:spacing w:line="312" w:lineRule="auto" w:before="0" w:after="120"/>
        <w:ind w:firstLine="480"/>
        <w:jc w:val="both"/>
      </w:pPr>
      <w:r>
        <w:rPr>
          <w:rFonts w:ascii="Times New Roman" w:hAnsi="Times New Roman" w:eastAsia="宋体"/>
          <w:b w:val="0"/>
          <w:color w:val="000000"/>
          <w:sz w:val="24"/>
        </w:rPr>
        <w:t>所有数据集与在线流共用同一预处理：选 8 导固定序 → CAR → 8–30 Hz 带通（覆盖 μ 节律 8–13 Hz 与 β 节律 13–30 Hz 的运动相关成分）→ 250 Hz 重采样 → 逐窗 z-score。实验表明训练锚点含想象期之后窗有害（−1.1 pp），故切窗严格限定于有效想象期。</w:t>
      </w:r>
    </w:p>
    <w:p>
      <w:pPr>
        <w:pStyle w:val="Heading2"/>
        <w:spacing w:line="312" w:lineRule="auto" w:before="200" w:after="160"/>
      </w:pPr>
      <w:r>
        <w:rPr>
          <w:rFonts w:ascii="Times New Roman" w:hAnsi="Times New Roman" w:eastAsia="黑体"/>
          <w:b/>
          <w:color w:val="000000"/>
          <w:sz w:val="30"/>
        </w:rPr>
        <w:t>4.2 滑窗特征</w:t>
      </w:r>
    </w:p>
    <w:p>
      <w:pPr>
        <w:spacing w:line="312" w:lineRule="auto" w:before="0" w:after="120"/>
        <w:ind w:firstLine="480"/>
        <w:jc w:val="both"/>
      </w:pPr>
      <w:r>
        <w:rPr>
          <w:rFonts w:ascii="Times New Roman" w:hAnsi="Times New Roman" w:eastAsia="宋体"/>
          <w:b w:val="0"/>
          <w:color w:val="000000"/>
          <w:sz w:val="24"/>
        </w:rPr>
        <w:t xml:space="preserve">特征窗长 3 s（750 点）、步长 100 ms。窗长消融（OpenBMI，统一协议）：1 s 0.562 → 2 s 0.576 → 3 s </w:t>
      </w:r>
      <w:r>
        <w:rPr>
          <w:rFonts w:ascii="Times New Roman" w:hAnsi="Times New Roman" w:eastAsia="宋体"/>
          <w:b/>
          <w:color w:val="000000"/>
          <w:sz w:val="24"/>
        </w:rPr>
        <w:t>0.588</w:t>
      </w:r>
      <w:r>
        <w:rPr>
          <w:rFonts w:ascii="Times New Roman" w:hAnsi="Times New Roman" w:eastAsia="宋体"/>
          <w:b w:val="0"/>
          <w:color w:val="000000"/>
          <w:sz w:val="24"/>
        </w:rPr>
        <w:t>（三分类试次级），3 s 窗显著优于 2 s 窗（+4.7 pp 于二分类），确定 3 s/hop100 为冻结口径。</w:t>
      </w:r>
    </w:p>
    <w:p>
      <w:pPr>
        <w:pStyle w:val="Heading2"/>
        <w:spacing w:line="312" w:lineRule="auto" w:before="200" w:after="160"/>
      </w:pPr>
      <w:r>
        <w:rPr>
          <w:rFonts w:ascii="Times New Roman" w:hAnsi="Times New Roman" w:eastAsia="黑体"/>
          <w:b/>
          <w:color w:val="000000"/>
          <w:sz w:val="30"/>
        </w:rPr>
        <w:t>4.3 双标签双头</w:t>
      </w:r>
    </w:p>
    <w:p>
      <w:pPr>
        <w:spacing w:line="312" w:lineRule="auto" w:before="0" w:after="120"/>
        <w:ind w:firstLine="480"/>
        <w:jc w:val="both"/>
      </w:pPr>
      <w:r>
        <w:rPr>
          <w:rFonts w:ascii="Times New Roman" w:hAnsi="Times New Roman" w:eastAsia="宋体"/>
          <w:b w:val="0"/>
          <w:color w:val="000000"/>
          <w:sz w:val="24"/>
        </w:rPr>
        <w:t>训练标签同时维护两套：</w:t>
      </w:r>
      <w:r>
        <w:rPr>
          <w:rFonts w:ascii="Consolas" w:hAnsi="Consolas" w:eastAsia="Consolas"/>
          <w:b w:val="0"/>
          <w:color w:val="000000"/>
          <w:sz w:val="21"/>
        </w:rPr>
        <w:t>label_task</w:t>
      </w:r>
      <w:r>
        <w:rPr>
          <w:rFonts w:ascii="Times New Roman" w:hAnsi="Times New Roman" w:eastAsia="宋体"/>
          <w:b w:val="0"/>
          <w:color w:val="000000"/>
          <w:sz w:val="24"/>
        </w:rPr>
        <w:t xml:space="preserve">（空闲/任务二分类）与 </w:t>
      </w:r>
      <w:r>
        <w:rPr>
          <w:rFonts w:ascii="Consolas" w:hAnsi="Consolas" w:eastAsia="Consolas"/>
          <w:b w:val="0"/>
          <w:color w:val="000000"/>
          <w:sz w:val="21"/>
        </w:rPr>
        <w:t>label_three</w:t>
      </w:r>
      <w:r>
        <w:rPr>
          <w:rFonts w:ascii="Times New Roman" w:hAnsi="Times New Roman" w:eastAsia="宋体"/>
          <w:b w:val="0"/>
          <w:color w:val="000000"/>
          <w:sz w:val="24"/>
        </w:rPr>
        <w:t>（空闲/左手/右手三分类），两任务头独立训练、不迁移权重。二分类头用于状态监测与质量评估，三分类头为正式读出。</w:t>
      </w:r>
    </w:p>
    <w:p>
      <w:pPr>
        <w:pStyle w:val="Heading1"/>
        <w:spacing w:line="312" w:lineRule="auto" w:before="280" w:after="160"/>
        <w:jc w:val="center"/>
      </w:pPr>
      <w:r>
        <w:rPr>
          <w:rFonts w:ascii="Times New Roman" w:hAnsi="Times New Roman" w:eastAsia="黑体"/>
          <w:b/>
          <w:color w:val="000000"/>
          <w:sz w:val="32"/>
        </w:rPr>
        <w:t>5. 分类模型架构</w:t>
      </w:r>
    </w:p>
    <w:p>
      <w:pPr>
        <w:pStyle w:val="Heading2"/>
        <w:spacing w:line="312" w:lineRule="auto" w:before="200" w:after="160"/>
      </w:pPr>
      <w:r>
        <w:rPr>
          <w:rFonts w:ascii="Times New Roman" w:hAnsi="Times New Roman" w:eastAsia="黑体"/>
          <w:b/>
          <w:color w:val="000000"/>
          <w:sz w:val="30"/>
        </w:rPr>
        <w:t>5.1 主干统一对比与选型</w:t>
      </w:r>
    </w:p>
    <w:p>
      <w:pPr>
        <w:spacing w:line="312" w:lineRule="auto" w:before="0" w:after="120"/>
        <w:ind w:firstLine="480"/>
        <w:jc w:val="both"/>
      </w:pPr>
      <w:r>
        <w:rPr>
          <w:rFonts w:ascii="Times New Roman" w:hAnsi="Times New Roman" w:eastAsia="宋体"/>
          <w:b w:val="0"/>
          <w:color w:val="000000"/>
          <w:sz w:val="24"/>
        </w:rPr>
        <w:t>在 OpenBMI 54 人、2 s 窗统一协议（统一超参 lr 1e-4、wd 1e-4、drop 0.5、批均衡、验证集 Acc_paper 早停、被试独立五折）下对比 11 种主流模型（试次级 Test Acc）：</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color w:val="000000"/>
                <w:sz w:val="21"/>
              </w:rPr>
              <w:t>模型</w:t>
            </w:r>
          </w:p>
        </w:tc>
        <w:tc>
          <w:tcPr>
            <w:tcW w:type="dxa" w:w="2902"/>
            <w:shd w:val="clear" w:fill="D9E2F3"/>
          </w:tcPr>
          <w:p>
            <w:pPr>
              <w:spacing w:line="276" w:lineRule="auto"/>
              <w:jc w:val="center"/>
            </w:pPr>
            <w:r>
              <w:rPr>
                <w:rFonts w:ascii="Times New Roman" w:hAnsi="Times New Roman" w:eastAsia="宋体"/>
                <w:b/>
                <w:color w:val="000000"/>
                <w:sz w:val="21"/>
              </w:rPr>
              <w:t>三分类</w:t>
            </w:r>
          </w:p>
        </w:tc>
        <w:tc>
          <w:tcPr>
            <w:tcW w:type="dxa" w:w="2902"/>
            <w:shd w:val="clear" w:fill="D9E2F3"/>
          </w:tcPr>
          <w:p>
            <w:pPr>
              <w:spacing w:line="276" w:lineRule="auto"/>
              <w:jc w:val="center"/>
            </w:pPr>
            <w:r>
              <w:rPr>
                <w:rFonts w:ascii="Times New Roman" w:hAnsi="Times New Roman" w:eastAsia="宋体"/>
                <w:b/>
                <w:color w:val="000000"/>
                <w:sz w:val="21"/>
              </w:rPr>
              <w:t>二分类（左/右）</w:t>
            </w:r>
          </w:p>
        </w:tc>
      </w:tr>
      <w:tr>
        <w:trPr>
          <w:cantSplit/>
        </w:trPr>
        <w:tc>
          <w:tcPr>
            <w:tcW w:type="dxa" w:w="2902"/>
          </w:tcPr>
          <w:p>
            <w:pPr>
              <w:spacing w:line="276" w:lineRule="auto"/>
              <w:jc w:val="left"/>
            </w:pPr>
            <w:r>
              <w:rPr>
                <w:rFonts w:ascii="Times New Roman" w:hAnsi="Times New Roman" w:eastAsia="宋体"/>
                <w:b w:val="0"/>
                <w:color w:val="000000"/>
                <w:sz w:val="21"/>
              </w:rPr>
              <w:t>Deep4Net</w:t>
            </w:r>
          </w:p>
        </w:tc>
        <w:tc>
          <w:tcPr>
            <w:tcW w:type="dxa" w:w="2902"/>
          </w:tcPr>
          <w:p>
            <w:pPr>
              <w:spacing w:line="276" w:lineRule="auto"/>
              <w:jc w:val="left"/>
            </w:pPr>
            <w:r>
              <w:rPr>
                <w:rFonts w:ascii="Times New Roman" w:hAnsi="Times New Roman" w:eastAsia="宋体"/>
                <w:b w:val="0"/>
                <w:color w:val="000000"/>
                <w:sz w:val="21"/>
              </w:rPr>
              <w:t>0.5431</w:t>
            </w:r>
          </w:p>
        </w:tc>
        <w:tc>
          <w:tcPr>
            <w:tcW w:type="dxa" w:w="2902"/>
          </w:tcPr>
          <w:p>
            <w:pPr>
              <w:spacing w:line="276" w:lineRule="auto"/>
              <w:jc w:val="left"/>
            </w:pPr>
            <w:r>
              <w:rPr>
                <w:rFonts w:ascii="Times New Roman" w:hAnsi="Times New Roman" w:eastAsia="宋体"/>
                <w:b w:val="0"/>
                <w:color w:val="000000"/>
                <w:sz w:val="21"/>
              </w:rPr>
              <w:t>0.7218</w:t>
            </w:r>
          </w:p>
        </w:tc>
      </w:tr>
      <w:tr>
        <w:trPr>
          <w:cantSplit/>
        </w:trPr>
        <w:tc>
          <w:tcPr>
            <w:tcW w:type="dxa" w:w="2902"/>
          </w:tcPr>
          <w:p>
            <w:pPr>
              <w:spacing w:line="276" w:lineRule="auto"/>
              <w:jc w:val="left"/>
            </w:pPr>
            <w:r>
              <w:rPr>
                <w:rFonts w:ascii="Times New Roman" w:hAnsi="Times New Roman" w:eastAsia="宋体"/>
                <w:b w:val="0"/>
                <w:color w:val="000000"/>
                <w:sz w:val="21"/>
              </w:rPr>
              <w:t>ShallowFBCSPNet</w:t>
            </w:r>
          </w:p>
        </w:tc>
        <w:tc>
          <w:tcPr>
            <w:tcW w:type="dxa" w:w="2902"/>
          </w:tcPr>
          <w:p>
            <w:pPr>
              <w:spacing w:line="276" w:lineRule="auto"/>
              <w:jc w:val="left"/>
            </w:pPr>
            <w:r>
              <w:rPr>
                <w:rFonts w:ascii="Times New Roman" w:hAnsi="Times New Roman" w:eastAsia="宋体"/>
                <w:b w:val="0"/>
                <w:color w:val="000000"/>
                <w:sz w:val="21"/>
              </w:rPr>
              <w:t>0.5398</w:t>
            </w:r>
          </w:p>
        </w:tc>
        <w:tc>
          <w:tcPr>
            <w:tcW w:type="dxa" w:w="2902"/>
          </w:tcPr>
          <w:p>
            <w:pPr>
              <w:spacing w:line="276" w:lineRule="auto"/>
              <w:jc w:val="left"/>
            </w:pPr>
            <w:r>
              <w:rPr>
                <w:rFonts w:ascii="Times New Roman" w:hAnsi="Times New Roman" w:eastAsia="宋体"/>
                <w:b w:val="0"/>
                <w:color w:val="000000"/>
                <w:sz w:val="21"/>
              </w:rPr>
              <w:t>0.6982</w:t>
            </w:r>
          </w:p>
        </w:tc>
      </w:tr>
      <w:tr>
        <w:trPr>
          <w:cantSplit/>
        </w:trPr>
        <w:tc>
          <w:tcPr>
            <w:tcW w:type="dxa" w:w="2902"/>
          </w:tcPr>
          <w:p>
            <w:pPr>
              <w:spacing w:line="276" w:lineRule="auto"/>
              <w:jc w:val="left"/>
            </w:pPr>
            <w:r>
              <w:rPr>
                <w:rFonts w:ascii="Times New Roman" w:hAnsi="Times New Roman" w:eastAsia="宋体"/>
                <w:b w:val="0"/>
                <w:color w:val="000000"/>
                <w:sz w:val="21"/>
              </w:rPr>
              <w:t>Conformer</w:t>
            </w:r>
          </w:p>
        </w:tc>
        <w:tc>
          <w:tcPr>
            <w:tcW w:type="dxa" w:w="2902"/>
          </w:tcPr>
          <w:p>
            <w:pPr>
              <w:spacing w:line="276" w:lineRule="auto"/>
              <w:jc w:val="left"/>
            </w:pPr>
            <w:r>
              <w:rPr>
                <w:rFonts w:ascii="Times New Roman" w:hAnsi="Times New Roman" w:eastAsia="宋体"/>
                <w:b w:val="0"/>
                <w:color w:val="000000"/>
                <w:sz w:val="21"/>
              </w:rPr>
              <w:t>0.5378</w:t>
            </w:r>
          </w:p>
        </w:tc>
        <w:tc>
          <w:tcPr>
            <w:tcW w:type="dxa" w:w="2902"/>
          </w:tcPr>
          <w:p>
            <w:pPr>
              <w:spacing w:line="276" w:lineRule="auto"/>
              <w:jc w:val="left"/>
            </w:pPr>
            <w:r>
              <w:rPr>
                <w:rFonts w:ascii="Times New Roman" w:hAnsi="Times New Roman" w:eastAsia="宋体"/>
                <w:b w:val="0"/>
                <w:color w:val="000000"/>
                <w:sz w:val="21"/>
              </w:rPr>
              <w:t>0.7102</w:t>
            </w:r>
          </w:p>
        </w:tc>
      </w:tr>
      <w:tr>
        <w:trPr>
          <w:cantSplit/>
        </w:trPr>
        <w:tc>
          <w:tcPr>
            <w:tcW w:type="dxa" w:w="2902"/>
          </w:tcPr>
          <w:p>
            <w:pPr>
              <w:spacing w:line="276" w:lineRule="auto"/>
              <w:jc w:val="left"/>
            </w:pPr>
            <w:r>
              <w:rPr>
                <w:rFonts w:ascii="Times New Roman" w:hAnsi="Times New Roman" w:eastAsia="宋体"/>
                <w:b w:val="0"/>
                <w:color w:val="000000"/>
                <w:sz w:val="21"/>
              </w:rPr>
              <w:t>EEGNet</w:t>
            </w:r>
          </w:p>
        </w:tc>
        <w:tc>
          <w:tcPr>
            <w:tcW w:type="dxa" w:w="2902"/>
          </w:tcPr>
          <w:p>
            <w:pPr>
              <w:spacing w:line="276" w:lineRule="auto"/>
              <w:jc w:val="left"/>
            </w:pPr>
            <w:r>
              <w:rPr>
                <w:rFonts w:ascii="Times New Roman" w:hAnsi="Times New Roman" w:eastAsia="宋体"/>
                <w:b w:val="0"/>
                <w:color w:val="000000"/>
                <w:sz w:val="21"/>
              </w:rPr>
              <w:t>0.5307</w:t>
            </w:r>
          </w:p>
        </w:tc>
        <w:tc>
          <w:tcPr>
            <w:tcW w:type="dxa" w:w="2902"/>
          </w:tcPr>
          <w:p>
            <w:pPr>
              <w:spacing w:line="276" w:lineRule="auto"/>
              <w:jc w:val="left"/>
            </w:pPr>
            <w:r>
              <w:rPr>
                <w:rFonts w:ascii="Times New Roman" w:hAnsi="Times New Roman" w:eastAsia="宋体"/>
                <w:b w:val="0"/>
                <w:color w:val="000000"/>
                <w:sz w:val="21"/>
              </w:rPr>
              <w:t>0.6433</w:t>
            </w:r>
          </w:p>
        </w:tc>
      </w:tr>
      <w:tr>
        <w:trPr>
          <w:cantSplit/>
        </w:trPr>
        <w:tc>
          <w:tcPr>
            <w:tcW w:type="dxa" w:w="2902"/>
          </w:tcPr>
          <w:p>
            <w:pPr>
              <w:spacing w:line="276" w:lineRule="auto"/>
              <w:jc w:val="left"/>
            </w:pPr>
            <w:r>
              <w:rPr>
                <w:rFonts w:ascii="Times New Roman" w:hAnsi="Times New Roman" w:eastAsia="宋体"/>
                <w:b w:val="0"/>
                <w:color w:val="000000"/>
                <w:sz w:val="21"/>
              </w:rPr>
              <w:t>EEGTCNet</w:t>
            </w:r>
          </w:p>
        </w:tc>
        <w:tc>
          <w:tcPr>
            <w:tcW w:type="dxa" w:w="2902"/>
          </w:tcPr>
          <w:p>
            <w:pPr>
              <w:spacing w:line="276" w:lineRule="auto"/>
              <w:jc w:val="left"/>
            </w:pPr>
            <w:r>
              <w:rPr>
                <w:rFonts w:ascii="Times New Roman" w:hAnsi="Times New Roman" w:eastAsia="宋体"/>
                <w:b w:val="0"/>
                <w:color w:val="000000"/>
                <w:sz w:val="21"/>
              </w:rPr>
              <w:t>0.5067</w:t>
            </w:r>
          </w:p>
        </w:tc>
        <w:tc>
          <w:tcPr>
            <w:tcW w:type="dxa" w:w="2902"/>
          </w:tcPr>
          <w:p>
            <w:pPr>
              <w:spacing w:line="276" w:lineRule="auto"/>
              <w:jc w:val="left"/>
            </w:pPr>
            <w:r>
              <w:rPr>
                <w:rFonts w:ascii="Times New Roman" w:hAnsi="Times New Roman" w:eastAsia="宋体"/>
                <w:b w:val="0"/>
                <w:color w:val="000000"/>
                <w:sz w:val="21"/>
              </w:rPr>
              <w:t>0.6938</w:t>
            </w:r>
          </w:p>
        </w:tc>
      </w:tr>
      <w:tr>
        <w:trPr>
          <w:cantSplit/>
        </w:trPr>
        <w:tc>
          <w:tcPr>
            <w:tcW w:type="dxa" w:w="2902"/>
          </w:tcPr>
          <w:p>
            <w:pPr>
              <w:spacing w:line="276" w:lineRule="auto"/>
              <w:jc w:val="left"/>
            </w:pPr>
            <w:r>
              <w:rPr>
                <w:rFonts w:ascii="Times New Roman" w:hAnsi="Times New Roman" w:eastAsia="宋体"/>
                <w:b w:val="0"/>
                <w:color w:val="000000"/>
                <w:sz w:val="21"/>
              </w:rPr>
              <w:t>DGCNN_raw / DBN_raw / GCBNet_raw</w:t>
            </w:r>
          </w:p>
        </w:tc>
        <w:tc>
          <w:tcPr>
            <w:tcW w:type="dxa" w:w="2902"/>
          </w:tcPr>
          <w:p>
            <w:pPr>
              <w:spacing w:line="276" w:lineRule="auto"/>
              <w:jc w:val="left"/>
            </w:pPr>
            <w:r>
              <w:rPr>
                <w:rFonts w:ascii="Times New Roman" w:hAnsi="Times New Roman" w:eastAsia="宋体"/>
                <w:b w:val="0"/>
                <w:color w:val="000000"/>
                <w:sz w:val="21"/>
              </w:rPr>
              <w:t>0.4906 / 0.4885 / 0.4764</w:t>
            </w:r>
          </w:p>
        </w:tc>
        <w:tc>
          <w:tcPr>
            <w:tcW w:type="dxa" w:w="2902"/>
          </w:tcPr>
          <w:p>
            <w:pPr>
              <w:spacing w:line="276" w:lineRule="auto"/>
              <w:jc w:val="left"/>
            </w:pPr>
            <w:r>
              <w:rPr>
                <w:rFonts w:ascii="Times New Roman" w:hAnsi="Times New Roman" w:eastAsia="宋体"/>
                <w:b w:val="0"/>
                <w:color w:val="000000"/>
                <w:sz w:val="21"/>
              </w:rPr>
              <w:t>0.7064 / 0.6940 / 0.6741</w:t>
            </w:r>
          </w:p>
        </w:tc>
      </w:tr>
      <w:tr>
        <w:trPr>
          <w:cantSplit/>
        </w:trPr>
        <w:tc>
          <w:tcPr>
            <w:tcW w:type="dxa" w:w="2902"/>
          </w:tcPr>
          <w:p>
            <w:pPr>
              <w:spacing w:line="276" w:lineRule="auto"/>
              <w:jc w:val="left"/>
            </w:pPr>
            <w:r>
              <w:rPr>
                <w:rFonts w:ascii="Times New Roman" w:hAnsi="Times New Roman" w:eastAsia="宋体"/>
                <w:b w:val="0"/>
                <w:color w:val="000000"/>
                <w:sz w:val="21"/>
              </w:rPr>
              <w:t>DGCNN / DBN / GCBNet</w:t>
            </w:r>
          </w:p>
        </w:tc>
        <w:tc>
          <w:tcPr>
            <w:tcW w:type="dxa" w:w="2902"/>
          </w:tcPr>
          <w:p>
            <w:pPr>
              <w:spacing w:line="276" w:lineRule="auto"/>
              <w:jc w:val="left"/>
            </w:pPr>
            <w:r>
              <w:rPr>
                <w:rFonts w:ascii="Times New Roman" w:hAnsi="Times New Roman" w:eastAsia="宋体"/>
                <w:b w:val="0"/>
                <w:color w:val="000000"/>
                <w:sz w:val="21"/>
              </w:rPr>
              <w:t>0.3891 / 0.3809 / 0.3746</w:t>
            </w:r>
          </w:p>
        </w:tc>
        <w:tc>
          <w:tcPr>
            <w:tcW w:type="dxa" w:w="2902"/>
          </w:tcPr>
          <w:p>
            <w:pPr>
              <w:spacing w:line="276" w:lineRule="auto"/>
              <w:jc w:val="left"/>
            </w:pPr>
            <w:r>
              <w:rPr>
                <w:rFonts w:ascii="Times New Roman" w:hAnsi="Times New Roman" w:eastAsia="宋体"/>
                <w:b w:val="0"/>
                <w:color w:val="000000"/>
                <w:sz w:val="21"/>
              </w:rPr>
              <w:t>0.5947 / 0.6210 / 0.6151</w:t>
            </w:r>
          </w:p>
        </w:tc>
      </w:tr>
    </w:tbl>
    <w:p>
      <w:pPr>
        <w:spacing w:after="60"/>
      </w:pPr>
    </w:p>
    <w:p>
      <w:pPr>
        <w:spacing w:line="312" w:lineRule="auto" w:before="0" w:after="120"/>
        <w:ind w:firstLine="480"/>
        <w:jc w:val="both"/>
      </w:pPr>
      <w:r>
        <w:rPr>
          <w:rFonts w:ascii="Times New Roman" w:hAnsi="Times New Roman" w:eastAsia="宋体"/>
          <w:b w:val="0"/>
          <w:color w:val="000000"/>
          <w:sz w:val="24"/>
        </w:rPr>
        <w:t xml:space="preserve">三分类任务下 ShallowFBCSPNet 表现突出且参数量仅约 17 k，适合在线低延迟推理与少样本微调，选为底座主干。窗长升级到 3 s 后单模型三分类达 </w:t>
      </w:r>
      <w:r>
        <w:rPr>
          <w:rFonts w:ascii="Times New Roman" w:hAnsi="Times New Roman" w:eastAsia="宋体"/>
          <w:b/>
          <w:color w:val="000000"/>
          <w:sz w:val="24"/>
        </w:rPr>
        <w:t>0.5876±0.0296</w:t>
      </w:r>
      <w:r>
        <w:rPr>
          <w:rFonts w:ascii="Times New Roman" w:hAnsi="Times New Roman" w:eastAsia="宋体"/>
          <w:b w:val="0"/>
          <w:color w:val="000000"/>
          <w:sz w:val="24"/>
        </w:rPr>
        <w:t>（二分类 0.7415±0.0306）。</w:t>
      </w:r>
    </w:p>
    <w:p>
      <w:pPr>
        <w:pStyle w:val="Heading2"/>
        <w:spacing w:line="312" w:lineRule="auto" w:before="200" w:after="160"/>
      </w:pPr>
      <w:r>
        <w:rPr>
          <w:rFonts w:ascii="Times New Roman" w:hAnsi="Times New Roman" w:eastAsia="黑体"/>
          <w:b/>
          <w:color w:val="000000"/>
          <w:sz w:val="30"/>
        </w:rPr>
        <w:t>5.2 E1f 四成员概率级融合</w:t>
      </w:r>
    </w:p>
    <w:p>
      <w:pPr>
        <w:spacing w:line="312" w:lineRule="auto" w:before="0" w:after="120"/>
        <w:ind w:firstLine="480"/>
        <w:jc w:val="both"/>
      </w:pPr>
      <w:r>
        <w:rPr>
          <w:rFonts w:ascii="Times New Roman" w:hAnsi="Times New Roman" w:eastAsia="宋体"/>
          <w:b w:val="0"/>
          <w:color w:val="000000"/>
          <w:sz w:val="24"/>
        </w:rPr>
        <w:t xml:space="preserve">单模型之上，对 shallow、T-shallow（Task 头增强版 shallow）、eegnet、conformer 四个成员的输出概率做融合（E1f，实验 26）：各成员先做温度校准（temperatures 由验证集 NLL 拟合），再按验证集网格搜索的权重加权求和。冻结配置下 OpenBMI 三分类试次级 </w:t>
      </w:r>
      <w:r>
        <w:rPr>
          <w:rFonts w:ascii="Times New Roman" w:hAnsi="Times New Roman" w:eastAsia="宋体"/>
          <w:b/>
          <w:color w:val="000000"/>
          <w:sz w:val="24"/>
        </w:rPr>
        <w:t>0.6173</w:t>
      </w:r>
      <w:r>
        <w:rPr>
          <w:rFonts w:ascii="Times New Roman" w:hAnsi="Times New Roman" w:eastAsia="宋体"/>
          <w:b w:val="0"/>
          <w:color w:val="000000"/>
          <w:sz w:val="24"/>
        </w:rPr>
        <w:t>。机制实验（oracle 上界、λ 扫描、SE/ECA/CBAM 模块增强、双专家门控、JEPA 系列等）均为阴性，说明增益不在结构模块层而在校准与集成层。</w:t>
      </w:r>
    </w:p>
    <w:p>
      <w:pPr>
        <w:pStyle w:val="Heading2"/>
        <w:spacing w:line="312" w:lineRule="auto" w:before="200" w:after="160"/>
      </w:pPr>
      <w:r>
        <w:rPr>
          <w:rFonts w:ascii="Times New Roman" w:hAnsi="Times New Roman" w:eastAsia="黑体"/>
          <w:b/>
          <w:color w:val="000000"/>
          <w:sz w:val="30"/>
        </w:rPr>
        <w:t>5.3 读出层（因果平滑 + 多数票，冻结 F5）</w:t>
      </w:r>
    </w:p>
    <w:p>
      <w:pPr>
        <w:spacing w:line="312" w:lineRule="auto" w:before="0" w:after="120"/>
        <w:ind w:firstLine="480"/>
        <w:jc w:val="both"/>
      </w:pPr>
      <w:r>
        <w:rPr>
          <w:rFonts w:ascii="Times New Roman" w:hAnsi="Times New Roman" w:eastAsia="宋体"/>
          <w:b w:val="0"/>
          <w:color w:val="000000"/>
          <w:sz w:val="24"/>
        </w:rPr>
        <w:t>在线读出为单轨三分类（F5 冻结）：</w:t>
      </w:r>
    </w:p>
    <w:p>
      <w:pPr>
        <w:spacing w:line="312" w:lineRule="auto" w:before="0" w:after="120"/>
        <w:ind w:left="480"/>
        <w:jc w:val="both"/>
      </w:pPr>
      <w:r>
        <w:rPr>
          <w:rFonts w:ascii="Times New Roman" w:hAnsi="Times New Roman" w:eastAsia="宋体"/>
          <w:b/>
          <w:color w:val="000000"/>
          <w:sz w:val="24"/>
        </w:rPr>
        <w:t>窗级</w:t>
      </w:r>
      <w:r>
        <w:rPr>
          <w:rFonts w:ascii="Times New Roman" w:hAnsi="Times New Roman" w:eastAsia="宋体"/>
          <w:b w:val="0"/>
          <w:color w:val="000000"/>
          <w:sz w:val="24"/>
        </w:rPr>
        <w:t>：E1f 融合概率 → 因果平滑（当前窗与前两窗，lookback=2）→ argmax；</w:t>
      </w:r>
    </w:p>
    <w:p>
      <w:pPr>
        <w:spacing w:line="312" w:lineRule="auto" w:before="0" w:after="120"/>
        <w:ind w:left="480"/>
        <w:jc w:val="both"/>
      </w:pPr>
      <w:r>
        <w:rPr>
          <w:rFonts w:ascii="Times New Roman" w:hAnsi="Times New Roman" w:eastAsia="宋体"/>
          <w:b/>
          <w:color w:val="000000"/>
          <w:sz w:val="24"/>
        </w:rPr>
        <w:t>试次级</w:t>
      </w:r>
      <w:r>
        <w:rPr>
          <w:rFonts w:ascii="Times New Roman" w:hAnsi="Times New Roman" w:eastAsia="宋体"/>
          <w:b w:val="0"/>
          <w:color w:val="000000"/>
          <w:sz w:val="24"/>
        </w:rPr>
        <w:t>：各窗平滑后判定做多数票 = 试次结果 = 计分依据。</w:t>
      </w:r>
    </w:p>
    <w:p>
      <w:pPr>
        <w:spacing w:line="312" w:lineRule="auto" w:before="0" w:after="120"/>
        <w:ind w:firstLine="480"/>
        <w:jc w:val="both"/>
      </w:pPr>
      <w:r>
        <w:rPr>
          <w:rFonts w:ascii="Times New Roman" w:hAnsi="Times New Roman" w:eastAsia="宋体"/>
          <w:b w:val="0"/>
          <w:color w:val="000000"/>
          <w:sz w:val="24"/>
        </w:rPr>
        <w:t xml:space="preserve">该读出在 OpenBMI 上取得试次级 </w:t>
      </w:r>
      <w:r>
        <w:rPr>
          <w:rFonts w:ascii="Times New Roman" w:hAnsi="Times New Roman" w:eastAsia="宋体"/>
          <w:b/>
          <w:color w:val="000000"/>
          <w:sz w:val="24"/>
        </w:rPr>
        <w:t>0.6188</w:t>
      </w:r>
      <w:r>
        <w:rPr>
          <w:rFonts w:ascii="Times New Roman" w:hAnsi="Times New Roman" w:eastAsia="宋体"/>
          <w:b w:val="0"/>
          <w:color w:val="000000"/>
          <w:sz w:val="24"/>
        </w:rPr>
        <w:t>（C 臂，实验 30），优于离线双向平滑 classic 臂 0.6173，说明因果化不损失精度；多数票（W 臂）0.6125 作为现行线上读出。置信度 τ 早停双轨已退出正式协议，仅保留为离线分析旁路。</w:t>
      </w:r>
    </w:p>
    <w:p>
      <w:pPr>
        <w:pStyle w:val="Heading1"/>
        <w:spacing w:line="312" w:lineRule="auto" w:before="280" w:after="160"/>
        <w:jc w:val="center"/>
      </w:pPr>
      <w:r>
        <w:rPr>
          <w:rFonts w:ascii="Times New Roman" w:hAnsi="Times New Roman" w:eastAsia="黑体"/>
          <w:b/>
          <w:color w:val="000000"/>
          <w:sz w:val="32"/>
        </w:rPr>
        <w:t>6. 异步交互协议（控制状态/空闲状态判别）</w:t>
      </w:r>
    </w:p>
    <w:p>
      <w:pPr>
        <w:pStyle w:val="Heading2"/>
        <w:spacing w:line="312" w:lineRule="auto" w:before="200" w:after="160"/>
      </w:pPr>
      <w:r>
        <w:rPr>
          <w:rFonts w:ascii="Times New Roman" w:hAnsi="Times New Roman" w:eastAsia="黑体"/>
          <w:b/>
          <w:color w:val="000000"/>
          <w:sz w:val="30"/>
        </w:rPr>
        <w:t>6.1 状态判别机制</w:t>
      </w:r>
    </w:p>
    <w:p>
      <w:pPr>
        <w:spacing w:line="312" w:lineRule="auto" w:before="0" w:after="120"/>
        <w:ind w:firstLine="480"/>
        <w:jc w:val="both"/>
      </w:pPr>
      <w:r>
        <w:rPr>
          <w:rFonts w:ascii="Times New Roman" w:hAnsi="Times New Roman" w:eastAsia="宋体"/>
          <w:b w:val="0"/>
          <w:color w:val="000000"/>
          <w:sz w:val="24"/>
        </w:rPr>
        <w:t>本系统的异步判别由三层构成：</w:t>
      </w:r>
    </w:p>
    <w:p>
      <w:pPr>
        <w:spacing w:line="312" w:lineRule="auto" w:before="0" w:after="120"/>
        <w:ind w:left="480"/>
        <w:jc w:val="both"/>
      </w:pPr>
      <w:r>
        <w:rPr>
          <w:rFonts w:ascii="Times New Roman" w:hAnsi="Times New Roman" w:eastAsia="宋体"/>
          <w:b/>
          <w:color w:val="000000"/>
          <w:sz w:val="24"/>
        </w:rPr>
        <w:t>分类层（主判定）</w:t>
      </w:r>
      <w:r>
        <w:rPr>
          <w:rFonts w:ascii="Times New Roman" w:hAnsi="Times New Roman" w:eastAsia="宋体"/>
          <w:b w:val="0"/>
          <w:color w:val="000000"/>
          <w:sz w:val="24"/>
        </w:rPr>
        <w:t>：三分类读出直接包含"空闲"类。在线推理按 100 ms 节拍持续输出 E1f 融合概率，因果平滑 + argmax 给出窗级判定；空闲判别即三分类 argmax 命中空闲类，配合专用 Rest 试次段（4 s）构成显式的空闲状态监督样本。</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监测层（双头辅助）</w:t>
      </w:r>
      <w:r>
        <w:rPr>
          <w:rFonts w:ascii="Times New Roman" w:hAnsi="Times New Roman" w:eastAsia="宋体"/>
          <w:b w:val="0"/>
          <w:color w:val="000000"/>
          <w:sz w:val="24"/>
        </w:rPr>
        <w:t>：Task 二分类头独立输出"任务概率"，与单通道运动皮层 ERD 偏侧化指标（对侧 ERD 幅值与 laterality 指数，见伪在线实验 07 的 H1 门控定义：对侧 ERD ≤ −15 且 laterality ≥ 8）共同构成全状态监测，用于会话质量门控与无效试次标记；τ 阈值串行门控保留为离线旁路与部署可选策略。</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会话层（安全机制）</w:t>
      </w:r>
      <w:r>
        <w:rPr>
          <w:rFonts w:ascii="Times New Roman" w:hAnsi="Times New Roman" w:eastAsia="宋体"/>
          <w:b w:val="0"/>
          <w:color w:val="000000"/>
          <w:sz w:val="24"/>
        </w:rPr>
        <w:t xml:space="preserve">：采集/游戏会话内设置质量门控（heldout 会话窗级 </w:t>
      </w:r>
      <w:r>
        <w:rPr>
          <w:rFonts w:ascii="Times New Roman" w:hAnsi="Times New Roman" w:eastAsia="宋体"/>
          <w:b/>
          <w:color w:val="000000"/>
          <w:sz w:val="24"/>
        </w:rPr>
        <w:t>raw</w:t>
      </w:r>
      <w:r>
        <w:rPr>
          <w:rFonts w:ascii="Times New Roman" w:hAnsi="Times New Roman" w:eastAsia="宋体"/>
          <w:b w:val="0"/>
          <w:color w:val="000000"/>
          <w:sz w:val="24"/>
        </w:rPr>
        <w:t xml:space="preserve"> 准确率判定 PASS/FAIL，展示用因果平滑），FAIL 时告警落盘（</w:t>
      </w:r>
      <w:r>
        <w:rPr>
          <w:rFonts w:ascii="Consolas" w:hAnsi="Consolas" w:eastAsia="Consolas"/>
          <w:b w:val="0"/>
          <w:color w:val="000000"/>
          <w:sz w:val="21"/>
        </w:rPr>
        <w:t>force_promote_warning.json</w:t>
      </w:r>
      <w:r>
        <w:rPr>
          <w:rFonts w:ascii="Times New Roman" w:hAnsi="Times New Roman" w:eastAsia="宋体"/>
          <w:b w:val="0"/>
          <w:color w:val="000000"/>
          <w:sz w:val="24"/>
        </w:rPr>
        <w:t xml:space="preserve">）并强制晋升，保证异常被显式记录而非静默吸收；EEG 断流看门狗（停滞 2 s 告警 / </w:t>
      </w:r>
      <w:r>
        <w:rPr>
          <w:rFonts w:ascii="Times New Roman" w:hAnsi="Times New Roman" w:eastAsia="宋体"/>
          <w:b/>
          <w:color w:val="000000"/>
          <w:sz w:val="24"/>
        </w:rPr>
        <w:t>5 s 中止</w:t>
      </w:r>
      <w:r>
        <w:rPr>
          <w:rFonts w:ascii="Times New Roman" w:hAnsi="Times New Roman" w:eastAsia="宋体"/>
          <w:b w:val="0"/>
          <w:color w:val="000000"/>
          <w:sz w:val="24"/>
        </w:rPr>
        <w:t>）保护采集完整性；游戏侧另有无效试次计分判定与连续无效触发会话熔断降级机制（v2 遗产，保留为保护路径），确保用户从控制状态回到空闲状态时系统行为安全可预期。</w:t>
      </w:r>
      <w:r>
        <w:rPr>
          <w:rFonts w:ascii="Times New Roman" w:hAnsi="Times New Roman" w:eastAsia="宋体"/>
          <w:b w:val="0"/>
          <w:color w:val="000000"/>
          <w:sz w:val="24"/>
        </w:rPr>
        <w:t xml:space="preserve">· </w:t>
      </w:r>
    </w:p>
    <w:p>
      <w:pPr>
        <w:pStyle w:val="Heading2"/>
        <w:spacing w:line="312" w:lineRule="auto" w:before="200" w:after="160"/>
      </w:pPr>
      <w:r>
        <w:rPr>
          <w:rFonts w:ascii="Times New Roman" w:hAnsi="Times New Roman" w:eastAsia="黑体"/>
          <w:b/>
          <w:color w:val="000000"/>
          <w:sz w:val="30"/>
        </w:rPr>
        <w:t>6.2 判定时延</w:t>
      </w:r>
    </w:p>
    <w:p>
      <w:pPr>
        <w:spacing w:line="312" w:lineRule="auto" w:before="0" w:after="120"/>
        <w:ind w:firstLine="480"/>
        <w:jc w:val="both"/>
      </w:pPr>
      <w:r>
        <w:rPr>
          <w:rFonts w:ascii="Times New Roman" w:hAnsi="Times New Roman" w:eastAsia="宋体"/>
          <w:b w:val="0"/>
          <w:color w:val="000000"/>
          <w:sz w:val="24"/>
        </w:rPr>
        <w:t>判定延迟由窗口时程主导：3 s 窗 + 100 ms 步进下，C 臂平均判定时刻 t̄≈3.50 s（自 Cue 起），W 臂全窗多数票 t̄=4.00 s；算法单窗前向增量耗时 1.11 ms（RTX 5070 实测，见 §9.6），远小于窗步进节拍，满足实时性要求。</w:t>
      </w:r>
    </w:p>
    <w:p>
      <w:pPr>
        <w:pStyle w:val="Heading1"/>
        <w:spacing w:line="312" w:lineRule="auto" w:before="280" w:after="160"/>
        <w:jc w:val="center"/>
      </w:pPr>
      <w:r>
        <w:rPr>
          <w:rFonts w:ascii="Times New Roman" w:hAnsi="Times New Roman" w:eastAsia="黑体"/>
          <w:b/>
          <w:color w:val="000000"/>
          <w:sz w:val="32"/>
        </w:rPr>
        <w:t>7. 少样本个性化适配</w:t>
      </w:r>
    </w:p>
    <w:p>
      <w:pPr>
        <w:pStyle w:val="Heading2"/>
        <w:spacing w:line="312" w:lineRule="auto" w:before="200" w:after="160"/>
      </w:pPr>
      <w:r>
        <w:rPr>
          <w:rFonts w:ascii="Times New Roman" w:hAnsi="Times New Roman" w:eastAsia="黑体"/>
          <w:b/>
          <w:color w:val="000000"/>
          <w:sz w:val="30"/>
        </w:rPr>
        <w:t>7.1 采后 Leave-Next 增量微调</w:t>
      </w:r>
    </w:p>
    <w:p>
      <w:pPr>
        <w:spacing w:line="312" w:lineRule="auto" w:before="0" w:after="120"/>
        <w:ind w:firstLine="480"/>
        <w:jc w:val="both"/>
      </w:pPr>
      <w:r>
        <w:rPr>
          <w:rFonts w:ascii="Times New Roman" w:hAnsi="Times New Roman" w:eastAsia="宋体"/>
          <w:b w:val="0"/>
          <w:color w:val="000000"/>
          <w:sz w:val="24"/>
        </w:rPr>
        <w:t>新用户不需要专门的标定会话：每完成一个采集/游戏会话，即以"已完成会话为训练集、下一会话为 heldout 评测"执行一轮增量微调（Leave-Next），机制如下：</w:t>
      </w:r>
    </w:p>
    <w:p>
      <w:pPr>
        <w:spacing w:line="312" w:lineRule="auto" w:before="0" w:after="120"/>
        <w:ind w:left="480"/>
        <w:jc w:val="both"/>
      </w:pPr>
      <w:r>
        <w:rPr>
          <w:rFonts w:ascii="Times New Roman" w:hAnsi="Times New Roman" w:eastAsia="宋体"/>
          <w:b/>
          <w:color w:val="000000"/>
          <w:sz w:val="24"/>
        </w:rPr>
        <w:t>微调范围 all4</w:t>
      </w:r>
      <w:r>
        <w:rPr>
          <w:rFonts w:ascii="Times New Roman" w:hAnsi="Times New Roman" w:eastAsia="宋体"/>
          <w:b w:val="0"/>
          <w:color w:val="000000"/>
          <w:sz w:val="24"/>
        </w:rPr>
        <w:t>：四成员各自增量微调（非仅 shallow 单成员），门控 FAIL 可警告后强制晋升（默认开启）；</w:t>
      </w:r>
    </w:p>
    <w:p>
      <w:pPr>
        <w:spacing w:line="312" w:lineRule="auto" w:before="0" w:after="120"/>
        <w:ind w:left="480"/>
        <w:jc w:val="both"/>
      </w:pPr>
      <w:r>
        <w:rPr>
          <w:rFonts w:ascii="Times New Roman" w:hAnsi="Times New Roman" w:eastAsia="宋体"/>
          <w:b/>
          <w:color w:val="000000"/>
          <w:sz w:val="24"/>
        </w:rPr>
        <w:t>源域回放</w:t>
      </w:r>
      <w:r>
        <w:rPr>
          <w:rFonts w:ascii="Times New Roman" w:hAnsi="Times New Roman" w:eastAsia="宋体"/>
          <w:b w:val="0"/>
          <w:color w:val="000000"/>
          <w:sz w:val="24"/>
        </w:rPr>
        <w:t>：混入 10% OpenBMI 源域窗防灾难性遗忘；</w:t>
      </w:r>
    </w:p>
    <w:p>
      <w:pPr>
        <w:spacing w:line="312" w:lineRule="auto" w:before="0" w:after="120"/>
        <w:ind w:left="480"/>
        <w:jc w:val="both"/>
      </w:pPr>
      <w:r>
        <w:rPr>
          <w:rFonts w:ascii="Times New Roman" w:hAnsi="Times New Roman" w:eastAsia="宋体"/>
          <w:b/>
          <w:color w:val="000000"/>
          <w:sz w:val="24"/>
        </w:rPr>
        <w:t>轮级批量更新</w:t>
      </w:r>
      <w:r>
        <w:rPr>
          <w:rFonts w:ascii="Times New Roman" w:hAnsi="Times New Roman" w:eastAsia="宋体"/>
          <w:b w:val="0"/>
          <w:color w:val="000000"/>
          <w:sz w:val="24"/>
        </w:rPr>
        <w:t>：以会话为界批量执行，而非逐试次超小批更新，梯度更稳定、回放可按类配比；</w:t>
      </w:r>
    </w:p>
    <w:p>
      <w:pPr>
        <w:spacing w:line="312" w:lineRule="auto" w:before="0" w:after="120"/>
        <w:ind w:left="480"/>
        <w:jc w:val="both"/>
      </w:pPr>
      <w:r>
        <w:rPr>
          <w:rFonts w:ascii="Times New Roman" w:hAnsi="Times New Roman" w:eastAsia="宋体"/>
          <w:b/>
          <w:color w:val="000000"/>
          <w:sz w:val="24"/>
        </w:rPr>
        <w:t>权重落盘</w:t>
      </w:r>
      <w:r>
        <w:rPr>
          <w:rFonts w:ascii="Times New Roman" w:hAnsi="Times New Roman" w:eastAsia="宋体"/>
          <w:b w:val="0"/>
          <w:color w:val="000000"/>
          <w:sz w:val="24"/>
        </w:rPr>
        <w:t xml:space="preserve">：个体模型写入 </w:t>
      </w:r>
      <w:r>
        <w:rPr>
          <w:rFonts w:ascii="Consolas" w:hAnsi="Consolas" w:eastAsia="Consolas"/>
          <w:b w:val="0"/>
          <w:color w:val="000000"/>
          <w:sz w:val="21"/>
        </w:rPr>
        <w:t>subjects/*/models/current</w:t>
      </w:r>
      <w:r>
        <w:rPr>
          <w:rFonts w:ascii="Times New Roman" w:hAnsi="Times New Roman" w:eastAsia="宋体"/>
          <w:b w:val="0"/>
          <w:color w:val="000000"/>
          <w:sz w:val="24"/>
        </w:rPr>
        <w:t xml:space="preserve">（含 </w:t>
      </w:r>
      <w:r>
        <w:rPr>
          <w:rFonts w:ascii="Consolas" w:hAnsi="Consolas" w:eastAsia="Consolas"/>
          <w:b w:val="0"/>
          <w:color w:val="000000"/>
          <w:sz w:val="21"/>
        </w:rPr>
        <w:t>members/</w:t>
      </w:r>
      <w:r>
        <w:rPr>
          <w:rFonts w:ascii="Times New Roman" w:hAnsi="Times New Roman" w:eastAsia="宋体"/>
          <w:b w:val="0"/>
          <w:color w:val="000000"/>
          <w:sz w:val="24"/>
        </w:rPr>
        <w:t xml:space="preserve"> 与 </w:t>
      </w:r>
      <w:r>
        <w:rPr>
          <w:rFonts w:ascii="Consolas" w:hAnsi="Consolas" w:eastAsia="Consolas"/>
          <w:b w:val="0"/>
          <w:color w:val="000000"/>
          <w:sz w:val="21"/>
        </w:rPr>
        <w:t>e1f_overlay.json</w:t>
      </w:r>
      <w:r>
        <w:rPr>
          <w:rFonts w:ascii="Times New Roman" w:hAnsi="Times New Roman" w:eastAsia="宋体"/>
          <w:b w:val="0"/>
          <w:color w:val="000000"/>
          <w:sz w:val="24"/>
        </w:rPr>
        <w:t>），历史快照归档可审计。</w:t>
      </w:r>
    </w:p>
    <w:p>
      <w:pPr>
        <w:pStyle w:val="Heading2"/>
        <w:spacing w:line="312" w:lineRule="auto" w:before="200" w:after="160"/>
      </w:pPr>
      <w:r>
        <w:rPr>
          <w:rFonts w:ascii="Times New Roman" w:hAnsi="Times New Roman" w:eastAsia="黑体"/>
          <w:b/>
          <w:color w:val="000000"/>
          <w:sz w:val="30"/>
        </w:rPr>
        <w:t>7.2 适配有效性证据链</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color w:val="000000"/>
                <w:sz w:val="21"/>
              </w:rPr>
              <w:t>实验</w:t>
            </w:r>
          </w:p>
        </w:tc>
        <w:tc>
          <w:tcPr>
            <w:tcW w:type="dxa" w:w="2902"/>
            <w:shd w:val="clear" w:fill="D9E2F3"/>
          </w:tcPr>
          <w:p>
            <w:pPr>
              <w:spacing w:line="276" w:lineRule="auto"/>
              <w:jc w:val="center"/>
            </w:pPr>
            <w:r>
              <w:rPr>
                <w:rFonts w:ascii="Times New Roman" w:hAnsi="Times New Roman" w:eastAsia="宋体"/>
                <w:b/>
                <w:color w:val="000000"/>
                <w:sz w:val="21"/>
              </w:rPr>
              <w:t>设计</w:t>
            </w:r>
          </w:p>
        </w:tc>
        <w:tc>
          <w:tcPr>
            <w:tcW w:type="dxa" w:w="2902"/>
            <w:shd w:val="clear" w:fill="D9E2F3"/>
          </w:tcPr>
          <w:p>
            <w:pPr>
              <w:spacing w:line="276" w:lineRule="auto"/>
              <w:jc w:val="center"/>
            </w:pPr>
            <w:r>
              <w:rPr>
                <w:rFonts w:ascii="Times New Roman" w:hAnsi="Times New Roman" w:eastAsia="宋体"/>
                <w:b/>
                <w:color w:val="000000"/>
                <w:sz w:val="21"/>
              </w:rPr>
              <w:t>关键结果</w:t>
            </w:r>
          </w:p>
        </w:tc>
      </w:tr>
      <w:tr>
        <w:trPr>
          <w:cantSplit/>
        </w:trPr>
        <w:tc>
          <w:tcPr>
            <w:tcW w:type="dxa" w:w="2902"/>
          </w:tcPr>
          <w:p>
            <w:pPr>
              <w:spacing w:line="276" w:lineRule="auto"/>
              <w:jc w:val="left"/>
            </w:pPr>
            <w:r>
              <w:rPr>
                <w:rFonts w:ascii="Times New Roman" w:hAnsi="Times New Roman" w:eastAsia="宋体"/>
                <w:b w:val="0"/>
                <w:color w:val="000000"/>
                <w:sz w:val="21"/>
              </w:rPr>
              <w:t>实验 07（Stieger 24 人伪在线）</w:t>
            </w:r>
          </w:p>
        </w:tc>
        <w:tc>
          <w:tcPr>
            <w:tcW w:type="dxa" w:w="2902"/>
          </w:tcPr>
          <w:p>
            <w:pPr>
              <w:spacing w:line="276" w:lineRule="auto"/>
              <w:jc w:val="left"/>
            </w:pPr>
            <w:r>
              <w:rPr>
                <w:rFonts w:ascii="Times New Roman" w:hAnsi="Times New Roman" w:eastAsia="宋体"/>
                <w:b w:val="0"/>
                <w:color w:val="000000"/>
                <w:sz w:val="21"/>
              </w:rPr>
              <w:t>前半会话训练、后半评测</w:t>
            </w:r>
          </w:p>
        </w:tc>
        <w:tc>
          <w:tcPr>
            <w:tcW w:type="dxa" w:w="2902"/>
          </w:tcPr>
          <w:p>
            <w:pPr>
              <w:spacing w:line="276" w:lineRule="auto"/>
              <w:jc w:val="left"/>
            </w:pPr>
            <w:r>
              <w:rPr>
                <w:rFonts w:ascii="Times New Roman" w:hAnsi="Times New Roman" w:eastAsia="宋体"/>
                <w:b w:val="0"/>
                <w:color w:val="000000"/>
                <w:sz w:val="21"/>
              </w:rPr>
              <w:t xml:space="preserve">零样本 41.98% → 少样本 FT </w:t>
            </w:r>
            <w:r>
              <w:rPr>
                <w:rFonts w:ascii="Times New Roman" w:hAnsi="Times New Roman" w:eastAsia="宋体"/>
                <w:b/>
                <w:color w:val="000000"/>
                <w:sz w:val="21"/>
              </w:rPr>
              <w:t>65.90%</w:t>
            </w:r>
            <w:r>
              <w:rPr>
                <w:rFonts w:ascii="Times New Roman" w:hAnsi="Times New Roman" w:eastAsia="宋体"/>
                <w:b w:val="0"/>
                <w:color w:val="000000"/>
                <w:sz w:val="21"/>
              </w:rPr>
              <w:t xml:space="preserve">（24/24 被试提升）→ FT+生理门控 </w:t>
            </w:r>
            <w:r>
              <w:rPr>
                <w:rFonts w:ascii="Times New Roman" w:hAnsi="Times New Roman" w:eastAsia="宋体"/>
                <w:b/>
                <w:color w:val="000000"/>
                <w:sz w:val="21"/>
              </w:rPr>
              <w:t>70.03%</w:t>
            </w:r>
          </w:p>
        </w:tc>
      </w:tr>
      <w:tr>
        <w:trPr>
          <w:cantSplit/>
        </w:trPr>
        <w:tc>
          <w:tcPr>
            <w:tcW w:type="dxa" w:w="2902"/>
          </w:tcPr>
          <w:p>
            <w:pPr>
              <w:spacing w:line="276" w:lineRule="auto"/>
              <w:jc w:val="left"/>
            </w:pPr>
            <w:r>
              <w:rPr>
                <w:rFonts w:ascii="Times New Roman" w:hAnsi="Times New Roman" w:eastAsia="宋体"/>
                <w:b w:val="0"/>
                <w:color w:val="000000"/>
                <w:sz w:val="21"/>
              </w:rPr>
              <w:t>实验 09（OTTA 消融）</w:t>
            </w:r>
          </w:p>
        </w:tc>
        <w:tc>
          <w:tcPr>
            <w:tcW w:type="dxa" w:w="2902"/>
          </w:tcPr>
          <w:p>
            <w:pPr>
              <w:spacing w:line="276" w:lineRule="auto"/>
              <w:jc w:val="left"/>
            </w:pPr>
            <w:r>
              <w:rPr>
                <w:rFonts w:ascii="Times New Roman" w:hAnsi="Times New Roman" w:eastAsia="宋体"/>
                <w:b w:val="0"/>
                <w:color w:val="000000"/>
                <w:sz w:val="21"/>
              </w:rPr>
              <w:t>EA/AdaBN 测试时适配</w:t>
            </w:r>
          </w:p>
        </w:tc>
        <w:tc>
          <w:tcPr>
            <w:tcW w:type="dxa" w:w="2902"/>
          </w:tcPr>
          <w:p>
            <w:pPr>
              <w:spacing w:line="276" w:lineRule="auto"/>
              <w:jc w:val="left"/>
            </w:pPr>
            <w:r>
              <w:rPr>
                <w:rFonts w:ascii="Times New Roman" w:hAnsi="Times New Roman" w:eastAsia="宋体"/>
                <w:b w:val="0"/>
                <w:color w:val="000000"/>
                <w:sz w:val="21"/>
              </w:rPr>
              <w:t>全部阴性（EA ≈ 0，微调后 EA+AdaBN 最多 −11 pp）→ 权重级适配是个体精度的唯一有效来源</w:t>
            </w:r>
          </w:p>
        </w:tc>
      </w:tr>
      <w:tr>
        <w:trPr>
          <w:cantSplit/>
        </w:trPr>
        <w:tc>
          <w:tcPr>
            <w:tcW w:type="dxa" w:w="2902"/>
          </w:tcPr>
          <w:p>
            <w:pPr>
              <w:spacing w:line="276" w:lineRule="auto"/>
              <w:jc w:val="left"/>
            </w:pPr>
            <w:r>
              <w:rPr>
                <w:rFonts w:ascii="Times New Roman" w:hAnsi="Times New Roman" w:eastAsia="宋体"/>
                <w:b w:val="0"/>
                <w:color w:val="000000"/>
                <w:sz w:val="21"/>
              </w:rPr>
              <w:t>实验 32（BCI2a Leave-Next 仿真）</w:t>
            </w:r>
          </w:p>
        </w:tc>
        <w:tc>
          <w:tcPr>
            <w:tcW w:type="dxa" w:w="2902"/>
          </w:tcPr>
          <w:p>
            <w:pPr>
              <w:spacing w:line="276" w:lineRule="auto"/>
              <w:jc w:val="left"/>
            </w:pPr>
            <w:r>
              <w:rPr>
                <w:rFonts w:ascii="Times New Roman" w:hAnsi="Times New Roman" w:eastAsia="宋体"/>
                <w:b w:val="0"/>
                <w:color w:val="000000"/>
                <w:sz w:val="21"/>
              </w:rPr>
              <w:t>9 人 × 6 轮采后微调（stamp=</w:t>
            </w:r>
            <w:r>
              <w:rPr>
                <w:rFonts w:ascii="Consolas" w:hAnsi="Consolas" w:eastAsia="Consolas"/>
                <w:b w:val="0"/>
                <w:color w:val="000000"/>
                <w:sz w:val="18"/>
              </w:rPr>
              <w:t>20260901_124502</w:t>
            </w:r>
            <w:r>
              <w:rPr>
                <w:rFonts w:ascii="Times New Roman" w:hAnsi="Times New Roman" w:eastAsia="宋体"/>
                <w:b w:val="0"/>
                <w:color w:val="000000"/>
                <w:sz w:val="21"/>
              </w:rPr>
              <w:t>）</w:t>
            </w:r>
          </w:p>
        </w:tc>
        <w:tc>
          <w:tcPr>
            <w:tcW w:type="dxa" w:w="2902"/>
          </w:tcPr>
          <w:p>
            <w:pPr>
              <w:spacing w:line="276" w:lineRule="auto"/>
              <w:jc w:val="left"/>
            </w:pPr>
            <w:r>
              <w:rPr>
                <w:rFonts w:ascii="Times New Roman" w:hAnsi="Times New Roman" w:eastAsia="宋体"/>
                <w:b w:val="0"/>
                <w:color w:val="000000"/>
                <w:sz w:val="21"/>
              </w:rPr>
              <w:t xml:space="preserve">末档 all4 </w:t>
            </w:r>
            <w:r>
              <w:rPr>
                <w:rFonts w:ascii="Times New Roman" w:hAnsi="Times New Roman" w:eastAsia="宋体"/>
                <w:b/>
                <w:color w:val="000000"/>
                <w:sz w:val="21"/>
              </w:rPr>
              <w:t>66.3%</w:t>
            </w:r>
            <w:r>
              <w:rPr>
                <w:rFonts w:ascii="Times New Roman" w:hAnsi="Times New Roman" w:eastAsia="宋体"/>
                <w:b w:val="0"/>
                <w:color w:val="000000"/>
                <w:sz w:val="21"/>
              </w:rPr>
              <w:t xml:space="preserve"> vs 单成员 so </w:t>
            </w:r>
            <w:r>
              <w:rPr>
                <w:rFonts w:ascii="Times New Roman" w:hAnsi="Times New Roman" w:eastAsia="宋体"/>
                <w:b/>
                <w:color w:val="000000"/>
                <w:sz w:val="21"/>
              </w:rPr>
              <w:t>45.2%</w:t>
            </w:r>
            <w:r>
              <w:rPr>
                <w:rFonts w:ascii="Times New Roman" w:hAnsi="Times New Roman" w:eastAsia="宋体"/>
                <w:b w:val="0"/>
                <w:color w:val="000000"/>
                <w:sz w:val="21"/>
              </w:rPr>
              <w:t>（Δ+21.1 pp）；零样本 33.8%；门控 PASS（strict）S/so/all4 = 29/32/29 /45</w:t>
            </w:r>
          </w:p>
        </w:tc>
      </w:tr>
      <w:tr>
        <w:trPr>
          <w:cantSplit/>
        </w:trPr>
        <w:tc>
          <w:tcPr>
            <w:tcW w:type="dxa" w:w="2902"/>
          </w:tcPr>
          <w:p>
            <w:pPr>
              <w:spacing w:line="276" w:lineRule="auto"/>
              <w:jc w:val="left"/>
            </w:pPr>
            <w:r>
              <w:rPr>
                <w:rFonts w:ascii="Times New Roman" w:hAnsi="Times New Roman" w:eastAsia="宋体"/>
                <w:b w:val="0"/>
                <w:color w:val="000000"/>
                <w:sz w:val="21"/>
              </w:rPr>
              <w:t>实验 33 + Leave-Next all4 全表（真实被试）</w:t>
            </w:r>
          </w:p>
        </w:tc>
        <w:tc>
          <w:tcPr>
            <w:tcW w:type="dxa" w:w="2902"/>
          </w:tcPr>
          <w:p>
            <w:pPr>
              <w:spacing w:line="276" w:lineRule="auto"/>
              <w:jc w:val="left"/>
            </w:pPr>
            <w:r>
              <w:rPr>
                <w:rFonts w:ascii="Times New Roman" w:hAnsi="Times New Roman" w:eastAsia="宋体"/>
                <w:b w:val="0"/>
                <w:color w:val="000000"/>
                <w:sz w:val="21"/>
              </w:rPr>
              <w:t>10 名 v3 被试（含 ytl0901）</w:t>
            </w:r>
          </w:p>
        </w:tc>
        <w:tc>
          <w:tcPr>
            <w:tcW w:type="dxa" w:w="2902"/>
          </w:tcPr>
          <w:p>
            <w:pPr>
              <w:spacing w:line="276" w:lineRule="auto"/>
              <w:jc w:val="left"/>
            </w:pPr>
            <w:r>
              <w:rPr>
                <w:rFonts w:ascii="Times New Roman" w:hAnsi="Times New Roman" w:eastAsia="宋体"/>
                <w:b w:val="0"/>
                <w:color w:val="000000"/>
                <w:sz w:val="21"/>
              </w:rPr>
              <w:t xml:space="preserve">最优个体 syj0828 末档窗级 </w:t>
            </w:r>
            <w:r>
              <w:rPr>
                <w:rFonts w:ascii="Times New Roman" w:hAnsi="Times New Roman" w:eastAsia="宋体"/>
                <w:b/>
                <w:color w:val="000000"/>
                <w:sz w:val="21"/>
              </w:rPr>
              <w:t>92.4%</w:t>
            </w:r>
            <w:r>
              <w:rPr>
                <w:rFonts w:ascii="Times New Roman" w:hAnsi="Times New Roman" w:eastAsia="宋体"/>
                <w:b w:val="0"/>
                <w:color w:val="000000"/>
                <w:sz w:val="21"/>
              </w:rPr>
              <w:t xml:space="preserve">（F5 41.5/45，MI 33/36）；门控合计 </w:t>
            </w:r>
            <w:r>
              <w:rPr>
                <w:rFonts w:ascii="Times New Roman" w:hAnsi="Times New Roman" w:eastAsia="宋体"/>
                <w:b/>
                <w:color w:val="000000"/>
                <w:sz w:val="21"/>
              </w:rPr>
              <w:t>20/50 PASS</w:t>
            </w:r>
            <w:r>
              <w:rPr>
                <w:rFonts w:ascii="Times New Roman" w:hAnsi="Times New Roman" w:eastAsia="宋体"/>
                <w:b w:val="0"/>
                <w:color w:val="000000"/>
                <w:sz w:val="21"/>
              </w:rPr>
              <w:t>；all4 较 so 平均 ΔMI +54.2 pp（实验 33）</w:t>
            </w:r>
          </w:p>
        </w:tc>
      </w:tr>
    </w:tbl>
    <w:p>
      <w:pPr>
        <w:spacing w:after="60"/>
      </w:pPr>
    </w:p>
    <w:p>
      <w:pPr>
        <w:spacing w:line="312" w:lineRule="auto" w:before="0" w:after="120"/>
        <w:ind w:firstLine="480"/>
        <w:jc w:val="both"/>
      </w:pPr>
      <w:r>
        <w:rPr>
          <w:rFonts w:ascii="Times New Roman" w:hAnsi="Times New Roman" w:eastAsia="宋体"/>
          <w:b w:val="0"/>
          <w:color w:val="000000"/>
          <w:sz w:val="24"/>
        </w:rPr>
        <w:t>个体间差异大（末档窗级约 0.35–0.92）恰是少样本个性化适配必要性的直接证据：零样本底座不足以覆盖全部用户，而采后微调在绝大多数个体上带来大幅增益。</w:t>
      </w:r>
    </w:p>
    <w:p>
      <w:pPr>
        <w:pStyle w:val="Heading2"/>
        <w:spacing w:line="312" w:lineRule="auto" w:before="200" w:after="160"/>
      </w:pPr>
      <w:r>
        <w:rPr>
          <w:rFonts w:ascii="Times New Roman" w:hAnsi="Times New Roman" w:eastAsia="黑体"/>
          <w:b/>
          <w:color w:val="000000"/>
          <w:sz w:val="30"/>
        </w:rPr>
        <w:t>7.3 漂移保护</w:t>
      </w:r>
    </w:p>
    <w:p>
      <w:pPr>
        <w:spacing w:line="312" w:lineRule="auto" w:before="0" w:after="120"/>
        <w:ind w:firstLine="480"/>
        <w:jc w:val="both"/>
      </w:pPr>
      <w:r>
        <w:rPr>
          <w:rFonts w:ascii="Times New Roman" w:hAnsi="Times New Roman" w:eastAsia="宋体"/>
          <w:b w:val="0"/>
          <w:color w:val="000000"/>
          <w:sz w:val="24"/>
        </w:rPr>
        <w:t>每轮微调前自动存档权重；质量门控连续不通过时先回滚上一权重并降低学习率，再次触发则冻结在线更新、游戏照常运行（配置化，现场不可改）。该机制与强制晋升告警共同构成适配安全网。</w:t>
      </w:r>
    </w:p>
    <w:p>
      <w:pPr>
        <w:pStyle w:val="Heading1"/>
        <w:spacing w:line="312" w:lineRule="auto" w:before="280" w:after="160"/>
        <w:jc w:val="center"/>
      </w:pPr>
      <w:r>
        <w:rPr>
          <w:rFonts w:ascii="Times New Roman" w:hAnsi="Times New Roman" w:eastAsia="黑体"/>
          <w:b/>
          <w:color w:val="000000"/>
          <w:sz w:val="32"/>
        </w:rPr>
        <w:t>8. 网页游戏诱导系统</w:t>
      </w:r>
    </w:p>
    <w:p>
      <w:pPr>
        <w:pStyle w:val="Heading2"/>
        <w:spacing w:line="312" w:lineRule="auto" w:before="200" w:after="160"/>
      </w:pPr>
      <w:r>
        <w:rPr>
          <w:rFonts w:ascii="Times New Roman" w:hAnsi="Times New Roman" w:eastAsia="黑体"/>
          <w:b/>
          <w:color w:val="000000"/>
          <w:sz w:val="30"/>
        </w:rPr>
        <w:t>8.1 游戏化诱导（v3 采集板块）</w:t>
      </w:r>
    </w:p>
    <w:p>
      <w:pPr>
        <w:spacing w:line="312" w:lineRule="auto" w:before="0" w:after="120"/>
        <w:ind w:firstLine="480"/>
        <w:jc w:val="both"/>
      </w:pPr>
      <w:r>
        <w:rPr>
          <w:rFonts w:ascii="Times New Roman" w:hAnsi="Times New Roman" w:eastAsia="宋体"/>
          <w:b w:val="0"/>
          <w:color w:val="000000"/>
          <w:sz w:val="24"/>
        </w:rPr>
        <w:t>系统以轻量网页（HTML/JS + Three.js + WebSocket）实现第一人称运动想象诱导：被试屏呈现虚拟双手与桌面目标物（杯子/瓶子/苹果等；默认每 2 试次换物、每 10 试次换场景主题），Cue 阶段 HUD 同步给出「左手/右手抓握××」动觉引导语，正式想象段双手可见，被试按提示执行运动想象。</w:t>
      </w:r>
    </w:p>
    <w:p>
      <w:pPr>
        <w:spacing w:line="312" w:lineRule="auto" w:before="0" w:after="120"/>
        <w:ind w:firstLine="480"/>
        <w:jc w:val="both"/>
      </w:pPr>
      <w:r>
        <w:rPr>
          <w:rFonts w:ascii="Times New Roman" w:hAnsi="Times New Roman" w:eastAsia="宋体"/>
          <w:b w:val="0"/>
          <w:color w:val="000000"/>
          <w:sz w:val="24"/>
        </w:rPr>
        <w:t xml:space="preserve">正式采集板块为 </w:t>
      </w:r>
      <w:r>
        <w:rPr>
          <w:rFonts w:ascii="Times New Roman" w:hAnsi="Times New Roman" w:eastAsia="宋体"/>
          <w:b/>
          <w:color w:val="000000"/>
          <w:sz w:val="24"/>
        </w:rPr>
        <w:t>v3 探针会话</w:t>
      </w:r>
      <w:r>
        <w:rPr>
          <w:rFonts w:ascii="Times New Roman" w:hAnsi="Times New Roman" w:eastAsia="宋体"/>
          <w:b w:val="0"/>
          <w:color w:val="000000"/>
          <w:sz w:val="24"/>
        </w:rPr>
        <w:t>（</w:t>
      </w:r>
      <w:r>
        <w:rPr>
          <w:rFonts w:ascii="Consolas" w:hAnsi="Consolas" w:eastAsia="Consolas"/>
          <w:b w:val="0"/>
          <w:color w:val="000000"/>
          <w:sz w:val="21"/>
        </w:rPr>
        <w:t>phase_mode=v3_session</w:t>
      </w:r>
      <w:r>
        <w:rPr>
          <w:rFonts w:ascii="Times New Roman" w:hAnsi="Times New Roman" w:eastAsia="宋体"/>
          <w:b w:val="0"/>
          <w:color w:val="000000"/>
          <w:sz w:val="24"/>
        </w:rPr>
        <w:t xml:space="preserve">，配置权威源 </w:t>
      </w:r>
      <w:r>
        <w:rPr>
          <w:rFonts w:ascii="Consolas" w:hAnsi="Consolas" w:eastAsia="Consolas"/>
          <w:b w:val="0"/>
          <w:color w:val="000000"/>
          <w:sz w:val="21"/>
        </w:rPr>
        <w:t>v3_session.yaml</w:t>
      </w:r>
      <w:r>
        <w:rPr>
          <w:rFonts w:ascii="Times New Roman" w:hAnsi="Times New Roman" w:eastAsia="宋体"/>
          <w:b w:val="0"/>
          <w:color w:val="000000"/>
          <w:sz w:val="24"/>
        </w:rPr>
        <w:t>）：</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项</w:t>
            </w:r>
          </w:p>
        </w:tc>
        <w:tc>
          <w:tcPr>
            <w:tcW w:type="dxa" w:w="4353"/>
            <w:shd w:val="clear" w:fill="D9E2F3"/>
          </w:tcPr>
          <w:p>
            <w:pPr>
              <w:spacing w:line="276" w:lineRule="auto"/>
              <w:jc w:val="center"/>
            </w:pPr>
            <w:r>
              <w:rPr>
                <w:rFonts w:ascii="Times New Roman" w:hAnsi="Times New Roman" w:eastAsia="宋体"/>
                <w:b/>
                <w:color w:val="000000"/>
                <w:sz w:val="21"/>
              </w:rPr>
              <w:t>规格</w:t>
            </w:r>
          </w:p>
        </w:tc>
      </w:tr>
      <w:tr>
        <w:trPr>
          <w:cantSplit/>
        </w:trPr>
        <w:tc>
          <w:tcPr>
            <w:tcW w:type="dxa" w:w="4353"/>
          </w:tcPr>
          <w:p>
            <w:pPr>
              <w:spacing w:line="276" w:lineRule="auto"/>
              <w:jc w:val="left"/>
            </w:pPr>
            <w:r>
              <w:rPr>
                <w:rFonts w:ascii="Times New Roman" w:hAnsi="Times New Roman" w:eastAsia="宋体"/>
                <w:b w:val="0"/>
                <w:color w:val="000000"/>
                <w:sz w:val="21"/>
              </w:rPr>
              <w:t>会话结构</w:t>
            </w:r>
          </w:p>
        </w:tc>
        <w:tc>
          <w:tcPr>
            <w:tcW w:type="dxa" w:w="4353"/>
          </w:tcPr>
          <w:p>
            <w:pPr>
              <w:spacing w:line="276" w:lineRule="auto"/>
              <w:jc w:val="left"/>
            </w:pPr>
            <w:r>
              <w:rPr>
                <w:rFonts w:ascii="Times New Roman" w:hAnsi="Times New Roman" w:eastAsia="宋体"/>
                <w:b/>
                <w:color w:val="000000"/>
                <w:sz w:val="21"/>
              </w:rPr>
              <w:t>2 块 × 18 试次 = 36 试次</w:t>
            </w:r>
            <w:r>
              <w:rPr>
                <w:rFonts w:ascii="Times New Roman" w:hAnsi="Times New Roman" w:eastAsia="宋体"/>
                <w:b w:val="0"/>
                <w:color w:val="000000"/>
                <w:sz w:val="21"/>
              </w:rPr>
              <w:t>（块内 Left/Right 均衡）；开场静息基线 30 s；块间休息 30 s</w:t>
            </w:r>
          </w:p>
        </w:tc>
      </w:tr>
      <w:tr>
        <w:trPr>
          <w:cantSplit/>
        </w:trPr>
        <w:tc>
          <w:tcPr>
            <w:tcW w:type="dxa" w:w="4353"/>
          </w:tcPr>
          <w:p>
            <w:pPr>
              <w:spacing w:line="276" w:lineRule="auto"/>
              <w:jc w:val="left"/>
            </w:pPr>
            <w:r>
              <w:rPr>
                <w:rFonts w:ascii="Times New Roman" w:hAnsi="Times New Roman" w:eastAsia="宋体"/>
                <w:b w:val="0"/>
                <w:color w:val="000000"/>
                <w:sz w:val="21"/>
              </w:rPr>
              <w:t>单试次时序</w:t>
            </w:r>
          </w:p>
        </w:tc>
        <w:tc>
          <w:tcPr>
            <w:tcW w:type="dxa" w:w="4353"/>
          </w:tcPr>
          <w:p>
            <w:pPr>
              <w:spacing w:line="276" w:lineRule="auto"/>
              <w:jc w:val="left"/>
            </w:pPr>
            <w:r>
              <w:rPr>
                <w:rFonts w:ascii="Times New Roman" w:hAnsi="Times New Roman" w:eastAsia="宋体"/>
                <w:b w:val="0"/>
                <w:color w:val="000000"/>
                <w:sz w:val="21"/>
              </w:rPr>
              <w:t xml:space="preserve">专用 Rest </w:t>
            </w:r>
            <w:r>
              <w:rPr>
                <w:rFonts w:ascii="Times New Roman" w:hAnsi="Times New Roman" w:eastAsia="宋体"/>
                <w:b/>
                <w:color w:val="000000"/>
                <w:sz w:val="21"/>
              </w:rPr>
              <w:t>4 s</w:t>
            </w:r>
            <w:r>
              <w:rPr>
                <w:rFonts w:ascii="Times New Roman" w:hAnsi="Times New Roman" w:eastAsia="宋体"/>
                <w:b w:val="0"/>
                <w:color w:val="000000"/>
                <w:sz w:val="21"/>
              </w:rPr>
              <w:t xml:space="preserve"> → prep </w:t>
            </w:r>
            <w:r>
              <w:rPr>
                <w:rFonts w:ascii="Times New Roman" w:hAnsi="Times New Roman" w:eastAsia="宋体"/>
                <w:b/>
                <w:color w:val="000000"/>
                <w:sz w:val="21"/>
              </w:rPr>
              <w:t>2 s</w:t>
            </w:r>
            <w:r>
              <w:rPr>
                <w:rFonts w:ascii="Times New Roman" w:hAnsi="Times New Roman" w:eastAsia="宋体"/>
                <w:b w:val="0"/>
                <w:color w:val="000000"/>
                <w:sz w:val="21"/>
              </w:rPr>
              <w:t xml:space="preserve"> → Cue </w:t>
            </w:r>
            <w:r>
              <w:rPr>
                <w:rFonts w:ascii="Times New Roman" w:hAnsi="Times New Roman" w:eastAsia="宋体"/>
                <w:b/>
                <w:color w:val="000000"/>
                <w:sz w:val="21"/>
              </w:rPr>
              <w:t>1 s</w:t>
            </w:r>
            <w:r>
              <w:rPr>
                <w:rFonts w:ascii="Times New Roman" w:hAnsi="Times New Roman" w:eastAsia="宋体"/>
                <w:b w:val="0"/>
                <w:color w:val="000000"/>
                <w:sz w:val="21"/>
              </w:rPr>
              <w:t xml:space="preserve"> → MI </w:t>
            </w:r>
            <w:r>
              <w:rPr>
                <w:rFonts w:ascii="Times New Roman" w:hAnsi="Times New Roman" w:eastAsia="宋体"/>
                <w:b/>
                <w:color w:val="000000"/>
                <w:sz w:val="21"/>
              </w:rPr>
              <w:t>4 s</w:t>
            </w:r>
            <w:r>
              <w:rPr>
                <w:rFonts w:ascii="Times New Roman" w:hAnsi="Times New Roman" w:eastAsia="宋体"/>
                <w:b w:val="0"/>
                <w:color w:val="000000"/>
                <w:sz w:val="21"/>
              </w:rPr>
              <w:t xml:space="preserve"> → ITI </w:t>
            </w:r>
            <w:r>
              <w:rPr>
                <w:rFonts w:ascii="Times New Roman" w:hAnsi="Times New Roman" w:eastAsia="宋体"/>
                <w:b/>
                <w:color w:val="000000"/>
                <w:sz w:val="21"/>
              </w:rPr>
              <w:t>3 s</w:t>
            </w:r>
            <w:r>
              <w:rPr>
                <w:rFonts w:ascii="Times New Roman" w:hAnsi="Times New Roman" w:eastAsia="宋体"/>
                <w:b w:val="0"/>
                <w:color w:val="000000"/>
                <w:sz w:val="21"/>
              </w:rPr>
              <w:t>（OpenBMI-Align v1）</w:t>
            </w:r>
          </w:p>
        </w:tc>
      </w:tr>
      <w:tr>
        <w:trPr>
          <w:cantSplit/>
        </w:trPr>
        <w:tc>
          <w:tcPr>
            <w:tcW w:type="dxa" w:w="4353"/>
          </w:tcPr>
          <w:p>
            <w:pPr>
              <w:spacing w:line="276" w:lineRule="auto"/>
              <w:jc w:val="left"/>
            </w:pPr>
            <w:r>
              <w:rPr>
                <w:rFonts w:ascii="Times New Roman" w:hAnsi="Times New Roman" w:eastAsia="宋体"/>
                <w:b w:val="0"/>
                <w:color w:val="000000"/>
                <w:sz w:val="21"/>
              </w:rPr>
              <w:t>在线读出</w:t>
            </w:r>
          </w:p>
        </w:tc>
        <w:tc>
          <w:tcPr>
            <w:tcW w:type="dxa" w:w="4353"/>
          </w:tcPr>
          <w:p>
            <w:pPr>
              <w:spacing w:line="276" w:lineRule="auto"/>
              <w:jc w:val="left"/>
            </w:pPr>
            <w:r>
              <w:rPr>
                <w:rFonts w:ascii="Times New Roman" w:hAnsi="Times New Roman" w:eastAsia="宋体"/>
                <w:b w:val="0"/>
                <w:color w:val="000000"/>
                <w:sz w:val="21"/>
              </w:rPr>
              <w:t xml:space="preserve">E1f 四成员融合 → 因果平滑 lookback=2 → argmax；试次级多数票（判定窗锚定 </w:t>
            </w:r>
            <w:r>
              <w:rPr>
                <w:rFonts w:ascii="Consolas" w:hAnsi="Consolas" w:eastAsia="Consolas"/>
                <w:b w:val="0"/>
                <w:color w:val="000000"/>
                <w:sz w:val="18"/>
              </w:rPr>
              <w:t>mi_start</w:t>
            </w:r>
            <w:r>
              <w:rPr>
                <w:rFonts w:ascii="Times New Roman" w:hAnsi="Times New Roman" w:eastAsia="宋体"/>
                <w:b w:val="0"/>
                <w:color w:val="000000"/>
                <w:sz w:val="21"/>
              </w:rPr>
              <w:t>，窗尾相对 MI 3.0–4.0 s）</w:t>
            </w:r>
          </w:p>
        </w:tc>
      </w:tr>
      <w:tr>
        <w:trPr>
          <w:cantSplit/>
        </w:trPr>
        <w:tc>
          <w:tcPr>
            <w:tcW w:type="dxa" w:w="4353"/>
          </w:tcPr>
          <w:p>
            <w:pPr>
              <w:spacing w:line="276" w:lineRule="auto"/>
              <w:jc w:val="left"/>
            </w:pPr>
            <w:r>
              <w:rPr>
                <w:rFonts w:ascii="Times New Roman" w:hAnsi="Times New Roman" w:eastAsia="宋体"/>
                <w:b w:val="0"/>
                <w:color w:val="000000"/>
                <w:sz w:val="21"/>
              </w:rPr>
              <w:t>计分</w:t>
            </w:r>
          </w:p>
        </w:tc>
        <w:tc>
          <w:tcPr>
            <w:tcW w:type="dxa" w:w="4353"/>
          </w:tcPr>
          <w:p>
            <w:pPr>
              <w:spacing w:line="276" w:lineRule="auto"/>
              <w:jc w:val="left"/>
            </w:pPr>
            <w:r>
              <w:rPr>
                <w:rFonts w:ascii="Times New Roman" w:hAnsi="Times New Roman" w:eastAsia="宋体"/>
                <w:b w:val="0"/>
                <w:color w:val="000000"/>
                <w:sz w:val="21"/>
              </w:rPr>
              <w:t xml:space="preserve">MI 判对 </w:t>
            </w:r>
            <w:r>
              <w:rPr>
                <w:rFonts w:ascii="Times New Roman" w:hAnsi="Times New Roman" w:eastAsia="宋体"/>
                <w:b/>
                <w:color w:val="000000"/>
                <w:sz w:val="21"/>
              </w:rPr>
              <w:t>+1</w:t>
            </w:r>
            <w:r>
              <w:rPr>
                <w:rFonts w:ascii="Times New Roman" w:hAnsi="Times New Roman" w:eastAsia="宋体"/>
                <w:b w:val="0"/>
                <w:color w:val="000000"/>
                <w:sz w:val="21"/>
              </w:rPr>
              <w:t xml:space="preserve"> · 专用 Rest 判对 </w:t>
            </w:r>
            <w:r>
              <w:rPr>
                <w:rFonts w:ascii="Times New Roman" w:hAnsi="Times New Roman" w:eastAsia="宋体"/>
                <w:b/>
                <w:color w:val="000000"/>
                <w:sz w:val="21"/>
              </w:rPr>
              <w:t>+0.5</w:t>
            </w:r>
            <w:r>
              <w:rPr>
                <w:rFonts w:ascii="Times New Roman" w:hAnsi="Times New Roman" w:eastAsia="宋体"/>
                <w:b w:val="0"/>
                <w:color w:val="000000"/>
                <w:sz w:val="21"/>
              </w:rPr>
              <w:t xml:space="preserve"> · 满分 </w:t>
            </w:r>
            <w:r>
              <w:rPr>
                <w:rFonts w:ascii="Times New Roman" w:hAnsi="Times New Roman" w:eastAsia="宋体"/>
                <w:b/>
                <w:color w:val="000000"/>
                <w:sz w:val="21"/>
              </w:rPr>
              <w:t>54</w:t>
            </w:r>
          </w:p>
        </w:tc>
      </w:tr>
      <w:tr>
        <w:trPr>
          <w:cantSplit/>
        </w:trPr>
        <w:tc>
          <w:tcPr>
            <w:tcW w:type="dxa" w:w="4353"/>
          </w:tcPr>
          <w:p>
            <w:pPr>
              <w:spacing w:line="276" w:lineRule="auto"/>
              <w:jc w:val="left"/>
            </w:pPr>
            <w:r>
              <w:rPr>
                <w:rFonts w:ascii="Times New Roman" w:hAnsi="Times New Roman" w:eastAsia="宋体"/>
                <w:b w:val="0"/>
                <w:color w:val="000000"/>
                <w:sz w:val="21"/>
              </w:rPr>
              <w:t>权重</w:t>
            </w:r>
          </w:p>
        </w:tc>
        <w:tc>
          <w:tcPr>
            <w:tcW w:type="dxa" w:w="4353"/>
          </w:tcPr>
          <w:p>
            <w:pPr>
              <w:spacing w:line="276" w:lineRule="auto"/>
              <w:jc w:val="left"/>
            </w:pPr>
            <w:r>
              <w:rPr>
                <w:rFonts w:ascii="Times New Roman" w:hAnsi="Times New Roman" w:eastAsia="宋体"/>
                <w:b w:val="0"/>
                <w:color w:val="000000"/>
                <w:sz w:val="21"/>
              </w:rPr>
              <w:t xml:space="preserve">优先加载被试个人 </w:t>
            </w:r>
            <w:r>
              <w:rPr>
                <w:rFonts w:ascii="Consolas" w:hAnsi="Consolas" w:eastAsia="Consolas"/>
                <w:b w:val="0"/>
                <w:color w:val="000000"/>
                <w:sz w:val="18"/>
              </w:rPr>
              <w:t>models/current</w:t>
            </w:r>
            <w:r>
              <w:rPr>
                <w:rFonts w:ascii="Times New Roman" w:hAnsi="Times New Roman" w:eastAsia="宋体"/>
                <w:b w:val="0"/>
                <w:color w:val="000000"/>
                <w:sz w:val="21"/>
              </w:rPr>
              <w:t>，否则回退通用底座</w:t>
            </w:r>
          </w:p>
        </w:tc>
      </w:tr>
      <w:tr>
        <w:trPr>
          <w:cantSplit/>
        </w:trPr>
        <w:tc>
          <w:tcPr>
            <w:tcW w:type="dxa" w:w="4353"/>
          </w:tcPr>
          <w:p>
            <w:pPr>
              <w:spacing w:line="276" w:lineRule="auto"/>
              <w:jc w:val="left"/>
            </w:pPr>
            <w:r>
              <w:rPr>
                <w:rFonts w:ascii="Times New Roman" w:hAnsi="Times New Roman" w:eastAsia="宋体"/>
                <w:b w:val="0"/>
                <w:color w:val="000000"/>
                <w:sz w:val="21"/>
              </w:rPr>
              <w:t>反馈</w:t>
            </w:r>
          </w:p>
        </w:tc>
        <w:tc>
          <w:tcPr>
            <w:tcW w:type="dxa" w:w="4353"/>
          </w:tcPr>
          <w:p>
            <w:pPr>
              <w:spacing w:line="276" w:lineRule="auto"/>
              <w:jc w:val="left"/>
            </w:pPr>
            <w:r>
              <w:rPr>
                <w:rFonts w:ascii="Times New Roman" w:hAnsi="Times New Roman" w:eastAsia="宋体"/>
                <w:b w:val="0"/>
                <w:color w:val="000000"/>
                <w:sz w:val="21"/>
              </w:rPr>
              <w:t xml:space="preserve">默认 </w:t>
            </w:r>
            <w:r>
              <w:rPr>
                <w:rFonts w:ascii="Consolas" w:hAnsi="Consolas" w:eastAsia="Consolas"/>
                <w:b w:val="0"/>
                <w:color w:val="000000"/>
                <w:sz w:val="18"/>
              </w:rPr>
              <w:t>arm_reach</w:t>
            </w:r>
            <w:r>
              <w:rPr>
                <w:rFonts w:ascii="Times New Roman" w:hAnsi="Times New Roman" w:eastAsia="宋体"/>
                <w:b w:val="0"/>
                <w:color w:val="000000"/>
                <w:sz w:val="21"/>
              </w:rPr>
              <w:t>：判定相关到达/抓取动画；会话全程落盘（eeg/events/manifest）</w:t>
            </w:r>
          </w:p>
        </w:tc>
      </w:tr>
    </w:tbl>
    <w:p>
      <w:pPr>
        <w:spacing w:after="60"/>
      </w:pPr>
    </w:p>
    <w:p>
      <w:pPr>
        <w:spacing w:line="312" w:lineRule="auto" w:before="0" w:after="120"/>
        <w:ind w:firstLine="480"/>
        <w:jc w:val="both"/>
      </w:pPr>
      <w:r>
        <w:rPr>
          <w:rFonts w:ascii="Times New Roman" w:hAnsi="Times New Roman" w:eastAsia="宋体"/>
          <w:b w:val="0"/>
          <w:color w:val="000000"/>
          <w:sz w:val="24"/>
        </w:rPr>
        <w:t xml:space="preserve">会话结束后按 Leave-Next 触发采后 all4 增量微调并晋升个人模型，构成「采集 → 适配 → 再采集」闭环。另有旁路游戏测试路径（v2 · </w:t>
      </w:r>
      <w:r>
        <w:rPr>
          <w:rFonts w:ascii="Consolas" w:hAnsi="Consolas" w:eastAsia="Consolas"/>
          <w:b w:val="0"/>
          <w:color w:val="000000"/>
          <w:sz w:val="21"/>
        </w:rPr>
        <w:t>game_mode=v3_test</w:t>
      </w:r>
      <w:r>
        <w:rPr>
          <w:rFonts w:ascii="Times New Roman" w:hAnsi="Times New Roman" w:eastAsia="宋体"/>
          <w:b w:val="0"/>
          <w:color w:val="000000"/>
          <w:sz w:val="24"/>
        </w:rPr>
        <w:t>，20 试次连击计分）仅用于快速验证权重，</w:t>
      </w:r>
      <w:r>
        <w:rPr>
          <w:rFonts w:ascii="Times New Roman" w:hAnsi="Times New Roman" w:eastAsia="宋体"/>
          <w:b/>
          <w:color w:val="000000"/>
          <w:sz w:val="24"/>
        </w:rPr>
        <w:t>不以该路径作为正式采集口径</w:t>
      </w:r>
      <w:r>
        <w:rPr>
          <w:rFonts w:ascii="Times New Roman" w:hAnsi="Times New Roman" w:eastAsia="宋体"/>
          <w:b w:val="0"/>
          <w:color w:val="000000"/>
          <w:sz w:val="24"/>
        </w:rPr>
        <w:t>。</w:t>
      </w:r>
    </w:p>
    <w:p>
      <w:pPr>
        <w:pStyle w:val="Heading2"/>
        <w:spacing w:line="312" w:lineRule="auto" w:before="200" w:after="160"/>
      </w:pPr>
      <w:r>
        <w:rPr>
          <w:rFonts w:ascii="Times New Roman" w:hAnsi="Times New Roman" w:eastAsia="黑体"/>
          <w:b/>
          <w:color w:val="000000"/>
          <w:sz w:val="30"/>
        </w:rPr>
        <w:t>8.2 操作台</w:t>
      </w:r>
    </w:p>
    <w:p>
      <w:pPr>
        <w:spacing w:line="312" w:lineRule="auto" w:before="0" w:after="120"/>
        <w:ind w:firstLine="480"/>
        <w:jc w:val="both"/>
      </w:pPr>
      <w:r>
        <w:rPr>
          <w:rFonts w:ascii="Times New Roman" w:hAnsi="Times New Roman" w:eastAsia="宋体"/>
          <w:b w:val="0"/>
          <w:color w:val="000000"/>
          <w:sz w:val="24"/>
        </w:rPr>
        <w:t>操作台（operator UI）承担被试登录、会话号管理、采集启停（Cyton/合成板）、实时波形与信号质量监测、实时三分类概率显示、门控确认、暂停/Reject/中止等控制；所有操作按键化（P/N/G/R/Esc）并有审计日志。</w:t>
      </w:r>
    </w:p>
    <w:p>
      <w:pPr>
        <w:pStyle w:val="Heading2"/>
        <w:spacing w:line="312" w:lineRule="auto" w:before="200" w:after="160"/>
      </w:pPr>
      <w:r>
        <w:rPr>
          <w:rFonts w:ascii="Times New Roman" w:hAnsi="Times New Roman" w:eastAsia="黑体"/>
          <w:b/>
          <w:color w:val="000000"/>
          <w:sz w:val="30"/>
        </w:rPr>
        <w:t>8.3 工程与安全</w:t>
      </w:r>
    </w:p>
    <w:p>
      <w:pPr>
        <w:spacing w:line="312" w:lineRule="auto" w:before="0" w:after="120"/>
        <w:ind w:firstLine="480"/>
        <w:jc w:val="both"/>
      </w:pPr>
      <w:r>
        <w:rPr>
          <w:rFonts w:ascii="Times New Roman" w:hAnsi="Times New Roman" w:eastAsia="宋体"/>
          <w:b w:val="0"/>
          <w:color w:val="000000"/>
          <w:sz w:val="24"/>
        </w:rPr>
        <w:t>前后端经 WebSocket 通信，控制面带 token 鉴权，输出经 XSS 转义；会话收尾具备崩溃安全落盘；核心流水线（通道布局、原子写盘）与窗口切分均有回归测试覆盖（pytest）。</w:t>
      </w:r>
    </w:p>
    <w:p>
      <w:pPr>
        <w:pStyle w:val="Heading1"/>
        <w:spacing w:line="312" w:lineRule="auto" w:before="280" w:after="160"/>
        <w:jc w:val="center"/>
      </w:pPr>
      <w:r>
        <w:rPr>
          <w:rFonts w:ascii="Times New Roman" w:hAnsi="Times New Roman" w:eastAsia="黑体"/>
          <w:b/>
          <w:color w:val="000000"/>
          <w:sz w:val="32"/>
        </w:rPr>
        <w:t>9. 离线实验验证</w:t>
      </w:r>
    </w:p>
    <w:p>
      <w:pPr>
        <w:spacing w:line="312" w:lineRule="auto" w:before="0" w:after="120"/>
        <w:ind w:firstLine="480"/>
        <w:jc w:val="both"/>
      </w:pPr>
      <w:r>
        <w:rPr>
          <w:rFonts w:ascii="Times New Roman" w:hAnsi="Times New Roman" w:eastAsia="宋体"/>
          <w:b w:val="0"/>
          <w:color w:val="000000"/>
          <w:sz w:val="24"/>
        </w:rPr>
        <w:t>官方要求的准确率、召回率、特异性与运算延迟指标全部在《离线性能验证报告》（Excel，随附）中给出可追溯明细，本章摘要核心结果。</w:t>
      </w:r>
    </w:p>
    <w:p>
      <w:pPr>
        <w:pStyle w:val="Heading2"/>
        <w:spacing w:line="312" w:lineRule="auto" w:before="200" w:after="160"/>
      </w:pPr>
      <w:r>
        <w:rPr>
          <w:rFonts w:ascii="Times New Roman" w:hAnsi="Times New Roman" w:eastAsia="黑体"/>
          <w:b/>
          <w:color w:val="000000"/>
          <w:sz w:val="30"/>
        </w:rPr>
        <w:t>9.1 OpenBMI 主结果（54 人五折，三分类）</w:t>
      </w:r>
    </w:p>
    <w:p>
      <w:pPr>
        <w:spacing w:line="312" w:lineRule="auto" w:before="0" w:after="120"/>
        <w:ind w:firstLine="480"/>
        <w:jc w:val="both"/>
      </w:pPr>
      <w:r>
        <w:rPr>
          <w:rFonts w:ascii="Times New Roman" w:hAnsi="Times New Roman" w:eastAsia="宋体"/>
          <w:b w:val="0"/>
          <w:color w:val="000000"/>
          <w:sz w:val="24"/>
        </w:rPr>
        <w:t>被试独立五折，test 共 16,200 试次（每类 5,400）：</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1741"/>
        <w:gridCol w:w="1741"/>
        <w:gridCol w:w="1741"/>
        <w:gridCol w:w="1741"/>
        <w:gridCol w:w="1741"/>
      </w:tblGrid>
      <w:tr>
        <w:trPr>
          <w:cantSplit/>
          <w:tblHeader/>
        </w:trPr>
        <w:tc>
          <w:tcPr>
            <w:tcW w:type="dxa" w:w="1741"/>
            <w:shd w:val="clear" w:fill="D9E2F3"/>
          </w:tcPr>
          <w:p>
            <w:pPr>
              <w:spacing w:line="276" w:lineRule="auto"/>
              <w:jc w:val="center"/>
            </w:pPr>
            <w:r>
              <w:rPr>
                <w:rFonts w:ascii="Times New Roman" w:hAnsi="Times New Roman" w:eastAsia="宋体"/>
                <w:b/>
                <w:color w:val="000000"/>
                <w:sz w:val="21"/>
              </w:rPr>
              <w:t>方法</w:t>
            </w:r>
          </w:p>
        </w:tc>
        <w:tc>
          <w:tcPr>
            <w:tcW w:type="dxa" w:w="1741"/>
            <w:shd w:val="clear" w:fill="D9E2F3"/>
          </w:tcPr>
          <w:p>
            <w:pPr>
              <w:spacing w:line="276" w:lineRule="auto"/>
              <w:jc w:val="center"/>
            </w:pPr>
            <w:r>
              <w:rPr>
                <w:rFonts w:ascii="Times New Roman" w:hAnsi="Times New Roman" w:eastAsia="宋体"/>
                <w:b/>
                <w:color w:val="000000"/>
                <w:sz w:val="21"/>
              </w:rPr>
              <w:t>准确率</w:t>
            </w:r>
          </w:p>
        </w:tc>
        <w:tc>
          <w:tcPr>
            <w:tcW w:type="dxa" w:w="1741"/>
            <w:shd w:val="clear" w:fill="D9E2F3"/>
          </w:tcPr>
          <w:p>
            <w:pPr>
              <w:spacing w:line="276" w:lineRule="auto"/>
              <w:jc w:val="center"/>
            </w:pPr>
            <w:r>
              <w:rPr>
                <w:rFonts w:ascii="Times New Roman" w:hAnsi="Times New Roman" w:eastAsia="宋体"/>
                <w:b/>
                <w:color w:val="000000"/>
                <w:sz w:val="21"/>
              </w:rPr>
              <w:t>召回率 macro</w:t>
            </w:r>
          </w:p>
        </w:tc>
        <w:tc>
          <w:tcPr>
            <w:tcW w:type="dxa" w:w="1741"/>
            <w:shd w:val="clear" w:fill="D9E2F3"/>
          </w:tcPr>
          <w:p>
            <w:pPr>
              <w:spacing w:line="276" w:lineRule="auto"/>
              <w:jc w:val="center"/>
            </w:pPr>
            <w:r>
              <w:rPr>
                <w:rFonts w:ascii="Times New Roman" w:hAnsi="Times New Roman" w:eastAsia="宋体"/>
                <w:b/>
                <w:color w:val="000000"/>
                <w:sz w:val="21"/>
              </w:rPr>
              <w:t>特异性 macro</w:t>
            </w:r>
          </w:p>
        </w:tc>
        <w:tc>
          <w:tcPr>
            <w:tcW w:type="dxa" w:w="1741"/>
            <w:shd w:val="clear" w:fill="D9E2F3"/>
          </w:tcPr>
          <w:p>
            <w:pPr>
              <w:spacing w:line="276" w:lineRule="auto"/>
              <w:jc w:val="center"/>
            </w:pPr>
            <w:r>
              <w:rPr>
                <w:rFonts w:ascii="Times New Roman" w:hAnsi="Times New Roman" w:eastAsia="宋体"/>
                <w:b/>
                <w:color w:val="000000"/>
                <w:sz w:val="21"/>
              </w:rPr>
              <w:t>macro-F1</w:t>
            </w:r>
          </w:p>
        </w:tc>
      </w:tr>
      <w:tr>
        <w:trPr>
          <w:cantSplit/>
        </w:trPr>
        <w:tc>
          <w:tcPr>
            <w:tcW w:type="dxa" w:w="1741"/>
          </w:tcPr>
          <w:p>
            <w:pPr>
              <w:spacing w:line="276" w:lineRule="auto"/>
              <w:jc w:val="left"/>
            </w:pPr>
            <w:r>
              <w:rPr>
                <w:rFonts w:ascii="Times New Roman" w:hAnsi="Times New Roman" w:eastAsia="宋体"/>
                <w:b w:val="0"/>
                <w:color w:val="000000"/>
                <w:sz w:val="21"/>
              </w:rPr>
              <w:t>E1f + 因果平滑（C 臂，主结果）</w:t>
            </w:r>
          </w:p>
        </w:tc>
        <w:tc>
          <w:tcPr>
            <w:tcW w:type="dxa" w:w="1741"/>
          </w:tcPr>
          <w:p>
            <w:pPr>
              <w:spacing w:line="276" w:lineRule="auto"/>
              <w:jc w:val="left"/>
            </w:pPr>
            <w:r>
              <w:rPr>
                <w:rFonts w:ascii="Times New Roman" w:hAnsi="Times New Roman" w:eastAsia="宋体"/>
                <w:b/>
                <w:color w:val="000000"/>
                <w:sz w:val="21"/>
              </w:rPr>
              <w:t>0.6188</w:t>
            </w:r>
          </w:p>
        </w:tc>
        <w:tc>
          <w:tcPr>
            <w:tcW w:type="dxa" w:w="1741"/>
          </w:tcPr>
          <w:p>
            <w:pPr>
              <w:spacing w:line="276" w:lineRule="auto"/>
              <w:jc w:val="left"/>
            </w:pPr>
            <w:r>
              <w:rPr>
                <w:rFonts w:ascii="Times New Roman" w:hAnsi="Times New Roman" w:eastAsia="宋体"/>
                <w:b w:val="0"/>
                <w:color w:val="000000"/>
                <w:sz w:val="21"/>
              </w:rPr>
              <w:t>0.6188</w:t>
            </w:r>
          </w:p>
        </w:tc>
        <w:tc>
          <w:tcPr>
            <w:tcW w:type="dxa" w:w="1741"/>
          </w:tcPr>
          <w:p>
            <w:pPr>
              <w:spacing w:line="276" w:lineRule="auto"/>
              <w:jc w:val="left"/>
            </w:pPr>
            <w:r>
              <w:rPr>
                <w:rFonts w:ascii="Times New Roman" w:hAnsi="Times New Roman" w:eastAsia="宋体"/>
                <w:b w:val="0"/>
                <w:color w:val="000000"/>
                <w:sz w:val="21"/>
              </w:rPr>
              <w:t>0.8094</w:t>
            </w:r>
          </w:p>
        </w:tc>
        <w:tc>
          <w:tcPr>
            <w:tcW w:type="dxa" w:w="1741"/>
          </w:tcPr>
          <w:p>
            <w:pPr>
              <w:spacing w:line="276" w:lineRule="auto"/>
              <w:jc w:val="left"/>
            </w:pPr>
            <w:r>
              <w:rPr>
                <w:rFonts w:ascii="Times New Roman" w:hAnsi="Times New Roman" w:eastAsia="宋体"/>
                <w:b w:val="0"/>
                <w:color w:val="000000"/>
                <w:sz w:val="21"/>
              </w:rPr>
              <w:t>0.6196</w:t>
            </w:r>
          </w:p>
        </w:tc>
      </w:tr>
      <w:tr>
        <w:trPr>
          <w:cantSplit/>
        </w:trPr>
        <w:tc>
          <w:tcPr>
            <w:tcW w:type="dxa" w:w="1741"/>
          </w:tcPr>
          <w:p>
            <w:pPr>
              <w:spacing w:line="276" w:lineRule="auto"/>
              <w:jc w:val="left"/>
            </w:pPr>
            <w:r>
              <w:rPr>
                <w:rFonts w:ascii="Times New Roman" w:hAnsi="Times New Roman" w:eastAsia="宋体"/>
                <w:b w:val="0"/>
                <w:color w:val="000000"/>
                <w:sz w:val="21"/>
              </w:rPr>
              <w:t>E1f + 多数票（W 臂，线上读出）</w:t>
            </w:r>
          </w:p>
        </w:tc>
        <w:tc>
          <w:tcPr>
            <w:tcW w:type="dxa" w:w="1741"/>
          </w:tcPr>
          <w:p>
            <w:pPr>
              <w:spacing w:line="276" w:lineRule="auto"/>
              <w:jc w:val="left"/>
            </w:pPr>
            <w:r>
              <w:rPr>
                <w:rFonts w:ascii="Times New Roman" w:hAnsi="Times New Roman" w:eastAsia="宋体"/>
                <w:b w:val="0"/>
                <w:color w:val="000000"/>
                <w:sz w:val="21"/>
              </w:rPr>
              <w:t>0.6125</w:t>
            </w:r>
          </w:p>
        </w:tc>
        <w:tc>
          <w:tcPr>
            <w:tcW w:type="dxa" w:w="1741"/>
          </w:tcPr>
          <w:p>
            <w:pPr>
              <w:spacing w:line="276" w:lineRule="auto"/>
              <w:jc w:val="left"/>
            </w:pPr>
            <w:r>
              <w:rPr>
                <w:rFonts w:ascii="Times New Roman" w:hAnsi="Times New Roman" w:eastAsia="宋体"/>
                <w:b w:val="0"/>
                <w:color w:val="000000"/>
                <w:sz w:val="21"/>
              </w:rPr>
              <w:t>0.6125</w:t>
            </w:r>
          </w:p>
        </w:tc>
        <w:tc>
          <w:tcPr>
            <w:tcW w:type="dxa" w:w="1741"/>
          </w:tcPr>
          <w:p>
            <w:pPr>
              <w:spacing w:line="276" w:lineRule="auto"/>
              <w:jc w:val="left"/>
            </w:pPr>
            <w:r>
              <w:rPr>
                <w:rFonts w:ascii="Times New Roman" w:hAnsi="Times New Roman" w:eastAsia="宋体"/>
                <w:b w:val="0"/>
                <w:color w:val="000000"/>
                <w:sz w:val="21"/>
              </w:rPr>
              <w:t>0.8062</w:t>
            </w:r>
          </w:p>
        </w:tc>
        <w:tc>
          <w:tcPr>
            <w:tcW w:type="dxa" w:w="1741"/>
          </w:tcPr>
          <w:p>
            <w:pPr>
              <w:spacing w:line="276" w:lineRule="auto"/>
              <w:jc w:val="left"/>
            </w:pPr>
            <w:r>
              <w:rPr>
                <w:rFonts w:ascii="Times New Roman" w:hAnsi="Times New Roman" w:eastAsia="宋体"/>
                <w:b w:val="0"/>
                <w:color w:val="000000"/>
                <w:sz w:val="21"/>
              </w:rPr>
              <w:t>0.6132</w:t>
            </w:r>
          </w:p>
        </w:tc>
      </w:tr>
      <w:tr>
        <w:trPr>
          <w:cantSplit/>
        </w:trPr>
        <w:tc>
          <w:tcPr>
            <w:tcW w:type="dxa" w:w="1741"/>
          </w:tcPr>
          <w:p>
            <w:pPr>
              <w:spacing w:line="276" w:lineRule="auto"/>
              <w:jc w:val="left"/>
            </w:pPr>
            <w:r>
              <w:rPr>
                <w:rFonts w:ascii="Times New Roman" w:hAnsi="Times New Roman" w:eastAsia="宋体"/>
                <w:b w:val="0"/>
                <w:color w:val="000000"/>
                <w:sz w:val="21"/>
              </w:rPr>
              <w:t>E1f 窗级 argmax</w:t>
            </w:r>
          </w:p>
        </w:tc>
        <w:tc>
          <w:tcPr>
            <w:tcW w:type="dxa" w:w="1741"/>
          </w:tcPr>
          <w:p>
            <w:pPr>
              <w:spacing w:line="276" w:lineRule="auto"/>
              <w:jc w:val="left"/>
            </w:pPr>
            <w:r>
              <w:rPr>
                <w:rFonts w:ascii="Times New Roman" w:hAnsi="Times New Roman" w:eastAsia="宋体"/>
                <w:b w:val="0"/>
                <w:color w:val="000000"/>
                <w:sz w:val="21"/>
              </w:rPr>
              <w:t>0.5925</w:t>
            </w:r>
          </w:p>
        </w:tc>
        <w:tc>
          <w:tcPr>
            <w:tcW w:type="dxa" w:w="1741"/>
          </w:tcPr>
          <w:p>
            <w:pPr>
              <w:spacing w:line="276" w:lineRule="auto"/>
              <w:jc w:val="left"/>
            </w:pPr>
            <w:r>
              <w:rPr>
                <w:rFonts w:ascii="Times New Roman" w:hAnsi="Times New Roman" w:eastAsia="宋体"/>
                <w:b w:val="0"/>
                <w:color w:val="000000"/>
                <w:sz w:val="21"/>
              </w:rPr>
              <w:t>0.5925</w:t>
            </w:r>
          </w:p>
        </w:tc>
        <w:tc>
          <w:tcPr>
            <w:tcW w:type="dxa" w:w="1741"/>
          </w:tcPr>
          <w:p>
            <w:pPr>
              <w:spacing w:line="276" w:lineRule="auto"/>
              <w:jc w:val="left"/>
            </w:pPr>
            <w:r>
              <w:rPr>
                <w:rFonts w:ascii="Times New Roman" w:hAnsi="Times New Roman" w:eastAsia="宋体"/>
                <w:b w:val="0"/>
                <w:color w:val="000000"/>
                <w:sz w:val="21"/>
              </w:rPr>
              <w:t>0.7962</w:t>
            </w:r>
          </w:p>
        </w:tc>
        <w:tc>
          <w:tcPr>
            <w:tcW w:type="dxa" w:w="1741"/>
          </w:tcPr>
          <w:p>
            <w:pPr>
              <w:spacing w:line="276" w:lineRule="auto"/>
              <w:jc w:val="left"/>
            </w:pPr>
            <w:r>
              <w:rPr>
                <w:rFonts w:ascii="Times New Roman" w:hAnsi="Times New Roman" w:eastAsia="宋体"/>
                <w:b w:val="0"/>
                <w:color w:val="000000"/>
                <w:sz w:val="21"/>
              </w:rPr>
              <w:t>0.5930</w:t>
            </w:r>
          </w:p>
        </w:tc>
      </w:tr>
      <w:tr>
        <w:trPr>
          <w:cantSplit/>
        </w:trPr>
        <w:tc>
          <w:tcPr>
            <w:tcW w:type="dxa" w:w="1741"/>
          </w:tcPr>
          <w:p>
            <w:pPr>
              <w:spacing w:line="276" w:lineRule="auto"/>
              <w:jc w:val="left"/>
            </w:pPr>
            <w:r>
              <w:rPr>
                <w:rFonts w:ascii="Times New Roman" w:hAnsi="Times New Roman" w:eastAsia="宋体"/>
                <w:b w:val="0"/>
                <w:color w:val="000000"/>
                <w:sz w:val="21"/>
              </w:rPr>
              <w:t>Shallow 3s 单模型</w:t>
            </w:r>
          </w:p>
        </w:tc>
        <w:tc>
          <w:tcPr>
            <w:tcW w:type="dxa" w:w="1741"/>
          </w:tcPr>
          <w:p>
            <w:pPr>
              <w:spacing w:line="276" w:lineRule="auto"/>
              <w:jc w:val="left"/>
            </w:pPr>
            <w:r>
              <w:rPr>
                <w:rFonts w:ascii="Times New Roman" w:hAnsi="Times New Roman" w:eastAsia="宋体"/>
                <w:b w:val="0"/>
                <w:color w:val="000000"/>
                <w:sz w:val="21"/>
              </w:rPr>
              <w:t>0.5876±0.0296</w:t>
            </w:r>
          </w:p>
        </w:tc>
        <w:tc>
          <w:tcPr>
            <w:tcW w:type="dxa" w:w="1741"/>
          </w:tcPr>
          <w:p>
            <w:pPr>
              <w:spacing w:line="276" w:lineRule="auto"/>
              <w:jc w:val="left"/>
            </w:pPr>
            <w:r>
              <w:rPr>
                <w:rFonts w:ascii="Times New Roman" w:hAnsi="Times New Roman" w:eastAsia="宋体"/>
                <w:b w:val="0"/>
                <w:color w:val="000000"/>
                <w:sz w:val="21"/>
              </w:rPr>
              <w:t>—</w:t>
            </w:r>
          </w:p>
        </w:tc>
        <w:tc>
          <w:tcPr>
            <w:tcW w:type="dxa" w:w="1741"/>
          </w:tcPr>
          <w:p>
            <w:pPr>
              <w:spacing w:line="276" w:lineRule="auto"/>
              <w:jc w:val="left"/>
            </w:pPr>
            <w:r>
              <w:rPr>
                <w:rFonts w:ascii="Times New Roman" w:hAnsi="Times New Roman" w:eastAsia="宋体"/>
                <w:b w:val="0"/>
                <w:color w:val="000000"/>
                <w:sz w:val="21"/>
              </w:rPr>
              <w:t>—</w:t>
            </w:r>
          </w:p>
        </w:tc>
        <w:tc>
          <w:tcPr>
            <w:tcW w:type="dxa" w:w="1741"/>
          </w:tcPr>
          <w:p>
            <w:pPr>
              <w:spacing w:line="276" w:lineRule="auto"/>
              <w:jc w:val="left"/>
            </w:pPr>
            <w:r>
              <w:rPr>
                <w:rFonts w:ascii="Times New Roman" w:hAnsi="Times New Roman" w:eastAsia="宋体"/>
                <w:b w:val="0"/>
                <w:color w:val="000000"/>
                <w:sz w:val="21"/>
              </w:rPr>
              <w:t>—</w:t>
            </w:r>
          </w:p>
        </w:tc>
      </w:tr>
    </w:tbl>
    <w:p>
      <w:pPr>
        <w:spacing w:after="60"/>
      </w:pPr>
    </w:p>
    <w:p>
      <w:pPr>
        <w:spacing w:line="312" w:lineRule="auto" w:before="0" w:after="120"/>
        <w:ind w:firstLine="480"/>
        <w:jc w:val="both"/>
      </w:pPr>
      <w:r>
        <w:rPr>
          <w:rFonts w:ascii="Times New Roman" w:hAnsi="Times New Roman" w:eastAsia="宋体"/>
          <w:b w:val="0"/>
          <w:color w:val="000000"/>
          <w:sz w:val="24"/>
        </w:rPr>
        <w:t>C 臂混淆矩阵（行=真实，列=预测；窗计数，试次判定广播到窗）：</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176"/>
        <w:gridCol w:w="2176"/>
        <w:gridCol w:w="2176"/>
        <w:gridCol w:w="2176"/>
      </w:tblGrid>
      <w:tr>
        <w:trPr>
          <w:cantSplit/>
          <w:tblHeader/>
        </w:trPr>
        <w:tc>
          <w:tcPr>
            <w:tcW w:type="dxa" w:w="2176"/>
            <w:shd w:val="clear" w:fill="D9E2F3"/>
          </w:tcPr>
          <w:p>
            <w:pPr>
              <w:spacing w:line="276" w:lineRule="auto"/>
              <w:jc w:val="center"/>
            </w:pPr>
          </w:p>
        </w:tc>
        <w:tc>
          <w:tcPr>
            <w:tcW w:type="dxa" w:w="2176"/>
            <w:shd w:val="clear" w:fill="D9E2F3"/>
          </w:tcPr>
          <w:p>
            <w:pPr>
              <w:spacing w:line="276" w:lineRule="auto"/>
              <w:jc w:val="center"/>
            </w:pPr>
            <w:r>
              <w:rPr>
                <w:rFonts w:ascii="Times New Roman" w:hAnsi="Times New Roman" w:eastAsia="宋体"/>
                <w:b/>
                <w:color w:val="000000"/>
                <w:sz w:val="21"/>
              </w:rPr>
              <w:t>Rest</w:t>
            </w:r>
          </w:p>
        </w:tc>
        <w:tc>
          <w:tcPr>
            <w:tcW w:type="dxa" w:w="2176"/>
            <w:shd w:val="clear" w:fill="D9E2F3"/>
          </w:tcPr>
          <w:p>
            <w:pPr>
              <w:spacing w:line="276" w:lineRule="auto"/>
              <w:jc w:val="center"/>
            </w:pPr>
            <w:r>
              <w:rPr>
                <w:rFonts w:ascii="Times New Roman" w:hAnsi="Times New Roman" w:eastAsia="宋体"/>
                <w:b/>
                <w:color w:val="000000"/>
                <w:sz w:val="21"/>
              </w:rPr>
              <w:t>Left</w:t>
            </w:r>
          </w:p>
        </w:tc>
        <w:tc>
          <w:tcPr>
            <w:tcW w:type="dxa" w:w="2176"/>
            <w:shd w:val="clear" w:fill="D9E2F3"/>
          </w:tcPr>
          <w:p>
            <w:pPr>
              <w:spacing w:line="276" w:lineRule="auto"/>
              <w:jc w:val="center"/>
            </w:pPr>
            <w:r>
              <w:rPr>
                <w:rFonts w:ascii="Times New Roman" w:hAnsi="Times New Roman" w:eastAsia="宋体"/>
                <w:b/>
                <w:color w:val="000000"/>
                <w:sz w:val="21"/>
              </w:rPr>
              <w:t>Right</w:t>
            </w:r>
          </w:p>
        </w:tc>
      </w:tr>
      <w:tr>
        <w:trPr>
          <w:cantSplit/>
        </w:trPr>
        <w:tc>
          <w:tcPr>
            <w:tcW w:type="dxa" w:w="2176"/>
          </w:tcPr>
          <w:p>
            <w:pPr>
              <w:spacing w:line="276" w:lineRule="auto"/>
              <w:jc w:val="left"/>
            </w:pPr>
            <w:r>
              <w:rPr>
                <w:rFonts w:ascii="Times New Roman" w:hAnsi="Times New Roman" w:eastAsia="宋体"/>
                <w:b/>
                <w:color w:val="000000"/>
                <w:sz w:val="21"/>
              </w:rPr>
              <w:t>Rest</w:t>
            </w:r>
          </w:p>
        </w:tc>
        <w:tc>
          <w:tcPr>
            <w:tcW w:type="dxa" w:w="2176"/>
          </w:tcPr>
          <w:p>
            <w:pPr>
              <w:spacing w:line="276" w:lineRule="auto"/>
              <w:jc w:val="left"/>
            </w:pPr>
            <w:r>
              <w:rPr>
                <w:rFonts w:ascii="Times New Roman" w:hAnsi="Times New Roman" w:eastAsia="宋体"/>
                <w:b w:val="0"/>
                <w:color w:val="000000"/>
                <w:sz w:val="21"/>
              </w:rPr>
              <w:t>36476</w:t>
            </w:r>
          </w:p>
        </w:tc>
        <w:tc>
          <w:tcPr>
            <w:tcW w:type="dxa" w:w="2176"/>
          </w:tcPr>
          <w:p>
            <w:pPr>
              <w:spacing w:line="276" w:lineRule="auto"/>
              <w:jc w:val="left"/>
            </w:pPr>
            <w:r>
              <w:rPr>
                <w:rFonts w:ascii="Times New Roman" w:hAnsi="Times New Roman" w:eastAsia="宋体"/>
                <w:b w:val="0"/>
                <w:color w:val="000000"/>
                <w:sz w:val="21"/>
              </w:rPr>
              <w:t>12408</w:t>
            </w:r>
          </w:p>
        </w:tc>
        <w:tc>
          <w:tcPr>
            <w:tcW w:type="dxa" w:w="2176"/>
          </w:tcPr>
          <w:p>
            <w:pPr>
              <w:spacing w:line="276" w:lineRule="auto"/>
              <w:jc w:val="left"/>
            </w:pPr>
            <w:r>
              <w:rPr>
                <w:rFonts w:ascii="Times New Roman" w:hAnsi="Times New Roman" w:eastAsia="宋体"/>
                <w:b w:val="0"/>
                <w:color w:val="000000"/>
                <w:sz w:val="21"/>
              </w:rPr>
              <w:t>10516</w:t>
            </w:r>
          </w:p>
        </w:tc>
      </w:tr>
      <w:tr>
        <w:trPr>
          <w:cantSplit/>
        </w:trPr>
        <w:tc>
          <w:tcPr>
            <w:tcW w:type="dxa" w:w="2176"/>
          </w:tcPr>
          <w:p>
            <w:pPr>
              <w:spacing w:line="276" w:lineRule="auto"/>
              <w:jc w:val="left"/>
            </w:pPr>
            <w:r>
              <w:rPr>
                <w:rFonts w:ascii="Times New Roman" w:hAnsi="Times New Roman" w:eastAsia="宋体"/>
                <w:b/>
                <w:color w:val="000000"/>
                <w:sz w:val="21"/>
              </w:rPr>
              <w:t>Left</w:t>
            </w:r>
          </w:p>
        </w:tc>
        <w:tc>
          <w:tcPr>
            <w:tcW w:type="dxa" w:w="2176"/>
          </w:tcPr>
          <w:p>
            <w:pPr>
              <w:spacing w:line="276" w:lineRule="auto"/>
              <w:jc w:val="left"/>
            </w:pPr>
            <w:r>
              <w:rPr>
                <w:rFonts w:ascii="Times New Roman" w:hAnsi="Times New Roman" w:eastAsia="宋体"/>
                <w:b w:val="0"/>
                <w:color w:val="000000"/>
                <w:sz w:val="21"/>
              </w:rPr>
              <w:t>8129</w:t>
            </w:r>
          </w:p>
        </w:tc>
        <w:tc>
          <w:tcPr>
            <w:tcW w:type="dxa" w:w="2176"/>
          </w:tcPr>
          <w:p>
            <w:pPr>
              <w:spacing w:line="276" w:lineRule="auto"/>
              <w:jc w:val="left"/>
            </w:pPr>
            <w:r>
              <w:rPr>
                <w:rFonts w:ascii="Times New Roman" w:hAnsi="Times New Roman" w:eastAsia="宋体"/>
                <w:b w:val="0"/>
                <w:color w:val="000000"/>
                <w:sz w:val="21"/>
              </w:rPr>
              <w:t>38148</w:t>
            </w:r>
          </w:p>
        </w:tc>
        <w:tc>
          <w:tcPr>
            <w:tcW w:type="dxa" w:w="2176"/>
          </w:tcPr>
          <w:p>
            <w:pPr>
              <w:spacing w:line="276" w:lineRule="auto"/>
              <w:jc w:val="left"/>
            </w:pPr>
            <w:r>
              <w:rPr>
                <w:rFonts w:ascii="Times New Roman" w:hAnsi="Times New Roman" w:eastAsia="宋体"/>
                <w:b w:val="0"/>
                <w:color w:val="000000"/>
                <w:sz w:val="21"/>
              </w:rPr>
              <w:t>13123</w:t>
            </w:r>
          </w:p>
        </w:tc>
      </w:tr>
      <w:tr>
        <w:trPr>
          <w:cantSplit/>
        </w:trPr>
        <w:tc>
          <w:tcPr>
            <w:tcW w:type="dxa" w:w="2176"/>
          </w:tcPr>
          <w:p>
            <w:pPr>
              <w:spacing w:line="276" w:lineRule="auto"/>
              <w:jc w:val="left"/>
            </w:pPr>
            <w:r>
              <w:rPr>
                <w:rFonts w:ascii="Times New Roman" w:hAnsi="Times New Roman" w:eastAsia="宋体"/>
                <w:b/>
                <w:color w:val="000000"/>
                <w:sz w:val="21"/>
              </w:rPr>
              <w:t>Right</w:t>
            </w:r>
          </w:p>
        </w:tc>
        <w:tc>
          <w:tcPr>
            <w:tcW w:type="dxa" w:w="2176"/>
          </w:tcPr>
          <w:p>
            <w:pPr>
              <w:spacing w:line="276" w:lineRule="auto"/>
              <w:jc w:val="left"/>
            </w:pPr>
            <w:r>
              <w:rPr>
                <w:rFonts w:ascii="Times New Roman" w:hAnsi="Times New Roman" w:eastAsia="宋体"/>
                <w:b w:val="0"/>
                <w:color w:val="000000"/>
                <w:sz w:val="21"/>
              </w:rPr>
              <w:t>7986</w:t>
            </w:r>
          </w:p>
        </w:tc>
        <w:tc>
          <w:tcPr>
            <w:tcW w:type="dxa" w:w="2176"/>
          </w:tcPr>
          <w:p>
            <w:pPr>
              <w:spacing w:line="276" w:lineRule="auto"/>
              <w:jc w:val="left"/>
            </w:pPr>
            <w:r>
              <w:rPr>
                <w:rFonts w:ascii="Times New Roman" w:hAnsi="Times New Roman" w:eastAsia="宋体"/>
                <w:b w:val="0"/>
                <w:color w:val="000000"/>
                <w:sz w:val="21"/>
              </w:rPr>
              <w:t>15774</w:t>
            </w:r>
          </w:p>
        </w:tc>
        <w:tc>
          <w:tcPr>
            <w:tcW w:type="dxa" w:w="2176"/>
          </w:tcPr>
          <w:p>
            <w:pPr>
              <w:spacing w:line="276" w:lineRule="auto"/>
              <w:jc w:val="left"/>
            </w:pPr>
            <w:r>
              <w:rPr>
                <w:rFonts w:ascii="Times New Roman" w:hAnsi="Times New Roman" w:eastAsia="宋体"/>
                <w:b w:val="0"/>
                <w:color w:val="000000"/>
                <w:sz w:val="21"/>
              </w:rPr>
              <w:t>35640</w:t>
            </w:r>
          </w:p>
        </w:tc>
      </w:tr>
    </w:tbl>
    <w:p>
      <w:pPr>
        <w:spacing w:after="60"/>
      </w:pPr>
    </w:p>
    <w:p>
      <w:pPr>
        <w:spacing w:line="312" w:lineRule="auto" w:before="0" w:after="120"/>
        <w:ind w:firstLine="480"/>
        <w:jc w:val="both"/>
      </w:pPr>
      <w:r>
        <w:rPr>
          <w:rFonts w:ascii="Times New Roman" w:hAnsi="Times New Roman" w:eastAsia="宋体"/>
          <w:b w:val="0"/>
          <w:color w:val="000000"/>
          <w:sz w:val="24"/>
        </w:rPr>
        <w:t>每类召回率：空闲 61.41%、左手 64.22%、右手 60.00%；每类特异性：空闲 86.44%、左手 76.28%、右手 80.10%。左右混淆主要发生在左-右之间（13,123/15,774），空闲-任务边界混淆相对更低，符合运动想象解码的一般规律。</w:t>
      </w:r>
    </w:p>
    <w:p>
      <w:pPr>
        <w:pStyle w:val="Heading2"/>
        <w:spacing w:line="312" w:lineRule="auto" w:before="200" w:after="160"/>
      </w:pPr>
      <w:r>
        <w:rPr>
          <w:rFonts w:ascii="Times New Roman" w:hAnsi="Times New Roman" w:eastAsia="黑体"/>
          <w:b/>
          <w:color w:val="000000"/>
          <w:sz w:val="30"/>
        </w:rPr>
        <w:t>9.2 基线与消融</w:t>
      </w:r>
    </w:p>
    <w:p>
      <w:pPr>
        <w:spacing w:line="312" w:lineRule="auto" w:before="0" w:after="120"/>
        <w:ind w:firstLine="480"/>
        <w:jc w:val="both"/>
      </w:pPr>
      <w:r>
        <w:rPr>
          <w:rFonts w:ascii="Times New Roman" w:hAnsi="Times New Roman" w:eastAsia="宋体"/>
          <w:b w:val="0"/>
          <w:color w:val="000000"/>
          <w:sz w:val="24"/>
        </w:rPr>
        <w:t>11 模型统一协议对比（§5.1）表明三分类下 Shallow 系最优；机制消融（oracle 未来信息上界 −0.15 pp、OTTA 全阴性、模块类增强全阴性）确认增益来源为"更长窗口 + 校准集成 + 权重级适配"。全部明细见 Excel 报告 sheet 02/03/04。</w:t>
      </w:r>
    </w:p>
    <w:p>
      <w:pPr>
        <w:pStyle w:val="Heading2"/>
        <w:spacing w:line="312" w:lineRule="auto" w:before="200" w:after="160"/>
      </w:pPr>
      <w:r>
        <w:rPr>
          <w:rFonts w:ascii="Times New Roman" w:hAnsi="Times New Roman" w:eastAsia="黑体"/>
          <w:b/>
          <w:color w:val="000000"/>
          <w:sz w:val="30"/>
        </w:rPr>
        <w:t>9.3 BCI2a Leave-Next 仿真</w:t>
      </w:r>
    </w:p>
    <w:p>
      <w:pPr>
        <w:spacing w:line="312" w:lineRule="auto" w:before="0" w:after="120"/>
        <w:ind w:firstLine="480"/>
        <w:jc w:val="both"/>
      </w:pPr>
      <w:r>
        <w:rPr>
          <w:rFonts w:ascii="Times New Roman" w:hAnsi="Times New Roman" w:eastAsia="宋体"/>
          <w:b w:val="0"/>
          <w:color w:val="000000"/>
          <w:sz w:val="24"/>
        </w:rPr>
        <w:t>9 名被试各 6 轮采后微调仿真（stamp=</w:t>
      </w:r>
      <w:r>
        <w:rPr>
          <w:rFonts w:ascii="Consolas" w:hAnsi="Consolas" w:eastAsia="Consolas"/>
          <w:b w:val="0"/>
          <w:color w:val="000000"/>
          <w:sz w:val="21"/>
        </w:rPr>
        <w:t>20260901_124502</w:t>
      </w:r>
      <w:r>
        <w:rPr>
          <w:rFonts w:ascii="Times New Roman" w:hAnsi="Times New Roman" w:eastAsia="宋体"/>
          <w:b w:val="0"/>
          <w:color w:val="000000"/>
          <w:sz w:val="24"/>
        </w:rPr>
        <w:t xml:space="preserve">，当前方法复跑），末档（R5）九人 μ±σ：all4 force </w:t>
      </w:r>
      <w:r>
        <w:rPr>
          <w:rFonts w:ascii="Times New Roman" w:hAnsi="Times New Roman" w:eastAsia="宋体"/>
          <w:b/>
          <w:color w:val="000000"/>
          <w:sz w:val="24"/>
        </w:rPr>
        <w:t>0.663±0.067</w:t>
      </w:r>
      <w:r>
        <w:rPr>
          <w:rFonts w:ascii="Times New Roman" w:hAnsi="Times New Roman" w:eastAsia="宋体"/>
          <w:b w:val="0"/>
          <w:color w:val="000000"/>
          <w:sz w:val="24"/>
        </w:rPr>
        <w:t xml:space="preserve"> vs 单成员 so force </w:t>
      </w:r>
      <w:r>
        <w:rPr>
          <w:rFonts w:ascii="Times New Roman" w:hAnsi="Times New Roman" w:eastAsia="宋体"/>
          <w:b/>
          <w:color w:val="000000"/>
          <w:sz w:val="24"/>
        </w:rPr>
        <w:t>0.452±0.047</w:t>
      </w:r>
      <w:r>
        <w:rPr>
          <w:rFonts w:ascii="Times New Roman" w:hAnsi="Times New Roman" w:eastAsia="宋体"/>
          <w:b w:val="0"/>
          <w:color w:val="000000"/>
          <w:sz w:val="24"/>
        </w:rPr>
        <w:t xml:space="preserve">（Δ+0.211），零样本 R0 0.338；all4 在 9 人中 </w:t>
      </w:r>
      <w:r>
        <w:rPr>
          <w:rFonts w:ascii="Times New Roman" w:hAnsi="Times New Roman" w:eastAsia="宋体"/>
          <w:b/>
          <w:color w:val="000000"/>
          <w:sz w:val="24"/>
        </w:rPr>
        <w:t>7</w:t>
      </w:r>
      <w:r>
        <w:rPr>
          <w:rFonts w:ascii="Times New Roman" w:hAnsi="Times New Roman" w:eastAsia="宋体"/>
          <w:b w:val="0"/>
          <w:color w:val="000000"/>
          <w:sz w:val="24"/>
        </w:rPr>
        <w:t xml:space="preserve"> 人 ≥0.62，最大个体 A09 </w:t>
      </w:r>
      <w:r>
        <w:rPr>
          <w:rFonts w:ascii="Times New Roman" w:hAnsi="Times New Roman" w:eastAsia="宋体"/>
          <w:b/>
          <w:color w:val="000000"/>
          <w:sz w:val="24"/>
        </w:rPr>
        <w:t>0.756</w:t>
      </w:r>
      <w:r>
        <w:rPr>
          <w:rFonts w:ascii="Times New Roman" w:hAnsi="Times New Roman" w:eastAsia="宋体"/>
          <w:b w:val="0"/>
          <w:color w:val="000000"/>
          <w:sz w:val="24"/>
        </w:rPr>
        <w:t xml:space="preserve">。逐被试与逐轮明细见 Excel sheet 03；与旧跑 </w:t>
      </w:r>
      <w:r>
        <w:rPr>
          <w:rFonts w:ascii="Consolas" w:hAnsi="Consolas" w:eastAsia="Consolas"/>
          <w:b w:val="0"/>
          <w:color w:val="000000"/>
          <w:sz w:val="21"/>
        </w:rPr>
        <w:t>20260829_235900</w:t>
      </w:r>
      <w:r>
        <w:rPr>
          <w:rFonts w:ascii="Times New Roman" w:hAnsi="Times New Roman" w:eastAsia="宋体"/>
          <w:b w:val="0"/>
          <w:color w:val="000000"/>
          <w:sz w:val="24"/>
        </w:rPr>
        <w:t xml:space="preserve"> 末档均值差约 ±1 pp，主结论稳定。</w:t>
      </w:r>
    </w:p>
    <w:p>
      <w:pPr>
        <w:pStyle w:val="Heading2"/>
        <w:spacing w:line="312" w:lineRule="auto" w:before="200" w:after="160"/>
      </w:pPr>
      <w:r>
        <w:rPr>
          <w:rFonts w:ascii="Times New Roman" w:hAnsi="Times New Roman" w:eastAsia="黑体"/>
          <w:b/>
          <w:color w:val="000000"/>
          <w:sz w:val="30"/>
        </w:rPr>
        <w:t>9.4 Stieger 跨库伪在线</w:t>
      </w:r>
    </w:p>
    <w:p>
      <w:pPr>
        <w:spacing w:line="312" w:lineRule="auto" w:before="0" w:after="120"/>
        <w:ind w:firstLine="480"/>
        <w:jc w:val="both"/>
      </w:pPr>
      <w:r>
        <w:rPr>
          <w:rFonts w:ascii="Times New Roman" w:hAnsi="Times New Roman" w:eastAsia="宋体"/>
          <w:b w:val="0"/>
          <w:color w:val="000000"/>
          <w:sz w:val="24"/>
        </w:rPr>
        <w:t>24 人跨库伪在线：零样本 0.4198±0.0585 → 前半少样本微调 0.6590±0.0929（24/24 被试提升 ≥3 pp）→ 加生理门控 H1 0.7003±0.0869（弃权率 59.3%）。证明跨域部署必须个体化微调，门控可在微调基础上进一步叠加收益。</w:t>
      </w:r>
    </w:p>
    <w:p>
      <w:pPr>
        <w:pStyle w:val="Heading2"/>
        <w:spacing w:line="312" w:lineRule="auto" w:before="200" w:after="160"/>
      </w:pPr>
      <w:r>
        <w:rPr>
          <w:rFonts w:ascii="Times New Roman" w:hAnsi="Times New Roman" w:eastAsia="黑体"/>
          <w:b/>
          <w:color w:val="000000"/>
          <w:sz w:val="30"/>
        </w:rPr>
        <w:t>9.5 真实被试验证</w:t>
      </w:r>
    </w:p>
    <w:p>
      <w:pPr>
        <w:spacing w:line="312" w:lineRule="auto" w:before="0" w:after="120"/>
        <w:ind w:firstLine="480"/>
        <w:jc w:val="both"/>
      </w:pPr>
      <w:r>
        <w:rPr>
          <w:rFonts w:ascii="Times New Roman" w:hAnsi="Times New Roman" w:eastAsia="宋体"/>
          <w:b w:val="0"/>
          <w:color w:val="000000"/>
          <w:sz w:val="24"/>
        </w:rPr>
        <w:t xml:space="preserve">10 名 v3 范式被试 Leave-Next all4 全表（口径方案 A，报告 </w:t>
      </w:r>
      <w:r>
        <w:rPr>
          <w:rFonts w:ascii="Consolas" w:hAnsi="Consolas" w:eastAsia="Consolas"/>
          <w:b w:val="0"/>
          <w:color w:val="000000"/>
          <w:sz w:val="21"/>
        </w:rPr>
        <w:t>leave_next_all4_full_report_20260831_233943</w:t>
      </w:r>
      <w:r>
        <w:rPr>
          <w:rFonts w:ascii="Times New Roman" w:hAnsi="Times New Roman" w:eastAsia="宋体"/>
          <w:b w:val="0"/>
          <w:color w:val="000000"/>
          <w:sz w:val="24"/>
        </w:rPr>
        <w:t xml:space="preserve">，含 2026-09-01 被试 ytl0901）：最优个体 </w:t>
      </w:r>
      <w:r>
        <w:rPr>
          <w:rFonts w:ascii="Times New Roman" w:hAnsi="Times New Roman" w:eastAsia="宋体"/>
          <w:b/>
          <w:color w:val="000000"/>
          <w:sz w:val="24"/>
        </w:rPr>
        <w:t>syj0828</w:t>
      </w:r>
      <w:r>
        <w:rPr>
          <w:rFonts w:ascii="Times New Roman" w:hAnsi="Times New Roman" w:eastAsia="宋体"/>
          <w:b w:val="0"/>
          <w:color w:val="000000"/>
          <w:sz w:val="24"/>
        </w:rPr>
        <w:t xml:space="preserve"> 末档窗级 smooth </w:t>
      </w:r>
      <w:r>
        <w:rPr>
          <w:rFonts w:ascii="Times New Roman" w:hAnsi="Times New Roman" w:eastAsia="宋体"/>
          <w:b/>
          <w:color w:val="000000"/>
          <w:sz w:val="24"/>
        </w:rPr>
        <w:t>0.924</w:t>
      </w:r>
      <w:r>
        <w:rPr>
          <w:rFonts w:ascii="Times New Roman" w:hAnsi="Times New Roman" w:eastAsia="宋体"/>
          <w:b w:val="0"/>
          <w:color w:val="000000"/>
          <w:sz w:val="24"/>
        </w:rPr>
        <w:t xml:space="preserve">（F5 41.5/45，MI 33/36、Rest 17/18，门控 </w:t>
      </w:r>
      <w:r>
        <w:rPr>
          <w:rFonts w:ascii="Times New Roman" w:hAnsi="Times New Roman" w:eastAsia="宋体"/>
          <w:b/>
          <w:color w:val="000000"/>
          <w:sz w:val="24"/>
        </w:rPr>
        <w:t>5/5 PASS</w:t>
      </w:r>
      <w:r>
        <w:rPr>
          <w:rFonts w:ascii="Times New Roman" w:hAnsi="Times New Roman" w:eastAsia="宋体"/>
          <w:b w:val="0"/>
          <w:color w:val="000000"/>
          <w:sz w:val="24"/>
        </w:rPr>
        <w:t xml:space="preserve">）；全表门控 </w:t>
      </w:r>
      <w:r>
        <w:rPr>
          <w:rFonts w:ascii="Times New Roman" w:hAnsi="Times New Roman" w:eastAsia="宋体"/>
          <w:b/>
          <w:color w:val="000000"/>
          <w:sz w:val="24"/>
        </w:rPr>
        <w:t>20/50 PASS</w:t>
      </w:r>
      <w:r>
        <w:rPr>
          <w:rFonts w:ascii="Times New Roman" w:hAnsi="Times New Roman" w:eastAsia="宋体"/>
          <w:b w:val="0"/>
          <w:color w:val="000000"/>
          <w:sz w:val="24"/>
        </w:rPr>
        <w:t>；末档窗级约 0.35–0.92。全部明细见 Excel sheet 05。</w:t>
      </w:r>
    </w:p>
    <w:p>
      <w:pPr>
        <w:pStyle w:val="Heading2"/>
        <w:spacing w:line="312" w:lineRule="auto" w:before="200" w:after="160"/>
      </w:pPr>
      <w:r>
        <w:rPr>
          <w:rFonts w:ascii="Times New Roman" w:hAnsi="Times New Roman" w:eastAsia="黑体"/>
          <w:b/>
          <w:color w:val="000000"/>
          <w:sz w:val="30"/>
        </w:rPr>
        <w:t>9.6 运算延迟</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指标</w:t>
            </w:r>
          </w:p>
        </w:tc>
        <w:tc>
          <w:tcPr>
            <w:tcW w:type="dxa" w:w="4353"/>
            <w:shd w:val="clear" w:fill="D9E2F3"/>
          </w:tcPr>
          <w:p>
            <w:pPr>
              <w:spacing w:line="276" w:lineRule="auto"/>
              <w:jc w:val="center"/>
            </w:pPr>
            <w:r>
              <w:rPr>
                <w:rFonts w:ascii="Times New Roman" w:hAnsi="Times New Roman" w:eastAsia="宋体"/>
                <w:b/>
                <w:color w:val="000000"/>
                <w:sz w:val="21"/>
              </w:rPr>
              <w:t>数值</w:t>
            </w:r>
          </w:p>
        </w:tc>
      </w:tr>
      <w:tr>
        <w:trPr>
          <w:cantSplit/>
        </w:trPr>
        <w:tc>
          <w:tcPr>
            <w:tcW w:type="dxa" w:w="4353"/>
          </w:tcPr>
          <w:p>
            <w:pPr>
              <w:spacing w:line="276" w:lineRule="auto"/>
              <w:jc w:val="left"/>
            </w:pPr>
            <w:r>
              <w:rPr>
                <w:rFonts w:ascii="Times New Roman" w:hAnsi="Times New Roman" w:eastAsia="宋体"/>
                <w:b w:val="0"/>
                <w:color w:val="000000"/>
                <w:sz w:val="21"/>
              </w:rPr>
              <w:t>单窗前向增量耗时（RTX 5070，macro 均值）</w:t>
            </w:r>
          </w:p>
        </w:tc>
        <w:tc>
          <w:tcPr>
            <w:tcW w:type="dxa" w:w="4353"/>
          </w:tcPr>
          <w:p>
            <w:pPr>
              <w:spacing w:line="276" w:lineRule="auto"/>
              <w:jc w:val="left"/>
            </w:pPr>
            <w:r>
              <w:rPr>
                <w:rFonts w:ascii="Times New Roman" w:hAnsi="Times New Roman" w:eastAsia="宋体"/>
                <w:b w:val="0"/>
                <w:color w:val="000000"/>
                <w:sz w:val="21"/>
              </w:rPr>
              <w:t>1.11 ms</w:t>
            </w:r>
          </w:p>
        </w:tc>
      </w:tr>
      <w:tr>
        <w:trPr>
          <w:cantSplit/>
        </w:trPr>
        <w:tc>
          <w:tcPr>
            <w:tcW w:type="dxa" w:w="4353"/>
          </w:tcPr>
          <w:p>
            <w:pPr>
              <w:spacing w:line="276" w:lineRule="auto"/>
              <w:jc w:val="left"/>
            </w:pPr>
            <w:r>
              <w:rPr>
                <w:rFonts w:ascii="Times New Roman" w:hAnsi="Times New Roman" w:eastAsia="宋体"/>
                <w:b w:val="0"/>
                <w:color w:val="000000"/>
                <w:sz w:val="21"/>
              </w:rPr>
              <w:t>判定延迟 t̄（C 臂 / W 臂，自 Cue 起）</w:t>
            </w:r>
          </w:p>
        </w:tc>
        <w:tc>
          <w:tcPr>
            <w:tcW w:type="dxa" w:w="4353"/>
          </w:tcPr>
          <w:p>
            <w:pPr>
              <w:spacing w:line="276" w:lineRule="auto"/>
              <w:jc w:val="left"/>
            </w:pPr>
            <w:r>
              <w:rPr>
                <w:rFonts w:ascii="Times New Roman" w:hAnsi="Times New Roman" w:eastAsia="宋体"/>
                <w:b w:val="0"/>
                <w:color w:val="000000"/>
                <w:sz w:val="21"/>
              </w:rPr>
              <w:t>3.50 s / 4.00 s</w:t>
            </w:r>
          </w:p>
        </w:tc>
      </w:tr>
      <w:tr>
        <w:trPr>
          <w:cantSplit/>
        </w:trPr>
        <w:tc>
          <w:tcPr>
            <w:tcW w:type="dxa" w:w="4353"/>
          </w:tcPr>
          <w:p>
            <w:pPr>
              <w:spacing w:line="276" w:lineRule="auto"/>
              <w:jc w:val="left"/>
            </w:pPr>
            <w:r>
              <w:rPr>
                <w:rFonts w:ascii="Times New Roman" w:hAnsi="Times New Roman" w:eastAsia="宋体"/>
                <w:b w:val="0"/>
                <w:color w:val="000000"/>
                <w:sz w:val="21"/>
              </w:rPr>
              <w:t>在线判定节拍（窗步长）</w:t>
            </w:r>
          </w:p>
        </w:tc>
        <w:tc>
          <w:tcPr>
            <w:tcW w:type="dxa" w:w="4353"/>
          </w:tcPr>
          <w:p>
            <w:pPr>
              <w:spacing w:line="276" w:lineRule="auto"/>
              <w:jc w:val="left"/>
            </w:pPr>
            <w:r>
              <w:rPr>
                <w:rFonts w:ascii="Times New Roman" w:hAnsi="Times New Roman" w:eastAsia="宋体"/>
                <w:b w:val="0"/>
                <w:color w:val="000000"/>
                <w:sz w:val="21"/>
              </w:rPr>
              <w:t>100 ms</w:t>
            </w:r>
          </w:p>
        </w:tc>
      </w:tr>
    </w:tbl>
    <w:p>
      <w:pPr>
        <w:spacing w:after="60"/>
      </w:pPr>
    </w:p>
    <w:p>
      <w:pPr>
        <w:spacing w:line="312" w:lineRule="auto" w:before="0" w:after="120"/>
        <w:ind w:firstLine="480"/>
        <w:jc w:val="both"/>
      </w:pPr>
      <w:r>
        <w:rPr>
          <w:rFonts w:ascii="Times New Roman" w:hAnsi="Times New Roman" w:eastAsia="宋体"/>
          <w:b w:val="0"/>
          <w:color w:val="000000"/>
          <w:sz w:val="24"/>
        </w:rPr>
        <w:t>模型约 17 k 参数，四成员融合为概率级加权，开销与单成员同量级；端到端延迟由窗口时程主导，满足交互节拍要求。</w:t>
      </w:r>
    </w:p>
    <w:p>
      <w:pPr>
        <w:pStyle w:val="Heading2"/>
        <w:spacing w:line="312" w:lineRule="auto" w:before="200" w:after="160"/>
      </w:pPr>
      <w:r>
        <w:rPr>
          <w:rFonts w:ascii="Times New Roman" w:hAnsi="Times New Roman" w:eastAsia="黑体"/>
          <w:b/>
          <w:color w:val="000000"/>
          <w:sz w:val="30"/>
        </w:rPr>
        <w:t>9.7 主办方指定标准数据集（Challenge MI · Exp34–40）</w:t>
      </w:r>
    </w:p>
    <w:p>
      <w:pPr>
        <w:spacing w:line="312" w:lineRule="auto" w:before="0" w:after="120"/>
        <w:ind w:firstLine="480"/>
        <w:jc w:val="both"/>
      </w:pPr>
      <w:r>
        <w:rPr>
          <w:rFonts w:ascii="Times New Roman" w:hAnsi="Times New Roman" w:eastAsia="宋体"/>
          <w:b/>
          <w:color w:val="000000"/>
          <w:sz w:val="24"/>
        </w:rPr>
        <w:t>交卷口径</w:t>
      </w:r>
      <w:r>
        <w:rPr>
          <w:rFonts w:ascii="Times New Roman" w:hAnsi="Times New Roman" w:eastAsia="宋体"/>
          <w:b w:val="0"/>
          <w:color w:val="000000"/>
          <w:sz w:val="24"/>
        </w:rPr>
        <w:t xml:space="preserve">：指定集提交 </w:t>
      </w:r>
      <w:r>
        <w:rPr>
          <w:rFonts w:ascii="Times New Roman" w:hAnsi="Times New Roman" w:eastAsia="宋体"/>
          <w:b/>
          <w:color w:val="000000"/>
          <w:sz w:val="24"/>
        </w:rPr>
        <w:t>59ch 从零 E1f-A59（S0）</w:t>
      </w:r>
      <w:r>
        <w:rPr>
          <w:rFonts w:ascii="Times New Roman" w:hAnsi="Times New Roman" w:eastAsia="宋体"/>
          <w:b w:val="0"/>
          <w:color w:val="000000"/>
          <w:sz w:val="24"/>
        </w:rPr>
        <w:t>。OpenBMI 预训练用于系统底座与公开库主结果，</w:t>
      </w:r>
      <w:r>
        <w:rPr>
          <w:rFonts w:ascii="Times New Roman" w:hAnsi="Times New Roman" w:eastAsia="宋体"/>
          <w:b/>
          <w:color w:val="000000"/>
          <w:sz w:val="24"/>
        </w:rPr>
        <w:t>不是</w:t>
      </w:r>
      <w:r>
        <w:rPr>
          <w:rFonts w:ascii="Times New Roman" w:hAnsi="Times New Roman" w:eastAsia="宋体"/>
          <w:b w:val="0"/>
          <w:color w:val="000000"/>
          <w:sz w:val="24"/>
        </w:rPr>
        <w:t>指定集交卷依赖。备选 OpenBMI→8ch FT（R-B8）已完整登记并归档。</w:t>
      </w:r>
    </w:p>
    <w:p>
      <w:pPr>
        <w:spacing w:line="312" w:lineRule="auto" w:before="0" w:after="120"/>
        <w:ind w:firstLine="480"/>
        <w:jc w:val="both"/>
      </w:pPr>
      <w:r>
        <w:rPr>
          <w:rFonts w:ascii="Times New Roman" w:hAnsi="Times New Roman" w:eastAsia="宋体"/>
          <w:b/>
          <w:color w:val="000000"/>
          <w:sz w:val="24"/>
        </w:rPr>
        <w:t>主读数尺子</w:t>
      </w:r>
      <w:r>
        <w:rPr>
          <w:rFonts w:ascii="Times New Roman" w:hAnsi="Times New Roman" w:eastAsia="宋体"/>
          <w:b w:val="0"/>
          <w:color w:val="000000"/>
          <w:sz w:val="24"/>
        </w:rPr>
        <w:t>：leave-fold 嵌套 Val；折内读数双标注附报。</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176"/>
        <w:gridCol w:w="2176"/>
        <w:gridCol w:w="2176"/>
        <w:gridCol w:w="2176"/>
      </w:tblGrid>
      <w:tr>
        <w:trPr>
          <w:cantSplit/>
          <w:tblHeader/>
        </w:trPr>
        <w:tc>
          <w:tcPr>
            <w:tcW w:type="dxa" w:w="2176"/>
            <w:shd w:val="clear" w:fill="D9E2F3"/>
          </w:tcPr>
          <w:p>
            <w:pPr>
              <w:spacing w:line="276" w:lineRule="auto"/>
              <w:jc w:val="center"/>
            </w:pPr>
            <w:r>
              <w:rPr>
                <w:rFonts w:ascii="Times New Roman" w:hAnsi="Times New Roman" w:eastAsia="宋体"/>
                <w:b/>
                <w:color w:val="000000"/>
                <w:sz w:val="21"/>
              </w:rPr>
              <w:t>口径</w:t>
            </w:r>
          </w:p>
        </w:tc>
        <w:tc>
          <w:tcPr>
            <w:tcW w:type="dxa" w:w="2176"/>
            <w:shd w:val="clear" w:fill="D9E2F3"/>
          </w:tcPr>
          <w:p>
            <w:pPr>
              <w:spacing w:line="276" w:lineRule="auto"/>
              <w:jc w:val="center"/>
            </w:pPr>
            <w:r>
              <w:rPr>
                <w:rFonts w:ascii="Times New Roman" w:hAnsi="Times New Roman" w:eastAsia="宋体"/>
                <w:b/>
                <w:color w:val="000000"/>
                <w:sz w:val="21"/>
              </w:rPr>
              <w:t>栈</w:t>
            </w:r>
          </w:p>
        </w:tc>
        <w:tc>
          <w:tcPr>
            <w:tcW w:type="dxa" w:w="2176"/>
            <w:shd w:val="clear" w:fill="D9E2F3"/>
          </w:tcPr>
          <w:p>
            <w:pPr>
              <w:spacing w:line="276" w:lineRule="auto"/>
              <w:jc w:val="center"/>
            </w:pPr>
            <w:r>
              <w:rPr>
                <w:rFonts w:ascii="Times New Roman" w:hAnsi="Times New Roman" w:eastAsia="宋体"/>
                <w:b/>
                <w:color w:val="000000"/>
                <w:sz w:val="21"/>
              </w:rPr>
              <w:t>Acc mean±std</w:t>
            </w:r>
          </w:p>
        </w:tc>
        <w:tc>
          <w:tcPr>
            <w:tcW w:type="dxa" w:w="2176"/>
            <w:shd w:val="clear" w:fill="D9E2F3"/>
          </w:tcPr>
          <w:p>
            <w:pPr>
              <w:spacing w:line="276" w:lineRule="auto"/>
              <w:jc w:val="center"/>
            </w:pPr>
            <w:r>
              <w:rPr>
                <w:rFonts w:ascii="Times New Roman" w:hAnsi="Times New Roman" w:eastAsia="宋体"/>
                <w:b/>
                <w:color w:val="000000"/>
                <w:sz w:val="21"/>
              </w:rPr>
              <w:t>角色</w:t>
            </w:r>
          </w:p>
        </w:tc>
      </w:tr>
      <w:tr>
        <w:trPr>
          <w:cantSplit/>
        </w:trPr>
        <w:tc>
          <w:tcPr>
            <w:tcW w:type="dxa" w:w="2176"/>
          </w:tcPr>
          <w:p>
            <w:pPr>
              <w:spacing w:line="276" w:lineRule="auto"/>
              <w:jc w:val="left"/>
            </w:pPr>
            <w:r>
              <w:rPr>
                <w:rFonts w:ascii="Times New Roman" w:hAnsi="Times New Roman" w:eastAsia="宋体"/>
                <w:b/>
                <w:color w:val="000000"/>
                <w:sz w:val="21"/>
              </w:rPr>
              <w:t>嵌套（交卷主读）</w:t>
            </w:r>
          </w:p>
        </w:tc>
        <w:tc>
          <w:tcPr>
            <w:tcW w:type="dxa" w:w="2176"/>
          </w:tcPr>
          <w:p>
            <w:pPr>
              <w:spacing w:line="276" w:lineRule="auto"/>
              <w:jc w:val="left"/>
            </w:pPr>
            <w:r>
              <w:rPr>
                <w:rFonts w:ascii="Times New Roman" w:hAnsi="Times New Roman" w:eastAsia="宋体"/>
                <w:b/>
                <w:color w:val="000000"/>
                <w:sz w:val="21"/>
              </w:rPr>
              <w:t>E1f-A59（N0 / S0）</w:t>
            </w:r>
          </w:p>
        </w:tc>
        <w:tc>
          <w:tcPr>
            <w:tcW w:type="dxa" w:w="2176"/>
          </w:tcPr>
          <w:p>
            <w:pPr>
              <w:spacing w:line="276" w:lineRule="auto"/>
              <w:jc w:val="left"/>
            </w:pPr>
            <w:r>
              <w:rPr>
                <w:rFonts w:ascii="Times New Roman" w:hAnsi="Times New Roman" w:eastAsia="宋体"/>
                <w:b/>
                <w:color w:val="000000"/>
                <w:sz w:val="21"/>
              </w:rPr>
              <w:t>0.511±0.066</w:t>
            </w:r>
          </w:p>
        </w:tc>
        <w:tc>
          <w:tcPr>
            <w:tcW w:type="dxa" w:w="2176"/>
          </w:tcPr>
          <w:p>
            <w:pPr>
              <w:spacing w:line="276" w:lineRule="auto"/>
              <w:jc w:val="left"/>
            </w:pPr>
            <w:r>
              <w:rPr>
                <w:rFonts w:ascii="Times New Roman" w:hAnsi="Times New Roman" w:eastAsia="宋体"/>
                <w:b/>
                <w:color w:val="000000"/>
                <w:sz w:val="21"/>
              </w:rPr>
              <w:t>提交 CSV</w:t>
            </w:r>
          </w:p>
        </w:tc>
      </w:tr>
      <w:tr>
        <w:trPr>
          <w:cantSplit/>
        </w:trPr>
        <w:tc>
          <w:tcPr>
            <w:tcW w:type="dxa" w:w="2176"/>
          </w:tcPr>
          <w:p>
            <w:pPr>
              <w:spacing w:line="276" w:lineRule="auto"/>
              <w:jc w:val="left"/>
            </w:pPr>
            <w:r>
              <w:rPr>
                <w:rFonts w:ascii="Times New Roman" w:hAnsi="Times New Roman" w:eastAsia="宋体"/>
                <w:b w:val="0"/>
                <w:color w:val="000000"/>
                <w:sz w:val="21"/>
              </w:rPr>
              <w:t>折内（交卷双标注）</w:t>
            </w:r>
          </w:p>
        </w:tc>
        <w:tc>
          <w:tcPr>
            <w:tcW w:type="dxa" w:w="2176"/>
          </w:tcPr>
          <w:p>
            <w:pPr>
              <w:spacing w:line="276" w:lineRule="auto"/>
              <w:jc w:val="left"/>
            </w:pPr>
            <w:r>
              <w:rPr>
                <w:rFonts w:ascii="Times New Roman" w:hAnsi="Times New Roman" w:eastAsia="宋体"/>
                <w:b w:val="0"/>
                <w:color w:val="000000"/>
                <w:sz w:val="21"/>
              </w:rPr>
              <w:t>E1f-A59</w:t>
            </w:r>
          </w:p>
        </w:tc>
        <w:tc>
          <w:tcPr>
            <w:tcW w:type="dxa" w:w="2176"/>
          </w:tcPr>
          <w:p>
            <w:pPr>
              <w:spacing w:line="276" w:lineRule="auto"/>
              <w:jc w:val="left"/>
            </w:pPr>
            <w:r>
              <w:rPr>
                <w:rFonts w:ascii="Times New Roman" w:hAnsi="Times New Roman" w:eastAsia="宋体"/>
                <w:b w:val="0"/>
                <w:color w:val="000000"/>
                <w:sz w:val="21"/>
              </w:rPr>
              <w:t>0.558±0.069</w:t>
            </w:r>
          </w:p>
        </w:tc>
        <w:tc>
          <w:tcPr>
            <w:tcW w:type="dxa" w:w="2176"/>
          </w:tcPr>
          <w:p>
            <w:pPr>
              <w:spacing w:line="276" w:lineRule="auto"/>
              <w:jc w:val="left"/>
            </w:pPr>
            <w:r>
              <w:rPr>
                <w:rFonts w:ascii="Times New Roman" w:hAnsi="Times New Roman" w:eastAsia="宋体"/>
                <w:b w:val="0"/>
                <w:color w:val="000000"/>
                <w:sz w:val="21"/>
              </w:rPr>
              <w:t>同文件；相对嵌套乐观 ≈+4.7pp</w:t>
            </w:r>
          </w:p>
        </w:tc>
      </w:tr>
      <w:tr>
        <w:trPr>
          <w:cantSplit/>
        </w:trPr>
        <w:tc>
          <w:tcPr>
            <w:tcW w:type="dxa" w:w="2176"/>
          </w:tcPr>
          <w:p>
            <w:pPr>
              <w:spacing w:line="276" w:lineRule="auto"/>
              <w:jc w:val="left"/>
            </w:pPr>
            <w:r>
              <w:rPr>
                <w:rFonts w:ascii="Times New Roman" w:hAnsi="Times New Roman" w:eastAsia="宋体"/>
                <w:b w:val="0"/>
                <w:color w:val="000000"/>
                <w:sz w:val="21"/>
              </w:rPr>
              <w:t>嵌套（备选归档）</w:t>
            </w:r>
          </w:p>
        </w:tc>
        <w:tc>
          <w:tcPr>
            <w:tcW w:type="dxa" w:w="2176"/>
          </w:tcPr>
          <w:p>
            <w:pPr>
              <w:spacing w:line="276" w:lineRule="auto"/>
              <w:jc w:val="left"/>
            </w:pPr>
            <w:r>
              <w:rPr>
                <w:rFonts w:ascii="Times New Roman" w:hAnsi="Times New Roman" w:eastAsia="宋体"/>
                <w:b w:val="0"/>
                <w:color w:val="000000"/>
                <w:sz w:val="21"/>
              </w:rPr>
              <w:t>E1f-B8-ft（R-B8）</w:t>
            </w:r>
          </w:p>
        </w:tc>
        <w:tc>
          <w:tcPr>
            <w:tcW w:type="dxa" w:w="2176"/>
          </w:tcPr>
          <w:p>
            <w:pPr>
              <w:spacing w:line="276" w:lineRule="auto"/>
              <w:jc w:val="left"/>
            </w:pPr>
            <w:r>
              <w:rPr>
                <w:rFonts w:ascii="Times New Roman" w:hAnsi="Times New Roman" w:eastAsia="宋体"/>
                <w:b w:val="0"/>
                <w:color w:val="000000"/>
                <w:sz w:val="21"/>
              </w:rPr>
              <w:t>0.540±0.146</w:t>
            </w:r>
          </w:p>
        </w:tc>
        <w:tc>
          <w:tcPr>
            <w:tcW w:type="dxa" w:w="2176"/>
          </w:tcPr>
          <w:p>
            <w:pPr>
              <w:spacing w:line="276" w:lineRule="auto"/>
              <w:jc w:val="left"/>
            </w:pPr>
            <w:r>
              <w:rPr>
                <w:rFonts w:ascii="Times New Roman" w:hAnsi="Times New Roman" w:eastAsia="宋体"/>
                <w:b w:val="0"/>
                <w:color w:val="000000"/>
                <w:sz w:val="21"/>
              </w:rPr>
              <w:t>Exp39 §5 程序终态；Exp40 风险否决</w:t>
            </w:r>
          </w:p>
        </w:tc>
      </w:tr>
      <w:tr>
        <w:trPr>
          <w:cantSplit/>
        </w:trPr>
        <w:tc>
          <w:tcPr>
            <w:tcW w:type="dxa" w:w="2176"/>
          </w:tcPr>
          <w:p>
            <w:pPr>
              <w:spacing w:line="276" w:lineRule="auto"/>
              <w:jc w:val="left"/>
            </w:pPr>
            <w:r>
              <w:rPr>
                <w:rFonts w:ascii="Times New Roman" w:hAnsi="Times New Roman" w:eastAsia="宋体"/>
                <w:b w:val="0"/>
                <w:color w:val="000000"/>
                <w:sz w:val="21"/>
              </w:rPr>
              <w:t>折内（备选附报）</w:t>
            </w:r>
          </w:p>
        </w:tc>
        <w:tc>
          <w:tcPr>
            <w:tcW w:type="dxa" w:w="2176"/>
          </w:tcPr>
          <w:p>
            <w:pPr>
              <w:spacing w:line="276" w:lineRule="auto"/>
              <w:jc w:val="left"/>
            </w:pPr>
            <w:r>
              <w:rPr>
                <w:rFonts w:ascii="Times New Roman" w:hAnsi="Times New Roman" w:eastAsia="宋体"/>
                <w:b w:val="0"/>
                <w:color w:val="000000"/>
                <w:sz w:val="21"/>
              </w:rPr>
              <w:t>E1f-B8-ft</w:t>
            </w:r>
          </w:p>
        </w:tc>
        <w:tc>
          <w:tcPr>
            <w:tcW w:type="dxa" w:w="2176"/>
          </w:tcPr>
          <w:p>
            <w:pPr>
              <w:spacing w:line="276" w:lineRule="auto"/>
              <w:jc w:val="left"/>
            </w:pPr>
            <w:r>
              <w:rPr>
                <w:rFonts w:ascii="Times New Roman" w:hAnsi="Times New Roman" w:eastAsia="宋体"/>
                <w:b w:val="0"/>
                <w:color w:val="000000"/>
                <w:sz w:val="21"/>
              </w:rPr>
              <w:t>0.573±0.140</w:t>
            </w:r>
          </w:p>
        </w:tc>
        <w:tc>
          <w:tcPr>
            <w:tcW w:type="dxa" w:w="2176"/>
          </w:tcPr>
          <w:p>
            <w:pPr>
              <w:spacing w:line="276" w:lineRule="auto"/>
              <w:jc w:val="left"/>
            </w:pPr>
            <w:r>
              <w:rPr>
                <w:rFonts w:ascii="Times New Roman" w:hAnsi="Times New Roman" w:eastAsia="宋体"/>
                <w:b w:val="0"/>
                <w:color w:val="000000"/>
                <w:sz w:val="21"/>
              </w:rPr>
              <w:t>Exp34</w:t>
            </w:r>
          </w:p>
        </w:tc>
      </w:tr>
      <w:tr>
        <w:trPr>
          <w:cantSplit/>
        </w:trPr>
        <w:tc>
          <w:tcPr>
            <w:tcW w:type="dxa" w:w="2176"/>
          </w:tcPr>
          <w:p>
            <w:pPr>
              <w:spacing w:line="276" w:lineRule="auto"/>
              <w:jc w:val="left"/>
            </w:pPr>
            <w:r>
              <w:rPr>
                <w:rFonts w:ascii="Times New Roman" w:hAnsi="Times New Roman" w:eastAsia="宋体"/>
                <w:b w:val="0"/>
                <w:color w:val="000000"/>
                <w:sz w:val="21"/>
              </w:rPr>
              <w:t>嵌套（附报）</w:t>
            </w:r>
          </w:p>
        </w:tc>
        <w:tc>
          <w:tcPr>
            <w:tcW w:type="dxa" w:w="2176"/>
          </w:tcPr>
          <w:p>
            <w:pPr>
              <w:spacing w:line="276" w:lineRule="auto"/>
              <w:jc w:val="left"/>
            </w:pPr>
            <w:r>
              <w:rPr>
                <w:rFonts w:ascii="Times New Roman" w:hAnsi="Times New Roman" w:eastAsia="宋体"/>
                <w:b w:val="0"/>
                <w:color w:val="000000"/>
                <w:sz w:val="21"/>
              </w:rPr>
              <w:t>b8_shallow_b</w:t>
            </w:r>
          </w:p>
        </w:tc>
        <w:tc>
          <w:tcPr>
            <w:tcW w:type="dxa" w:w="2176"/>
          </w:tcPr>
          <w:p>
            <w:pPr>
              <w:spacing w:line="276" w:lineRule="auto"/>
              <w:jc w:val="left"/>
            </w:pPr>
            <w:r>
              <w:rPr>
                <w:rFonts w:ascii="Times New Roman" w:hAnsi="Times New Roman" w:eastAsia="宋体"/>
                <w:b w:val="0"/>
                <w:color w:val="000000"/>
                <w:sz w:val="21"/>
              </w:rPr>
              <w:t>0.528±0.130</w:t>
            </w:r>
          </w:p>
        </w:tc>
        <w:tc>
          <w:tcPr>
            <w:tcW w:type="dxa" w:w="2176"/>
          </w:tcPr>
          <w:p>
            <w:pPr>
              <w:spacing w:line="276" w:lineRule="auto"/>
              <w:jc w:val="left"/>
            </w:pPr>
            <w:r>
              <w:rPr>
                <w:rFonts w:ascii="Times New Roman" w:hAnsi="Times New Roman" w:eastAsia="宋体"/>
                <w:b w:val="0"/>
                <w:color w:val="000000"/>
                <w:sz w:val="21"/>
              </w:rPr>
              <w:t>Exp38 G*</w:t>
            </w:r>
          </w:p>
        </w:tc>
      </w:tr>
    </w:tbl>
    <w:p>
      <w:pPr>
        <w:spacing w:after="60"/>
      </w:pPr>
    </w:p>
    <w:p>
      <w:pPr>
        <w:spacing w:line="312" w:lineRule="auto" w:before="0" w:after="120"/>
        <w:ind w:firstLine="480"/>
        <w:jc w:val="both"/>
      </w:pPr>
      <w:r>
        <w:rPr>
          <w:rFonts w:ascii="Times New Roman" w:hAnsi="Times New Roman" w:eastAsia="宋体"/>
          <w:b/>
          <w:color w:val="000000"/>
          <w:sz w:val="24"/>
        </w:rPr>
        <w:t>方法论要点（150 试次折内融合乐观）</w:t>
      </w:r>
      <w:r>
        <w:rPr>
          <w:rFonts w:ascii="Times New Roman" w:hAnsi="Times New Roman" w:eastAsia="宋体"/>
          <w:b w:val="0"/>
          <w:color w:val="000000"/>
          <w:sz w:val="24"/>
        </w:rPr>
        <w:t xml:space="preserve">：同一 E1f-A59 栈，折内 0.558 相对嵌套 0.511 高约 </w:t>
      </w:r>
      <w:r>
        <w:rPr>
          <w:rFonts w:ascii="Times New Roman" w:hAnsi="Times New Roman" w:eastAsia="宋体"/>
          <w:b/>
          <w:color w:val="000000"/>
          <w:sz w:val="24"/>
        </w:rPr>
        <w:t>+4.7pp</w:t>
      </w:r>
      <w:r>
        <w:rPr>
          <w:rFonts w:ascii="Times New Roman" w:hAnsi="Times New Roman" w:eastAsia="宋体"/>
          <w:b w:val="0"/>
          <w:color w:val="000000"/>
          <w:sz w:val="24"/>
        </w:rPr>
        <w:t>。Exp36 折内跨轨融合曾达 0.604/0.626，嵌套复核后涨点基本消失——说明小样本折内拟合融合权重会产生显著 in-sample 伪影。Exp38–40 在嵌套尺子下均未过加固门槛；算法线已冻结。</w:t>
      </w:r>
    </w:p>
    <w:p>
      <w:pPr>
        <w:spacing w:line="312" w:lineRule="auto" w:before="0" w:after="120"/>
        <w:ind w:firstLine="480"/>
        <w:jc w:val="both"/>
      </w:pPr>
      <w:r>
        <w:rPr>
          <w:rFonts w:ascii="Times New Roman" w:hAnsi="Times New Roman" w:eastAsia="宋体"/>
          <w:b/>
          <w:color w:val="000000"/>
          <w:sz w:val="24"/>
        </w:rPr>
        <w:t>交卷风险否决（Exp40 补记）</w:t>
      </w:r>
      <w:r>
        <w:rPr>
          <w:rFonts w:ascii="Times New Roman" w:hAnsi="Times New Roman" w:eastAsia="宋体"/>
          <w:b w:val="0"/>
          <w:color w:val="000000"/>
          <w:sz w:val="24"/>
        </w:rPr>
        <w:t>：将 R-B8 的 900 试次 OOF 按折拆开，预测 Rest 占比最高仅约 33%（fold1），而 test 预测 Rest≈</w:t>
      </w:r>
      <w:r>
        <w:rPr>
          <w:rFonts w:ascii="Times New Roman" w:hAnsi="Times New Roman" w:eastAsia="宋体"/>
          <w:b/>
          <w:color w:val="000000"/>
          <w:sz w:val="24"/>
        </w:rPr>
        <w:t>51%</w:t>
      </w:r>
      <w:r>
        <w:rPr>
          <w:rFonts w:ascii="Times New Roman" w:hAnsi="Times New Roman" w:eastAsia="宋体"/>
          <w:b w:val="0"/>
          <w:color w:val="000000"/>
          <w:sz w:val="24"/>
        </w:rPr>
        <w:t>，落在 Val 六折支撑之外；且与 fold0「Rest 仅 12% 后崩到 0.300」方向相反。两栈对 test 皆为外推，但 S0 Val 最差折 0.427、无 0.300 前科，设计均衡下边际上限亦更高（90.8% vs 82.5%）。故提交 S0，R-B8 CSV 保留归档。该决策</w:t>
      </w:r>
      <w:r>
        <w:rPr>
          <w:rFonts w:ascii="Times New Roman" w:hAnsi="Times New Roman" w:eastAsia="宋体"/>
          <w:b/>
          <w:color w:val="000000"/>
          <w:sz w:val="24"/>
        </w:rPr>
        <w:t>未使用 test 标签调参</w:t>
      </w:r>
      <w:r>
        <w:rPr>
          <w:rFonts w:ascii="Times New Roman" w:hAnsi="Times New Roman" w:eastAsia="宋体"/>
          <w:b w:val="0"/>
          <w:color w:val="000000"/>
          <w:sz w:val="24"/>
        </w:rPr>
        <w:t>，未改 Val 过线门槛。明细见 Excel sheet 00/07/11。</w:t>
      </w:r>
    </w:p>
    <w:p>
      <w:pPr>
        <w:pStyle w:val="Heading1"/>
        <w:spacing w:line="312" w:lineRule="auto" w:before="280" w:after="160"/>
        <w:jc w:val="center"/>
      </w:pPr>
      <w:r>
        <w:rPr>
          <w:rFonts w:ascii="Times New Roman" w:hAnsi="Times New Roman" w:eastAsia="黑体"/>
          <w:b/>
          <w:color w:val="000000"/>
          <w:sz w:val="32"/>
        </w:rPr>
        <w:t>10. 在线系统集成与演示</w:t>
      </w:r>
    </w:p>
    <w:p>
      <w:pPr>
        <w:spacing w:line="312" w:lineRule="auto" w:before="0" w:after="120"/>
        <w:ind w:firstLine="480"/>
        <w:jc w:val="both"/>
      </w:pPr>
      <w:r>
        <w:rPr>
          <w:rFonts w:ascii="Times New Roman" w:hAnsi="Times New Roman" w:eastAsia="宋体"/>
          <w:b w:val="0"/>
          <w:color w:val="000000"/>
          <w:sz w:val="24"/>
        </w:rPr>
        <w:t>在线系统由四部分组成：采集前端（Cyton + LSL）、推理服务（3 s/hop100 滑窗 + E1f 四成员 + 因果平滑读出）、游戏前端（第一人称虚拟手 + 连击计分）、操作台（会话控制与实时监测）。演示视频（MP4，≤10 分钟）按"实时采集 → 三类实时分类 → 视觉反馈 → 状态切换响应"四要素录制，脚本与分镜见随附《演示视频脚本》。</w:t>
      </w:r>
    </w:p>
    <w:p>
      <w:pPr>
        <w:pStyle w:val="Heading1"/>
        <w:spacing w:line="312" w:lineRule="auto" w:before="280" w:after="160"/>
        <w:jc w:val="center"/>
      </w:pPr>
      <w:r>
        <w:rPr>
          <w:rFonts w:ascii="Times New Roman" w:hAnsi="Times New Roman" w:eastAsia="黑体"/>
          <w:b/>
          <w:color w:val="000000"/>
          <w:sz w:val="32"/>
        </w:rPr>
        <w:t>11. 可复现性与提交材料索引</w:t>
      </w:r>
    </w:p>
    <w:p>
      <w:pPr>
        <w:spacing w:line="312" w:lineRule="auto" w:before="0" w:after="120"/>
        <w:ind w:left="480"/>
        <w:jc w:val="both"/>
      </w:pPr>
      <w:r>
        <w:rPr>
          <w:rFonts w:ascii="Times New Roman" w:hAnsi="Times New Roman" w:eastAsia="宋体"/>
          <w:b/>
          <w:color w:val="000000"/>
          <w:sz w:val="24"/>
        </w:rPr>
        <w:t>离线验证报告（Excel）</w:t>
      </w:r>
      <w:r>
        <w:rPr>
          <w:rFonts w:ascii="Times New Roman" w:hAnsi="Times New Roman" w:eastAsia="宋体"/>
          <w:b w:val="0"/>
          <w:color w:val="000000"/>
          <w:sz w:val="24"/>
        </w:rPr>
        <w:t>：</w:t>
      </w:r>
      <w:r>
        <w:rPr>
          <w:rFonts w:ascii="Consolas" w:hAnsi="Consolas" w:eastAsia="Consolas"/>
          <w:b w:val="0"/>
          <w:color w:val="000000"/>
          <w:sz w:val="21"/>
        </w:rPr>
        <w:t>02_离线验证/离线性能验证报告_XH-202610.xlsx</w:t>
      </w:r>
      <w:r>
        <w:rPr>
          <w:rFonts w:ascii="Times New Roman" w:hAnsi="Times New Roman" w:eastAsia="宋体"/>
          <w:b w:val="0"/>
          <w:color w:val="000000"/>
          <w:sz w:val="24"/>
        </w:rPr>
        <w:t>——含验证总表、OpenBMI 主结果混淆矩阵与每类指标、11 模型基线、BCI2a/Stieger/真被试明细、延迟、数据集使用说明、原始数据索引与复现命令；</w:t>
      </w:r>
    </w:p>
    <w:p>
      <w:pPr>
        <w:spacing w:line="312" w:lineRule="auto" w:before="0" w:after="120"/>
        <w:ind w:left="480"/>
        <w:jc w:val="both"/>
      </w:pPr>
      <w:r>
        <w:rPr>
          <w:rFonts w:ascii="Times New Roman" w:hAnsi="Times New Roman" w:eastAsia="宋体"/>
          <w:b/>
          <w:color w:val="000000"/>
          <w:sz w:val="24"/>
        </w:rPr>
        <w:t>源代码包</w:t>
      </w:r>
      <w:r>
        <w:rPr>
          <w:rFonts w:ascii="Times New Roman" w:hAnsi="Times New Roman" w:eastAsia="宋体"/>
          <w:b w:val="0"/>
          <w:color w:val="000000"/>
          <w:sz w:val="24"/>
        </w:rPr>
        <w:t>：</w:t>
      </w:r>
      <w:r>
        <w:rPr>
          <w:rFonts w:ascii="Consolas" w:hAnsi="Consolas" w:eastAsia="Consolas"/>
          <w:b w:val="0"/>
          <w:color w:val="000000"/>
          <w:sz w:val="21"/>
        </w:rPr>
        <w:t>04_代码包/</w:t>
      </w:r>
      <w:r>
        <w:rPr>
          <w:rFonts w:ascii="Times New Roman" w:hAnsi="Times New Roman" w:eastAsia="宋体"/>
          <w:b w:val="0"/>
          <w:color w:val="000000"/>
          <w:sz w:val="24"/>
        </w:rPr>
        <w:t>——Python 3.11 环境（torch + braindecode），含采集、会话运行时、推理与微调全链，README 提供运行说明；</w:t>
      </w:r>
    </w:p>
    <w:p>
      <w:pPr>
        <w:spacing w:line="312" w:lineRule="auto" w:before="0" w:after="120"/>
        <w:ind w:left="480"/>
        <w:jc w:val="both"/>
      </w:pPr>
      <w:r>
        <w:rPr>
          <w:rFonts w:ascii="Times New Roman" w:hAnsi="Times New Roman" w:eastAsia="宋体"/>
          <w:b/>
          <w:color w:val="000000"/>
          <w:sz w:val="24"/>
        </w:rPr>
        <w:t>演示视频</w:t>
      </w:r>
      <w:r>
        <w:rPr>
          <w:rFonts w:ascii="Times New Roman" w:hAnsi="Times New Roman" w:eastAsia="宋体"/>
          <w:b w:val="0"/>
          <w:color w:val="000000"/>
          <w:sz w:val="24"/>
        </w:rPr>
        <w:t>：</w:t>
      </w:r>
      <w:r>
        <w:rPr>
          <w:rFonts w:ascii="Consolas" w:hAnsi="Consolas" w:eastAsia="Consolas"/>
          <w:b w:val="0"/>
          <w:color w:val="000000"/>
          <w:sz w:val="21"/>
        </w:rPr>
        <w:t>03_演示视频/</w:t>
      </w:r>
      <w:r>
        <w:rPr>
          <w:rFonts w:ascii="Times New Roman" w:hAnsi="Times New Roman" w:eastAsia="宋体"/>
          <w:b w:val="0"/>
          <w:color w:val="000000"/>
          <w:sz w:val="24"/>
        </w:rPr>
        <w:t>——MP4 与脚本分镜；</w:t>
      </w:r>
    </w:p>
    <w:p>
      <w:pPr>
        <w:spacing w:line="312" w:lineRule="auto" w:before="0" w:after="120"/>
        <w:ind w:left="480"/>
        <w:jc w:val="both"/>
      </w:pPr>
      <w:r>
        <w:rPr>
          <w:rFonts w:ascii="Times New Roman" w:hAnsi="Times New Roman" w:eastAsia="宋体"/>
          <w:b/>
          <w:color w:val="000000"/>
          <w:sz w:val="24"/>
        </w:rPr>
        <w:t>原始数据索引</w:t>
      </w:r>
      <w:r>
        <w:rPr>
          <w:rFonts w:ascii="Times New Roman" w:hAnsi="Times New Roman" w:eastAsia="宋体"/>
          <w:b w:val="0"/>
          <w:color w:val="000000"/>
          <w:sz w:val="24"/>
        </w:rPr>
        <w:t xml:space="preserve">：所有登记表/JSON 路径见 Excel sheet 08；主结果混淆矩阵可由 </w:t>
      </w:r>
      <w:r>
        <w:rPr>
          <w:rFonts w:ascii="Consolas" w:hAnsi="Consolas" w:eastAsia="Consolas"/>
          <w:b w:val="0"/>
          <w:color w:val="000000"/>
          <w:sz w:val="21"/>
        </w:rPr>
        <w:t>cm_e1f_arms.py</w:t>
      </w:r>
      <w:r>
        <w:rPr>
          <w:rFonts w:ascii="Times New Roman" w:hAnsi="Times New Roman" w:eastAsia="宋体"/>
          <w:b w:val="0"/>
          <w:color w:val="000000"/>
          <w:sz w:val="24"/>
        </w:rPr>
        <w:t xml:space="preserve"> 一键复算（内置锚点对账自检）。</w:t>
      </w:r>
    </w:p>
    <w:p>
      <w:pPr>
        <w:pStyle w:val="Heading1"/>
        <w:spacing w:line="312" w:lineRule="auto" w:before="280" w:after="160"/>
        <w:jc w:val="center"/>
      </w:pPr>
      <w:r>
        <w:rPr>
          <w:rFonts w:ascii="Times New Roman" w:hAnsi="Times New Roman" w:eastAsia="黑体"/>
          <w:b/>
          <w:color w:val="000000"/>
          <w:sz w:val="32"/>
        </w:rPr>
        <w:t>12. 结论与展望</w:t>
      </w:r>
    </w:p>
    <w:p>
      <w:pPr>
        <w:spacing w:line="312" w:lineRule="auto" w:before="0" w:after="120"/>
        <w:ind w:firstLine="480"/>
        <w:jc w:val="both"/>
      </w:pPr>
      <w:r>
        <w:rPr>
          <w:rFonts w:ascii="Times New Roman" w:hAnsi="Times New Roman" w:eastAsia="宋体"/>
          <w:b w:val="0"/>
          <w:color w:val="000000"/>
          <w:sz w:val="24"/>
        </w:rPr>
        <w:t xml:space="preserve">本系统完成了从公开数据预训练、指定集从零评测、自采数据强化、少样本个体适配到在线游戏化交互的完整 MI-BCI 链路：OpenBMI 标准五折三分类 </w:t>
      </w:r>
      <w:r>
        <w:rPr>
          <w:rFonts w:ascii="Times New Roman" w:hAnsi="Times New Roman" w:eastAsia="宋体"/>
          <w:b/>
          <w:color w:val="000000"/>
          <w:sz w:val="24"/>
        </w:rPr>
        <w:t>61.88%</w:t>
      </w:r>
      <w:r>
        <w:rPr>
          <w:rFonts w:ascii="Times New Roman" w:hAnsi="Times New Roman" w:eastAsia="宋体"/>
          <w:b w:val="0"/>
          <w:color w:val="000000"/>
          <w:sz w:val="24"/>
        </w:rPr>
        <w:t xml:space="preserve">；主办方指定集交卷 </w:t>
      </w:r>
      <w:r>
        <w:rPr>
          <w:rFonts w:ascii="Times New Roman" w:hAnsi="Times New Roman" w:eastAsia="宋体"/>
          <w:b/>
          <w:color w:val="000000"/>
          <w:sz w:val="24"/>
        </w:rPr>
        <w:t>S0 嵌套主读 0.511</w:t>
      </w:r>
      <w:r>
        <w:rPr>
          <w:rFonts w:ascii="Times New Roman" w:hAnsi="Times New Roman" w:eastAsia="宋体"/>
          <w:b w:val="0"/>
          <w:color w:val="000000"/>
          <w:sz w:val="24"/>
        </w:rPr>
        <w:t xml:space="preserve">（折内双标注 0.558；备选 R-B8=0.540 已归档）；BCI2a Leave-Next 末档 all4 </w:t>
      </w:r>
      <w:r>
        <w:rPr>
          <w:rFonts w:ascii="Times New Roman" w:hAnsi="Times New Roman" w:eastAsia="宋体"/>
          <w:b/>
          <w:color w:val="000000"/>
          <w:sz w:val="24"/>
        </w:rPr>
        <w:t>66.3%</w:t>
      </w:r>
      <w:r>
        <w:rPr>
          <w:rFonts w:ascii="Times New Roman" w:hAnsi="Times New Roman" w:eastAsia="宋体"/>
          <w:b w:val="0"/>
          <w:color w:val="000000"/>
          <w:sz w:val="24"/>
        </w:rPr>
        <w:t xml:space="preserve">（相对 so +21.1 pp）；真实被试个体适配最优 </w:t>
      </w:r>
      <w:r>
        <w:rPr>
          <w:rFonts w:ascii="Times New Roman" w:hAnsi="Times New Roman" w:eastAsia="宋体"/>
          <w:b/>
          <w:color w:val="000000"/>
          <w:sz w:val="24"/>
        </w:rPr>
        <w:t>92.4%</w:t>
      </w:r>
      <w:r>
        <w:rPr>
          <w:rFonts w:ascii="Times New Roman" w:hAnsi="Times New Roman" w:eastAsia="宋体"/>
          <w:b w:val="0"/>
          <w:color w:val="000000"/>
          <w:sz w:val="24"/>
        </w:rPr>
        <w:t xml:space="preserve">；单窗前向 </w:t>
      </w:r>
      <w:r>
        <w:rPr>
          <w:rFonts w:ascii="Times New Roman" w:hAnsi="Times New Roman" w:eastAsia="宋体"/>
          <w:b/>
          <w:color w:val="000000"/>
          <w:sz w:val="24"/>
        </w:rPr>
        <w:t>1.11 ms</w:t>
      </w:r>
      <w:r>
        <w:rPr>
          <w:rFonts w:ascii="Times New Roman" w:hAnsi="Times New Roman" w:eastAsia="宋体"/>
          <w:b w:val="0"/>
          <w:color w:val="000000"/>
          <w:sz w:val="24"/>
        </w:rPr>
        <w:t>。指定集算法旁路 Exp34–40 已在嵌套尺子下收束并冻结。后续工作：① 完成不少于 20 名被试采集并以自采数据强化底座（轨 C）；② 决赛阶段视算力考虑外源多语料预训练（备查）；③ 扩展注意力监测与更多异步控制语义，面向康复辅具落地。</w:t>
      </w:r>
    </w:p>
    <w:p>
      <w:pPr>
        <w:pStyle w:val="Heading1"/>
        <w:spacing w:line="312" w:lineRule="auto" w:before="280" w:after="160"/>
        <w:jc w:val="center"/>
      </w:pPr>
      <w:r>
        <w:rPr>
          <w:rFonts w:ascii="Times New Roman" w:hAnsi="Times New Roman" w:eastAsia="黑体"/>
          <w:b/>
          <w:color w:val="000000"/>
          <w:sz w:val="32"/>
        </w:rPr>
        <w:t>参考文献</w:t>
      </w:r>
    </w:p>
    <w:p>
      <w:pPr>
        <w:spacing w:line="312" w:lineRule="auto" w:before="0" w:after="120"/>
        <w:ind w:firstLine="480"/>
        <w:jc w:val="both"/>
      </w:pPr>
      <w:r>
        <w:rPr>
          <w:rFonts w:ascii="Times New Roman" w:hAnsi="Times New Roman" w:eastAsia="宋体"/>
          <w:b w:val="0"/>
          <w:color w:val="000000"/>
          <w:sz w:val="24"/>
        </w:rPr>
        <w:t>[1] Pfurtscheller G, Neuper C. Motor imagery and direct brain-computer communication[J]. Proceedings of the IEEE, 2001, 89(7): 1123-1134.</w:t>
      </w:r>
    </w:p>
    <w:p>
      <w:pPr>
        <w:spacing w:line="312" w:lineRule="auto" w:before="0" w:after="120"/>
        <w:ind w:firstLine="480"/>
        <w:jc w:val="both"/>
      </w:pPr>
      <w:r>
        <w:rPr>
          <w:rFonts w:ascii="Times New Roman" w:hAnsi="Times New Roman" w:eastAsia="宋体"/>
          <w:b w:val="0"/>
          <w:color w:val="000000"/>
          <w:sz w:val="24"/>
        </w:rPr>
        <w:t>[2] Pfurtscheller G, Lopes da Silva F H. Event-related EEG/MEG synchronization and desynchronization: basic principles[J]. Clinical Neurophysiology, 1999, 110(11): 1842-1857.</w:t>
      </w:r>
    </w:p>
    <w:p>
      <w:pPr>
        <w:spacing w:line="312" w:lineRule="auto" w:before="0" w:after="120"/>
        <w:ind w:firstLine="480"/>
        <w:jc w:val="both"/>
      </w:pPr>
      <w:r>
        <w:rPr>
          <w:rFonts w:ascii="Times New Roman" w:hAnsi="Times New Roman" w:eastAsia="宋体"/>
          <w:b w:val="0"/>
          <w:color w:val="000000"/>
          <w:sz w:val="24"/>
        </w:rPr>
        <w:t>[3] Tangermann M, Müller K-R, Aertsen A, et al. Review of the BCI Competition IV[J]. Frontiers in Neuroscience, 2012, 6: 55.</w:t>
      </w:r>
    </w:p>
    <w:p>
      <w:pPr>
        <w:spacing w:line="312" w:lineRule="auto" w:before="0" w:after="120"/>
        <w:ind w:firstLine="480"/>
        <w:jc w:val="both"/>
      </w:pPr>
      <w:r>
        <w:rPr>
          <w:rFonts w:ascii="Times New Roman" w:hAnsi="Times New Roman" w:eastAsia="宋体"/>
          <w:b w:val="0"/>
          <w:color w:val="000000"/>
          <w:sz w:val="24"/>
        </w:rPr>
        <w:t>[4] Lee H-K, Choi Y-S. Application of OpenBMI: an open-source software package for brain-computer interfaces[J]. IEEE Transactions on Neural Systems and Rehabilitation Engineering, 2019, 27(10): 2114-2123.</w:t>
      </w:r>
    </w:p>
    <w:p>
      <w:pPr>
        <w:spacing w:line="312" w:lineRule="auto" w:before="0" w:after="120"/>
        <w:ind w:firstLine="480"/>
        <w:jc w:val="both"/>
      </w:pPr>
      <w:r>
        <w:rPr>
          <w:rFonts w:ascii="Times New Roman" w:hAnsi="Times New Roman" w:eastAsia="宋体"/>
          <w:b w:val="0"/>
          <w:color w:val="000000"/>
          <w:sz w:val="24"/>
        </w:rPr>
        <w:t>[5] Stieger X R, Engel S A, He B, et al. A dataset of 25 healthy subjects' EEG recordings during online motor imagery brain-computer interface operation[J]. Scientific Data, 2021, 8: 232.</w:t>
      </w:r>
    </w:p>
    <w:p>
      <w:pPr>
        <w:spacing w:line="312" w:lineRule="auto" w:before="0" w:after="120"/>
        <w:ind w:firstLine="480"/>
        <w:jc w:val="both"/>
      </w:pPr>
      <w:r>
        <w:rPr>
          <w:rFonts w:ascii="Times New Roman" w:hAnsi="Times New Roman" w:eastAsia="宋体"/>
          <w:b w:val="0"/>
          <w:color w:val="000000"/>
          <w:sz w:val="24"/>
        </w:rPr>
        <w:t>[6] Lawhern V J, Solon A J, Waytowich N R, et al. EEGNet: a compact convolutional neural network for EEG-based brain-computer interfaces[J]. Journal of Neural Engineering, 2018, 15(5): 056013.</w:t>
      </w:r>
    </w:p>
    <w:p>
      <w:pPr>
        <w:spacing w:line="312" w:lineRule="auto" w:before="0" w:after="120"/>
        <w:ind w:firstLine="480"/>
        <w:jc w:val="both"/>
      </w:pPr>
      <w:r>
        <w:rPr>
          <w:rFonts w:ascii="Times New Roman" w:hAnsi="Times New Roman" w:eastAsia="宋体"/>
          <w:b w:val="0"/>
          <w:color w:val="000000"/>
          <w:sz w:val="24"/>
        </w:rPr>
        <w:t>[7] Schirrmeister R T, Springenberg J T, Fiederer L D J, et al. Deep learning with convolutional neural networks for EEG decoding and visualization[J]. Human Brain Mapping, 2017, 38(11): 5391-5420.</w:t>
      </w:r>
    </w:p>
    <w:p>
      <w:pPr>
        <w:spacing w:line="312" w:lineRule="auto" w:before="0" w:after="120"/>
        <w:ind w:firstLine="480"/>
        <w:jc w:val="both"/>
      </w:pPr>
      <w:r>
        <w:rPr>
          <w:rFonts w:ascii="Times New Roman" w:hAnsi="Times New Roman" w:eastAsia="宋体"/>
          <w:b w:val="0"/>
          <w:color w:val="000000"/>
          <w:sz w:val="24"/>
        </w:rPr>
        <w:t>[8] Song Y, Zheng Q, Liu B, et al. EEG Conformer: convolutional transformer for EEG decoding and visualization[J]. IEEE Transactions on Neural Systems and Rehabilitation Engineering, 2023, 31: 206-219.</w:t>
      </w:r>
    </w:p>
    <w:p>
      <w:pPr>
        <w:spacing w:line="312" w:lineRule="auto" w:before="0" w:after="120"/>
        <w:ind w:firstLine="480"/>
        <w:jc w:val="both"/>
      </w:pPr>
      <w:r>
        <w:rPr>
          <w:rFonts w:ascii="Times New Roman" w:hAnsi="Times New Roman" w:eastAsia="宋体"/>
          <w:b w:val="0"/>
          <w:color w:val="000000"/>
          <w:sz w:val="24"/>
        </w:rPr>
        <w:t>[9] Wimpff M, Aristimunha B, Chevallier S, et al. Fine-tuning strategies for continual online EEG motor imagery decoding: insights from a large-scale longitudinal study[C]. 2024.</w:t>
      </w:r>
    </w:p>
    <w:p>
      <w:pPr>
        <w:spacing w:line="312" w:lineRule="auto" w:before="0" w:after="120"/>
        <w:ind w:firstLine="480"/>
        <w:jc w:val="both"/>
      </w:pPr>
      <w:r>
        <w:rPr>
          <w:rFonts w:ascii="Times New Roman" w:hAnsi="Times New Roman" w:eastAsia="宋体"/>
          <w:b w:val="0"/>
          <w:color w:val="000000"/>
          <w:sz w:val="24"/>
        </w:rPr>
        <w:t>[10] Rahman M K M, Joadder M A M. A space-frequency localized approach of spatial filtering for motor imagery classification[J]. Health Information Science and Systems, 2020, 8: 15.</w:t>
      </w:r>
    </w:p>
    <w:p>
      <w:pPr>
        <w:spacing w:line="312" w:lineRule="auto" w:before="0" w:after="120"/>
        <w:ind w:firstLine="480"/>
        <w:jc w:val="both"/>
      </w:pPr>
      <w:r>
        <w:rPr>
          <w:rFonts w:ascii="Times New Roman" w:hAnsi="Times New Roman" w:eastAsia="宋体"/>
          <w:b w:val="0"/>
          <w:color w:val="000000"/>
          <w:sz w:val="24"/>
        </w:rPr>
        <w:t>[11] BrainFlow Development Team. BrainFlow: a library for acquiring EEG/EMG data[CP/OL]. https://github.com/brainflow-dev/brainflow.</w:t>
      </w:r>
    </w:p>
    <w:p>
      <w:pPr>
        <w:spacing w:line="312" w:lineRule="auto" w:before="0" w:after="120"/>
        <w:ind w:firstLine="480"/>
        <w:jc w:val="both"/>
      </w:pPr>
      <w:r>
        <w:rPr>
          <w:rFonts w:ascii="Times New Roman" w:hAnsi="Times New Roman" w:eastAsia="宋体"/>
          <w:b w:val="0"/>
          <w:color w:val="000000"/>
          <w:sz w:val="24"/>
        </w:rPr>
        <w:t>[12] Kothe C. Lab Streaming Layer (LSL)[CP/OL]. https://github.com/sccn/labstreaminglayer.</w:t>
      </w:r>
    </w:p>
    <w:p>
      <w:pPr>
        <w:spacing w:line="312" w:lineRule="auto" w:before="0" w:after="120"/>
        <w:ind w:firstLine="480"/>
        <w:jc w:val="both"/>
      </w:pPr>
      <w:r>
        <w:rPr>
          <w:rFonts w:ascii="Times New Roman" w:hAnsi="Times New Roman" w:eastAsia="宋体"/>
          <w:b w:val="0"/>
          <w:color w:val="000000"/>
          <w:sz w:val="24"/>
        </w:rPr>
        <w:t>[13] OpenBCI. Cyton biosensing board documentation[CP/OL]. https://docs.openbci.com.</w:t>
      </w:r>
    </w:p>
    <w:p>
      <w:pPr>
        <w:pStyle w:val="Heading1"/>
        <w:spacing w:line="312" w:lineRule="auto" w:before="280" w:after="160"/>
        <w:jc w:val="center"/>
      </w:pPr>
      <w:r>
        <w:rPr>
          <w:rFonts w:ascii="Times New Roman" w:hAnsi="Times New Roman" w:eastAsia="黑体"/>
          <w:b/>
          <w:color w:val="000000"/>
          <w:sz w:val="32"/>
        </w:rPr>
        <w:t>附录 A · 系统常量表（冻结）</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常量</w:t>
            </w:r>
          </w:p>
        </w:tc>
        <w:tc>
          <w:tcPr>
            <w:tcW w:type="dxa" w:w="4353"/>
            <w:shd w:val="clear" w:fill="D9E2F3"/>
          </w:tcPr>
          <w:p>
            <w:pPr>
              <w:spacing w:line="276" w:lineRule="auto"/>
              <w:jc w:val="center"/>
            </w:pPr>
            <w:r>
              <w:rPr>
                <w:rFonts w:ascii="Times New Roman" w:hAnsi="Times New Roman" w:eastAsia="宋体"/>
                <w:b/>
                <w:color w:val="000000"/>
                <w:sz w:val="21"/>
              </w:rPr>
              <w:t>取值</w:t>
            </w:r>
          </w:p>
        </w:tc>
      </w:tr>
      <w:tr>
        <w:trPr>
          <w:cantSplit/>
        </w:trPr>
        <w:tc>
          <w:tcPr>
            <w:tcW w:type="dxa" w:w="4353"/>
          </w:tcPr>
          <w:p>
            <w:pPr>
              <w:spacing w:line="276" w:lineRule="auto"/>
              <w:jc w:val="left"/>
            </w:pPr>
            <w:r>
              <w:rPr>
                <w:rFonts w:ascii="Times New Roman" w:hAnsi="Times New Roman" w:eastAsia="宋体"/>
                <w:b w:val="0"/>
                <w:color w:val="000000"/>
                <w:sz w:val="21"/>
              </w:rPr>
              <w:t>通道序</w:t>
            </w:r>
          </w:p>
        </w:tc>
        <w:tc>
          <w:tcPr>
            <w:tcW w:type="dxa" w:w="4353"/>
          </w:tcPr>
          <w:p>
            <w:pPr>
              <w:spacing w:line="276" w:lineRule="auto"/>
              <w:jc w:val="left"/>
            </w:pPr>
            <w:r>
              <w:rPr>
                <w:rFonts w:ascii="Times New Roman" w:hAnsi="Times New Roman" w:eastAsia="宋体"/>
                <w:b w:val="0"/>
                <w:color w:val="000000"/>
                <w:sz w:val="21"/>
              </w:rPr>
              <w:t>Cz, C3, C4, CP3, FC4, FC3, CP4, CPz（禁止重排）</w:t>
            </w:r>
          </w:p>
        </w:tc>
      </w:tr>
      <w:tr>
        <w:trPr>
          <w:cantSplit/>
        </w:trPr>
        <w:tc>
          <w:tcPr>
            <w:tcW w:type="dxa" w:w="4353"/>
          </w:tcPr>
          <w:p>
            <w:pPr>
              <w:spacing w:line="276" w:lineRule="auto"/>
              <w:jc w:val="left"/>
            </w:pPr>
            <w:r>
              <w:rPr>
                <w:rFonts w:ascii="Times New Roman" w:hAnsi="Times New Roman" w:eastAsia="宋体"/>
                <w:b w:val="0"/>
                <w:color w:val="000000"/>
                <w:sz w:val="21"/>
              </w:rPr>
              <w:t>采样率</w:t>
            </w:r>
          </w:p>
        </w:tc>
        <w:tc>
          <w:tcPr>
            <w:tcW w:type="dxa" w:w="4353"/>
          </w:tcPr>
          <w:p>
            <w:pPr>
              <w:spacing w:line="276" w:lineRule="auto"/>
              <w:jc w:val="left"/>
            </w:pPr>
            <w:r>
              <w:rPr>
                <w:rFonts w:ascii="Times New Roman" w:hAnsi="Times New Roman" w:eastAsia="宋体"/>
                <w:b w:val="0"/>
                <w:color w:val="000000"/>
                <w:sz w:val="21"/>
              </w:rPr>
              <w:t>250 Hz</w:t>
            </w:r>
          </w:p>
        </w:tc>
      </w:tr>
      <w:tr>
        <w:trPr>
          <w:cantSplit/>
        </w:trPr>
        <w:tc>
          <w:tcPr>
            <w:tcW w:type="dxa" w:w="4353"/>
          </w:tcPr>
          <w:p>
            <w:pPr>
              <w:spacing w:line="276" w:lineRule="auto"/>
              <w:jc w:val="left"/>
            </w:pPr>
            <w:r>
              <w:rPr>
                <w:rFonts w:ascii="Times New Roman" w:hAnsi="Times New Roman" w:eastAsia="宋体"/>
                <w:b w:val="0"/>
                <w:color w:val="000000"/>
                <w:sz w:val="21"/>
              </w:rPr>
              <w:t>范式时序</w:t>
            </w:r>
          </w:p>
        </w:tc>
        <w:tc>
          <w:tcPr>
            <w:tcW w:type="dxa" w:w="4353"/>
          </w:tcPr>
          <w:p>
            <w:pPr>
              <w:spacing w:line="276" w:lineRule="auto"/>
              <w:jc w:val="left"/>
            </w:pPr>
            <w:r>
              <w:rPr>
                <w:rFonts w:ascii="Times New Roman" w:hAnsi="Times New Roman" w:eastAsia="宋体"/>
                <w:b w:val="0"/>
                <w:color w:val="000000"/>
                <w:sz w:val="21"/>
              </w:rPr>
              <w:t>Rest 4 s → prep 2 s → Cue 1 s → MI 4 s → ITI 3 s（块间 30 s）</w:t>
            </w:r>
          </w:p>
        </w:tc>
      </w:tr>
      <w:tr>
        <w:trPr>
          <w:cantSplit/>
        </w:trPr>
        <w:tc>
          <w:tcPr>
            <w:tcW w:type="dxa" w:w="4353"/>
          </w:tcPr>
          <w:p>
            <w:pPr>
              <w:spacing w:line="276" w:lineRule="auto"/>
              <w:jc w:val="left"/>
            </w:pPr>
            <w:r>
              <w:rPr>
                <w:rFonts w:ascii="Times New Roman" w:hAnsi="Times New Roman" w:eastAsia="宋体"/>
                <w:b w:val="0"/>
                <w:color w:val="000000"/>
                <w:sz w:val="21"/>
              </w:rPr>
              <w:t>在线窗</w:t>
            </w:r>
          </w:p>
        </w:tc>
        <w:tc>
          <w:tcPr>
            <w:tcW w:type="dxa" w:w="4353"/>
          </w:tcPr>
          <w:p>
            <w:pPr>
              <w:spacing w:line="276" w:lineRule="auto"/>
              <w:jc w:val="left"/>
            </w:pPr>
            <w:r>
              <w:rPr>
                <w:rFonts w:ascii="Times New Roman" w:hAnsi="Times New Roman" w:eastAsia="宋体"/>
                <w:b w:val="0"/>
                <w:color w:val="000000"/>
                <w:sz w:val="21"/>
              </w:rPr>
              <w:t>3 s / 750 点 · hop 100 ms · 段级基线 Cue−0.5 s</w:t>
            </w:r>
          </w:p>
        </w:tc>
      </w:tr>
      <w:tr>
        <w:trPr>
          <w:cantSplit/>
        </w:trPr>
        <w:tc>
          <w:tcPr>
            <w:tcW w:type="dxa" w:w="4353"/>
          </w:tcPr>
          <w:p>
            <w:pPr>
              <w:spacing w:line="276" w:lineRule="auto"/>
              <w:jc w:val="left"/>
            </w:pPr>
            <w:r>
              <w:rPr>
                <w:rFonts w:ascii="Times New Roman" w:hAnsi="Times New Roman" w:eastAsia="宋体"/>
                <w:b w:val="0"/>
                <w:color w:val="000000"/>
                <w:sz w:val="21"/>
              </w:rPr>
              <w:t>读出</w:t>
            </w:r>
          </w:p>
        </w:tc>
        <w:tc>
          <w:tcPr>
            <w:tcW w:type="dxa" w:w="4353"/>
          </w:tcPr>
          <w:p>
            <w:pPr>
              <w:spacing w:line="276" w:lineRule="auto"/>
              <w:jc w:val="left"/>
            </w:pPr>
            <w:r>
              <w:rPr>
                <w:rFonts w:ascii="Times New Roman" w:hAnsi="Times New Roman" w:eastAsia="宋体"/>
                <w:b w:val="0"/>
                <w:color w:val="000000"/>
                <w:sz w:val="21"/>
              </w:rPr>
              <w:t>E1f 四成员融合 → 因果平滑 lookback=2 → argmax；试次多数票</w:t>
            </w:r>
          </w:p>
        </w:tc>
      </w:tr>
      <w:tr>
        <w:trPr>
          <w:cantSplit/>
        </w:trPr>
        <w:tc>
          <w:tcPr>
            <w:tcW w:type="dxa" w:w="4353"/>
          </w:tcPr>
          <w:p>
            <w:pPr>
              <w:spacing w:line="276" w:lineRule="auto"/>
              <w:jc w:val="left"/>
            </w:pPr>
            <w:r>
              <w:rPr>
                <w:rFonts w:ascii="Times New Roman" w:hAnsi="Times New Roman" w:eastAsia="宋体"/>
                <w:b w:val="0"/>
                <w:color w:val="000000"/>
                <w:sz w:val="21"/>
              </w:rPr>
              <w:t>微调策略</w:t>
            </w:r>
          </w:p>
        </w:tc>
        <w:tc>
          <w:tcPr>
            <w:tcW w:type="dxa" w:w="4353"/>
          </w:tcPr>
          <w:p>
            <w:pPr>
              <w:spacing w:line="276" w:lineRule="auto"/>
              <w:jc w:val="left"/>
            </w:pPr>
            <w:r>
              <w:rPr>
                <w:rFonts w:ascii="Times New Roman" w:hAnsi="Times New Roman" w:eastAsia="宋体"/>
                <w:b w:val="0"/>
                <w:color w:val="000000"/>
                <w:sz w:val="21"/>
              </w:rPr>
              <w:t>采后 Leave-Next · FT 范围 all4 · replay 0.10 · 门控 FAIL 强制晋升+告警</w:t>
            </w:r>
          </w:p>
        </w:tc>
      </w:tr>
      <w:tr>
        <w:trPr>
          <w:cantSplit/>
        </w:trPr>
        <w:tc>
          <w:tcPr>
            <w:tcW w:type="dxa" w:w="4353"/>
          </w:tcPr>
          <w:p>
            <w:pPr>
              <w:spacing w:line="276" w:lineRule="auto"/>
              <w:jc w:val="left"/>
            </w:pPr>
            <w:r>
              <w:rPr>
                <w:rFonts w:ascii="Times New Roman" w:hAnsi="Times New Roman" w:eastAsia="宋体"/>
                <w:b w:val="0"/>
                <w:color w:val="000000"/>
                <w:sz w:val="21"/>
              </w:rPr>
              <w:t>计分</w:t>
            </w:r>
          </w:p>
        </w:tc>
        <w:tc>
          <w:tcPr>
            <w:tcW w:type="dxa" w:w="4353"/>
          </w:tcPr>
          <w:p>
            <w:pPr>
              <w:spacing w:line="276" w:lineRule="auto"/>
              <w:jc w:val="left"/>
            </w:pPr>
            <w:r>
              <w:rPr>
                <w:rFonts w:ascii="Times New Roman" w:hAnsi="Times New Roman" w:eastAsia="宋体"/>
                <w:b w:val="0"/>
                <w:color w:val="000000"/>
                <w:sz w:val="21"/>
              </w:rPr>
              <w:t xml:space="preserve">MI 判对 +1 · 专用 Rest 判对 +0.5 · </w:t>
            </w:r>
            <w:r>
              <w:rPr>
                <w:rFonts w:ascii="Times New Roman" w:hAnsi="Times New Roman" w:eastAsia="宋体"/>
                <w:b/>
                <w:color w:val="000000"/>
                <w:sz w:val="21"/>
              </w:rPr>
              <w:t>v3 采集</w:t>
            </w:r>
            <w:r>
              <w:rPr>
                <w:rFonts w:ascii="Times New Roman" w:hAnsi="Times New Roman" w:eastAsia="宋体"/>
                <w:b w:val="0"/>
                <w:color w:val="000000"/>
                <w:sz w:val="21"/>
              </w:rPr>
              <w:t xml:space="preserve"> 36 试次满分 54（旁路 v3test：20 试次连击满分 15，非正式采集）</w:t>
            </w:r>
          </w:p>
        </w:tc>
      </w:tr>
      <w:tr>
        <w:trPr>
          <w:cantSplit/>
        </w:trPr>
        <w:tc>
          <w:tcPr>
            <w:tcW w:type="dxa" w:w="4353"/>
          </w:tcPr>
          <w:p>
            <w:pPr>
              <w:spacing w:line="276" w:lineRule="auto"/>
              <w:jc w:val="left"/>
            </w:pPr>
            <w:r>
              <w:rPr>
                <w:rFonts w:ascii="Times New Roman" w:hAnsi="Times New Roman" w:eastAsia="宋体"/>
                <w:b w:val="0"/>
                <w:color w:val="000000"/>
                <w:sz w:val="21"/>
              </w:rPr>
              <w:t>质量门控</w:t>
            </w:r>
          </w:p>
        </w:tc>
        <w:tc>
          <w:tcPr>
            <w:tcW w:type="dxa" w:w="4353"/>
          </w:tcPr>
          <w:p>
            <w:pPr>
              <w:spacing w:line="276" w:lineRule="auto"/>
              <w:jc w:val="left"/>
            </w:pPr>
            <w:r>
              <w:rPr>
                <w:rFonts w:ascii="Times New Roman" w:hAnsi="Times New Roman" w:eastAsia="宋体"/>
                <w:b w:val="0"/>
                <w:color w:val="000000"/>
                <w:sz w:val="21"/>
              </w:rPr>
              <w:t>heldout 窗级：展示=因果平滑 · 门控=raw · PASS/FAIL · FAIL 落盘告警</w:t>
            </w:r>
          </w:p>
        </w:tc>
      </w:tr>
      <w:tr>
        <w:trPr>
          <w:cantSplit/>
        </w:trPr>
        <w:tc>
          <w:tcPr>
            <w:tcW w:type="dxa" w:w="4353"/>
          </w:tcPr>
          <w:p>
            <w:pPr>
              <w:spacing w:line="276" w:lineRule="auto"/>
              <w:jc w:val="left"/>
            </w:pPr>
            <w:r>
              <w:rPr>
                <w:rFonts w:ascii="Times New Roman" w:hAnsi="Times New Roman" w:eastAsia="宋体"/>
                <w:b w:val="0"/>
                <w:color w:val="000000"/>
                <w:sz w:val="21"/>
              </w:rPr>
              <w:t>EEG 看门狗</w:t>
            </w:r>
          </w:p>
        </w:tc>
        <w:tc>
          <w:tcPr>
            <w:tcW w:type="dxa" w:w="4353"/>
          </w:tcPr>
          <w:p>
            <w:pPr>
              <w:spacing w:line="276" w:lineRule="auto"/>
              <w:jc w:val="left"/>
            </w:pPr>
            <w:r>
              <w:rPr>
                <w:rFonts w:ascii="Times New Roman" w:hAnsi="Times New Roman" w:eastAsia="宋体"/>
                <w:b w:val="0"/>
                <w:color w:val="000000"/>
                <w:sz w:val="21"/>
              </w:rPr>
              <w:t>缓冲停滞告警 2.0 s · 会话中止 5.0 s（</w:t>
            </w:r>
            <w:r>
              <w:rPr>
                <w:rFonts w:ascii="Consolas" w:hAnsi="Consolas" w:eastAsia="Consolas"/>
                <w:b w:val="0"/>
                <w:color w:val="000000"/>
                <w:sz w:val="18"/>
              </w:rPr>
              <w:t>protocol.yaml</w:t>
            </w:r>
            <w:r>
              <w:rPr>
                <w:rFonts w:ascii="Times New Roman" w:hAnsi="Times New Roman" w:eastAsia="宋体"/>
                <w:b w:val="0"/>
                <w:color w:val="000000"/>
                <w:sz w:val="21"/>
              </w:rPr>
              <w:t>）</w:t>
            </w:r>
          </w:p>
        </w:tc>
      </w:tr>
    </w:tbl>
    <w:p>
      <w:pPr>
        <w:spacing w:after="60"/>
      </w:pPr>
    </w:p>
    <w:p>
      <w:pPr>
        <w:pStyle w:val="Heading1"/>
        <w:spacing w:line="312" w:lineRule="auto" w:before="280" w:after="160"/>
        <w:jc w:val="center"/>
      </w:pPr>
      <w:r>
        <w:rPr>
          <w:rFonts w:ascii="Times New Roman" w:hAnsi="Times New Roman" w:eastAsia="黑体"/>
          <w:b/>
          <w:color w:val="000000"/>
          <w:sz w:val="32"/>
        </w:rPr>
        <w:t>附录 B · 与赛题要求对照</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官方要求</w:t>
            </w:r>
          </w:p>
        </w:tc>
        <w:tc>
          <w:tcPr>
            <w:tcW w:type="dxa" w:w="4353"/>
            <w:shd w:val="clear" w:fill="D9E2F3"/>
          </w:tcPr>
          <w:p>
            <w:pPr>
              <w:spacing w:line="276" w:lineRule="auto"/>
              <w:jc w:val="center"/>
            </w:pPr>
            <w:r>
              <w:rPr>
                <w:rFonts w:ascii="Times New Roman" w:hAnsi="Times New Roman" w:eastAsia="宋体"/>
                <w:b/>
                <w:color w:val="000000"/>
                <w:sz w:val="21"/>
              </w:rPr>
              <w:t>本报告对应章节</w:t>
            </w:r>
          </w:p>
        </w:tc>
      </w:tr>
      <w:tr>
        <w:trPr>
          <w:cantSplit/>
        </w:trPr>
        <w:tc>
          <w:tcPr>
            <w:tcW w:type="dxa" w:w="4353"/>
          </w:tcPr>
          <w:p>
            <w:pPr>
              <w:spacing w:line="276" w:lineRule="auto"/>
              <w:jc w:val="left"/>
            </w:pPr>
            <w:r>
              <w:rPr>
                <w:rFonts w:ascii="Times New Roman" w:hAnsi="Times New Roman" w:eastAsia="宋体"/>
                <w:b w:val="0"/>
                <w:color w:val="000000"/>
                <w:sz w:val="21"/>
              </w:rPr>
              <w:t>三类认知信号特征提取方法</w:t>
            </w:r>
          </w:p>
        </w:tc>
        <w:tc>
          <w:tcPr>
            <w:tcW w:type="dxa" w:w="4353"/>
          </w:tcPr>
          <w:p>
            <w:pPr>
              <w:spacing w:line="276" w:lineRule="auto"/>
              <w:jc w:val="left"/>
            </w:pPr>
            <w:r>
              <w:rPr>
                <w:rFonts w:ascii="Times New Roman" w:hAnsi="Times New Roman" w:eastAsia="宋体"/>
                <w:b w:val="0"/>
                <w:color w:val="000000"/>
                <w:sz w:val="21"/>
              </w:rPr>
              <w:t>§4</w:t>
            </w:r>
          </w:p>
        </w:tc>
      </w:tr>
      <w:tr>
        <w:trPr>
          <w:cantSplit/>
        </w:trPr>
        <w:tc>
          <w:tcPr>
            <w:tcW w:type="dxa" w:w="4353"/>
          </w:tcPr>
          <w:p>
            <w:pPr>
              <w:spacing w:line="276" w:lineRule="auto"/>
              <w:jc w:val="left"/>
            </w:pPr>
            <w:r>
              <w:rPr>
                <w:rFonts w:ascii="Times New Roman" w:hAnsi="Times New Roman" w:eastAsia="宋体"/>
                <w:b w:val="0"/>
                <w:color w:val="000000"/>
                <w:sz w:val="21"/>
              </w:rPr>
              <w:t>分类模型架构</w:t>
            </w:r>
          </w:p>
        </w:tc>
        <w:tc>
          <w:tcPr>
            <w:tcW w:type="dxa" w:w="4353"/>
          </w:tcPr>
          <w:p>
            <w:pPr>
              <w:spacing w:line="276" w:lineRule="auto"/>
              <w:jc w:val="left"/>
            </w:pPr>
            <w:r>
              <w:rPr>
                <w:rFonts w:ascii="Times New Roman" w:hAnsi="Times New Roman" w:eastAsia="宋体"/>
                <w:b w:val="0"/>
                <w:color w:val="000000"/>
                <w:sz w:val="21"/>
              </w:rPr>
              <w:t>§5</w:t>
            </w:r>
          </w:p>
        </w:tc>
      </w:tr>
      <w:tr>
        <w:trPr>
          <w:cantSplit/>
        </w:trPr>
        <w:tc>
          <w:tcPr>
            <w:tcW w:type="dxa" w:w="4353"/>
          </w:tcPr>
          <w:p>
            <w:pPr>
              <w:spacing w:line="276" w:lineRule="auto"/>
              <w:jc w:val="left"/>
            </w:pPr>
            <w:r>
              <w:rPr>
                <w:rFonts w:ascii="Times New Roman" w:hAnsi="Times New Roman" w:eastAsia="宋体"/>
                <w:b w:val="0"/>
                <w:color w:val="000000"/>
                <w:sz w:val="21"/>
              </w:rPr>
              <w:t>异步交互协议设计原理</w:t>
            </w:r>
          </w:p>
        </w:tc>
        <w:tc>
          <w:tcPr>
            <w:tcW w:type="dxa" w:w="4353"/>
          </w:tcPr>
          <w:p>
            <w:pPr>
              <w:spacing w:line="276" w:lineRule="auto"/>
              <w:jc w:val="left"/>
            </w:pPr>
            <w:r>
              <w:rPr>
                <w:rFonts w:ascii="Times New Roman" w:hAnsi="Times New Roman" w:eastAsia="宋体"/>
                <w:b w:val="0"/>
                <w:color w:val="000000"/>
                <w:sz w:val="21"/>
              </w:rPr>
              <w:t>§6</w:t>
            </w:r>
          </w:p>
        </w:tc>
      </w:tr>
      <w:tr>
        <w:trPr>
          <w:cantSplit/>
        </w:trPr>
        <w:tc>
          <w:tcPr>
            <w:tcW w:type="dxa" w:w="4353"/>
          </w:tcPr>
          <w:p>
            <w:pPr>
              <w:spacing w:line="276" w:lineRule="auto"/>
              <w:jc w:val="left"/>
            </w:pPr>
            <w:r>
              <w:rPr>
                <w:rFonts w:ascii="Times New Roman" w:hAnsi="Times New Roman" w:eastAsia="宋体"/>
                <w:b w:val="0"/>
                <w:color w:val="000000"/>
                <w:sz w:val="21"/>
              </w:rPr>
              <w:t>脑电数据采集标准规范</w:t>
            </w:r>
          </w:p>
        </w:tc>
        <w:tc>
          <w:tcPr>
            <w:tcW w:type="dxa" w:w="4353"/>
          </w:tcPr>
          <w:p>
            <w:pPr>
              <w:spacing w:line="276" w:lineRule="auto"/>
              <w:jc w:val="left"/>
            </w:pPr>
            <w:r>
              <w:rPr>
                <w:rFonts w:ascii="Times New Roman" w:hAnsi="Times New Roman" w:eastAsia="宋体"/>
                <w:b w:val="0"/>
                <w:color w:val="000000"/>
                <w:sz w:val="21"/>
              </w:rPr>
              <w:t>§3</w:t>
            </w:r>
          </w:p>
        </w:tc>
      </w:tr>
      <w:tr>
        <w:trPr>
          <w:cantSplit/>
        </w:trPr>
        <w:tc>
          <w:tcPr>
            <w:tcW w:type="dxa" w:w="4353"/>
          </w:tcPr>
          <w:p>
            <w:pPr>
              <w:spacing w:line="276" w:lineRule="auto"/>
              <w:jc w:val="left"/>
            </w:pPr>
            <w:r>
              <w:rPr>
                <w:rFonts w:ascii="Times New Roman" w:hAnsi="Times New Roman" w:eastAsia="宋体"/>
                <w:b w:val="0"/>
                <w:color w:val="000000"/>
                <w:sz w:val="21"/>
              </w:rPr>
              <w:t>实验验证流程与评价指标</w:t>
            </w:r>
          </w:p>
        </w:tc>
        <w:tc>
          <w:tcPr>
            <w:tcW w:type="dxa" w:w="4353"/>
          </w:tcPr>
          <w:p>
            <w:pPr>
              <w:spacing w:line="276" w:lineRule="auto"/>
              <w:jc w:val="left"/>
            </w:pPr>
            <w:r>
              <w:rPr>
                <w:rFonts w:ascii="Times New Roman" w:hAnsi="Times New Roman" w:eastAsia="宋体"/>
                <w:b w:val="0"/>
                <w:color w:val="000000"/>
                <w:sz w:val="21"/>
              </w:rPr>
              <w:t>§9 + Excel 报告</w:t>
            </w:r>
          </w:p>
        </w:tc>
      </w:tr>
      <w:tr>
        <w:trPr>
          <w:cantSplit/>
        </w:trPr>
        <w:tc>
          <w:tcPr>
            <w:tcW w:type="dxa" w:w="4353"/>
          </w:tcPr>
          <w:p>
            <w:pPr>
              <w:spacing w:line="276" w:lineRule="auto"/>
              <w:jc w:val="left"/>
            </w:pPr>
            <w:r>
              <w:rPr>
                <w:rFonts w:ascii="Times New Roman" w:hAnsi="Times New Roman" w:eastAsia="宋体"/>
                <w:b w:val="0"/>
                <w:color w:val="000000"/>
                <w:sz w:val="21"/>
              </w:rPr>
              <w:t>实验数据与分析结论</w:t>
            </w:r>
          </w:p>
        </w:tc>
        <w:tc>
          <w:tcPr>
            <w:tcW w:type="dxa" w:w="4353"/>
          </w:tcPr>
          <w:p>
            <w:pPr>
              <w:spacing w:line="276" w:lineRule="auto"/>
              <w:jc w:val="left"/>
            </w:pPr>
            <w:r>
              <w:rPr>
                <w:rFonts w:ascii="Times New Roman" w:hAnsi="Times New Roman" w:eastAsia="宋体"/>
                <w:b w:val="0"/>
                <w:color w:val="000000"/>
                <w:sz w:val="21"/>
              </w:rPr>
              <w:t>§7–§9 + Excel 报告</w:t>
            </w:r>
          </w:p>
        </w:tc>
      </w:tr>
      <w:tr>
        <w:trPr>
          <w:cantSplit/>
        </w:trPr>
        <w:tc>
          <w:tcPr>
            <w:tcW w:type="dxa" w:w="4353"/>
          </w:tcPr>
          <w:p>
            <w:pPr>
              <w:spacing w:line="276" w:lineRule="auto"/>
              <w:jc w:val="left"/>
            </w:pPr>
            <w:r>
              <w:rPr>
                <w:rFonts w:ascii="Times New Roman" w:hAnsi="Times New Roman" w:eastAsia="宋体"/>
                <w:b w:val="0"/>
                <w:color w:val="000000"/>
                <w:sz w:val="21"/>
              </w:rPr>
              <w:t>参考文献列表</w:t>
            </w:r>
          </w:p>
        </w:tc>
        <w:tc>
          <w:tcPr>
            <w:tcW w:type="dxa" w:w="4353"/>
          </w:tcPr>
          <w:p>
            <w:pPr>
              <w:spacing w:line="276" w:lineRule="auto"/>
              <w:jc w:val="left"/>
            </w:pPr>
            <w:r>
              <w:rPr>
                <w:rFonts w:ascii="Times New Roman" w:hAnsi="Times New Roman" w:eastAsia="宋体"/>
                <w:b w:val="0"/>
                <w:color w:val="000000"/>
                <w:sz w:val="21"/>
              </w:rPr>
              <w:t>参考文献</w:t>
            </w:r>
          </w:p>
        </w:tc>
      </w:tr>
    </w:tbl>
    <w:p>
      <w:pPr>
        <w:spacing w:after="60"/>
      </w:pPr>
    </w:p>
    <w:p>
      <w:pPr>
        <w:spacing w:line="312" w:lineRule="auto" w:before="0" w:after="120"/>
        <w:ind w:firstLine="480"/>
        <w:jc w:val="both"/>
      </w:pPr>
      <w:r>
        <w:rPr>
          <w:rFonts w:ascii="Times New Roman" w:hAnsi="Times New Roman" w:eastAsia="宋体"/>
          <w:b w:val="0"/>
          <w:color w:val="000000"/>
          <w:sz w:val="21"/>
        </w:rPr>
        <w:t>说明：本报告与随附 Excel/代码包/演示视频构成完整提交材料；报告中标注【提交前更新】处需在最终提交前回填（自采被试人数、真机延迟 p50/p95 等）。</w:t>
      </w:r>
    </w:p>
    <w:sectPr w:rsidR="00FC693F" w:rsidRPr="0006063C" w:rsidSect="00034616">
      <w:footerReference w:type="default" r:id="rId9"/>
      <w:pgSz w:w="11906" w:h="16838"/>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