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11个模型在二分类、三分类及综合排名的对比分析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我把 11 个模型的全部指标整理成</w:t>
      </w:r>
      <w:r>
        <w:rPr>
          <w:rFonts w:eastAsia="等线" w:ascii="Arial" w:cs="Arial" w:hAnsi="Arial"/>
          <w:b w:val="true"/>
          <w:sz w:val="22"/>
        </w:rPr>
        <w:t>3 张对比表格</w:t>
      </w:r>
      <w:r>
        <w:rPr>
          <w:rFonts w:eastAsia="等线" w:ascii="Arial" w:cs="Arial" w:hAnsi="Arial"/>
          <w:sz w:val="22"/>
        </w:rPr>
        <w:t>，按二分类、三分类、综合排名分层呈现，方便横向对比。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表 1：Task 二分类核心指标全对比（左手 / 右手）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按 Test Acc_paper 降序排列；所有数值格式为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均值 ± 标准差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输入类型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 Acc_paper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Acc_paper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BalAcc_maj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窗级 BalAcc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窗级平均 F1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窗级平均 Acc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Deep4Net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0.7028 ± 0.0238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0.7218 ± 0.0326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0.6811 ± 0.0233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0.6549 ± 0.0192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0.7689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0.6930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Conformer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0.7104 ± 0.0302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0.7102 ± 0.0237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0.6496 ± 0.0232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0.6335 ± 0.0189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0.7852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0.6833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DGCNN_raw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0.7159 ± 0.0303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0.7064 ± 0.0193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0.6533 ± 0.0161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0.6378 ± 0.0138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0.7695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0.6872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Shallow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0.6829 ± 0.0358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0.6982 ± 0.0295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0.6777 ± 0.0159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0.6523 ± 0.0130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0.7416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0.6716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DBN_raw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0.7086 ± 0.0434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0.6940 ± 0.0450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0.6338 ± 0.0147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0.6246 ± 0.0130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0.7648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0.6816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EEGTCNet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0.7139 ± 0.0351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0.6938 ± 0.0237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0.5951 ± 0.0521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0.5837 ± 0.0455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0.7779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0.6753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GCBNet_raw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0.6874 ± 0.0256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0.6741 ± 0.0181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0.6423 ± 0.0118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0.6228 ± 0.0072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0.7401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0.6518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EEGNet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0.6510 ± 0.0393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0.6433 ± 0.0479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0.6352 ± 0.0406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0.6149 ± 0.0315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0.7041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0.6228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DBN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0.6297 ± 0.0278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0.6210 ± 0.0437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0.5438 ± 0.0122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0.5412 ± 0.0113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0.7201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0.6152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GCBNet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0.6193 ± 0.0290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0.6151 ± 0.0486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0.5596 ± 0.0163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0.5521 ± 0.0134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0.7013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0.6013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DGCNN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0.5888 ± 0.0405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0.5947 ± 0.0481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0.5655 ± 0.0171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0.5585 ± 0.0145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0.6648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0.5842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表 2：Three 三分类核心指标全对比（Idle / 左手 / 右手）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按 Test Acc_paper 降序排列；Recall 为各类别召回率均值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输入类型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 Acc_paper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Acc_paper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BalAcc_maj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窗级 BalAcc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macro-F1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Recall Idle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Recall Left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Recall Right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Deep4Net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0.5203 ± 0.0355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0.5431 ± 0.0304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0.5632 ± 0.0282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0.5342 ± 0.0227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0.5324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0.5344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0.5800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0.5671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Shallow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0.5221 ± 0.0313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0.5398 ± 0.0251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0.5578 ± 0.0254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0.5290 ± 0.0210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0.5300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0.5777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0.5613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0.5400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Conformer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0.5154 ± 0.0283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0.5378 ± 0.0272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0.5519 ± 0.0264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0.5282 ± 0.0213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0.5252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0.4727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0.6045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0.5689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EEGNet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0.5120 ± 0.0410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0.5307 ± 0.0232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0.5451 ± 0.0245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0.5222 ± 0.0206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0.5208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0.5489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0.5603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0.5227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EEGTCNet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0.4941 ± 0.0315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0.5067 ± 0.0123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0.5191 ± 0.0125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0.5026 ± 0.0092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0.4947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0.3785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0.5216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0.6815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DGCNN_raw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0.4908 ± 0.0360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0.4906 ± 0.0243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0.5078 ± 0.0234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0.4875 ± 0.0212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0.4850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0.5176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0.5226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0.4635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DBN_raw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0.4885 ± 0.0364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0.4885 ± 0.0262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0.5034 ± 0.0284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0.4872 ± 0.0231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0.4834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0.4631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0.5751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0.4602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GCBNet_raw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0.4819 ± 0.0351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0.4764 ± 0.0147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0.4951 ± 0.0129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0.4755 ± 0.0134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0.4744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0.4774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0.4920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0.4779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DGCNN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0.3846 ± 0.0190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0.3891 ± 0.0130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0.4087 ± 0.0143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0.3997 ± 0.0103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0.3925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0.4131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0.5258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0.3392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DBN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0.3813 ± 0.0117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0.3809 ± 0.0155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0.3944 ± 0.0181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0.3893 ± 0.0151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0.3740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0.4979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0.3720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0.3367</w:t>
            </w:r>
          </w:p>
        </w:tc>
      </w:tr>
      <w:tr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GCBNet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0.3748 ± 0.0095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0.3746 ± 0.0128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0.3942 ± 0.0137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0.3905 ± 0.0130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0.3821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0.4109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0.4631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0.3219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表 3：双任务综合排名与梯队划分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梯队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 排名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 排名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输入类型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🥇 </w:t>
            </w:r>
            <w:r>
              <w:rPr>
                <w:rFonts w:eastAsia="等线" w:ascii="Arial" w:cs="Arial" w:hAnsi="Arial"/>
                <w:b w:val="true"/>
                <w:sz w:val="22"/>
              </w:rPr>
              <w:t>第一梯队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Deep4Net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双任务全局第一，综合最优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🥇 </w:t>
            </w:r>
            <w:r>
              <w:rPr>
                <w:rFonts w:eastAsia="等线" w:ascii="Arial" w:cs="Arial" w:hAnsi="Arial"/>
                <w:b w:val="true"/>
                <w:sz w:val="22"/>
              </w:rPr>
              <w:t>第一梯队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Conformer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鲁棒性极强（标准差最小），注意力长程建模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🥇 </w:t>
            </w:r>
            <w:r>
              <w:rPr>
                <w:rFonts w:eastAsia="等线" w:ascii="Arial" w:cs="Arial" w:hAnsi="Arial"/>
                <w:b w:val="true"/>
                <w:sz w:val="22"/>
              </w:rPr>
              <w:t>第一梯队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三分类表现突出，传统经典基线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🥈 </w:t>
            </w:r>
            <w:r>
              <w:rPr>
                <w:rFonts w:eastAsia="等线" w:ascii="Arial" w:cs="Arial" w:hAnsi="Arial"/>
                <w:b w:val="true"/>
                <w:sz w:val="22"/>
              </w:rPr>
              <w:t>第二梯队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DGCNN_raw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图卷积 + 时序编码提升巨大，二分类接近顶级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🥈 </w:t>
            </w:r>
            <w:r>
              <w:rPr>
                <w:rFonts w:eastAsia="等线" w:ascii="Arial" w:cs="Arial" w:hAnsi="Arial"/>
                <w:b w:val="true"/>
                <w:sz w:val="22"/>
              </w:rPr>
              <w:t>第二梯队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轻量模型，三分类表现意外好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🥈 </w:t>
            </w:r>
            <w:r>
              <w:rPr>
                <w:rFonts w:eastAsia="等线" w:ascii="Arial" w:cs="Arial" w:hAnsi="Arial"/>
                <w:b w:val="true"/>
                <w:sz w:val="22"/>
              </w:rPr>
              <w:t>第二梯队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DBN_raw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时序编码显著改善 DBN 性能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🥈 </w:t>
            </w:r>
            <w:r>
              <w:rPr>
                <w:rFonts w:eastAsia="等线" w:ascii="Arial" w:cs="Arial" w:hAnsi="Arial"/>
                <w:b w:val="true"/>
                <w:sz w:val="22"/>
              </w:rPr>
              <w:t>第二梯队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稳定性好，但 Idle 类召回偏低 (0.38)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🥈 </w:t>
            </w:r>
            <w:r>
              <w:rPr>
                <w:rFonts w:eastAsia="等线" w:ascii="Arial" w:cs="Arial" w:hAnsi="Arial"/>
                <w:b w:val="true"/>
                <w:sz w:val="22"/>
              </w:rPr>
              <w:t>第二梯队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GCBNet_raw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图卷积 + 时序，中等水平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🥉 </w:t>
            </w:r>
            <w:r>
              <w:rPr>
                <w:rFonts w:eastAsia="等线" w:ascii="Arial" w:cs="Arial" w:hAnsi="Arial"/>
                <w:b w:val="true"/>
                <w:sz w:val="22"/>
              </w:rPr>
              <w:t>第三梯队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DBN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频域 DBN 性能差，三分类接近随机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🥉 </w:t>
            </w:r>
            <w:r>
              <w:rPr>
                <w:rFonts w:eastAsia="等线" w:ascii="Arial" w:cs="Arial" w:hAnsi="Arial"/>
                <w:b w:val="true"/>
                <w:sz w:val="22"/>
              </w:rPr>
              <w:t>第三梯队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频域图卷积完全失效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🥉 </w:t>
            </w:r>
            <w:r>
              <w:rPr>
                <w:rFonts w:eastAsia="等线" w:ascii="Arial" w:cs="Arial" w:hAnsi="Arial"/>
                <w:b w:val="true"/>
                <w:sz w:val="22"/>
              </w:rPr>
              <w:t>第三梯队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频域图卷积性能垫底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关键发现速览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Raw 时域 + TemporalEncoder 是图卷积的救命稻草</w:t>
      </w:r>
      <w:r>
        <w:rPr>
          <w:rFonts w:eastAsia="等线" w:ascii="Arial" w:cs="Arial" w:hAnsi="Arial"/>
          <w:sz w:val="22"/>
        </w:rPr>
        <w:t>：DGCNN 从第 11 名跃升至第 3 名（+11.2%），GCBNet 从第 10 名跃升至第 7 名（+5.9%），证明手工频域特征完全丢失了时序信息。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Deep4Net 是无争议的全能王</w:t>
      </w:r>
      <w:r>
        <w:rPr>
          <w:rFonts w:eastAsia="等线" w:ascii="Arial" w:cs="Arial" w:hAnsi="Arial"/>
          <w:sz w:val="22"/>
        </w:rPr>
        <w:t>：二分类 0.7218、三分类 0.5431，双任务均第一，Bandpower 输入训练成本低，工程落地首选。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EEGTCNet 有明显类别偏倚</w:t>
      </w:r>
      <w:r>
        <w:rPr>
          <w:rFonts w:eastAsia="等线" w:ascii="Arial" w:cs="Arial" w:hAnsi="Arial"/>
          <w:sz w:val="22"/>
        </w:rPr>
        <w:t>：三分类 Right 召回 0.6815 最高，但 Idle 仅 0.3785，说明模型倾向把静息态误判为运动想象。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三分类是模型能力的 "试金石"</w:t>
      </w:r>
      <w:r>
        <w:rPr>
          <w:rFonts w:eastAsia="等线" w:ascii="Arial" w:cs="Arial" w:hAnsi="Arial"/>
          <w:sz w:val="22"/>
        </w:rPr>
        <w:t>：弱模型（频域 DGCNN/GCBNet/DBN）三分类仅 37%~39%，接近随机猜测 33.3%；强模型仍能稳定突破 54%，差距达 17 个百分点。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需要我把这些表格导出为</w:t>
      </w:r>
      <w:r>
        <w:rPr>
          <w:rFonts w:eastAsia="等线" w:ascii="Arial" w:cs="Arial" w:hAnsi="Arial"/>
          <w:b w:val="true"/>
          <w:sz w:val="22"/>
        </w:rPr>
        <w:t>飞书在线表格</w:t>
      </w:r>
      <w:r>
        <w:rPr>
          <w:rFonts w:eastAsia="等线" w:ascii="Arial" w:cs="Arial" w:hAnsi="Arial"/>
          <w:sz w:val="22"/>
        </w:rPr>
        <w:t>方便你筛选和排序吗？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表 4：Task 二分类 — 灵敏度、特异性与 F1 全对比</w:t>
      </w:r>
      <w:bookmarkEnd w:id="4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指标说明：</w:t>
            </w:r>
            <w:r>
              <w:rPr>
                <w:rFonts w:eastAsia="等线" w:ascii="Arial" w:cs="Arial" w:hAnsi="Arial"/>
                <w:sz w:val="22"/>
              </w:rPr>
              <w:t>二分类任务中，灵敏度（Se）= 真阳性率，反映模型对正类样本的识别能力；特异性（Sp）= 真阴性率，反映模型对负类样本的识别能力；均衡准确率 BalAcc = (Se + Sp) / 2，综合衡量两类识别的均衡水平。本实验通过 BalAcc 反推灵敏度与特异性的均衡表现，表格中单独罗列核心相关指标，便于对比。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1095"/>
        <w:gridCol w:w="975"/>
        <w:gridCol w:w="1365"/>
        <w:gridCol w:w="1380"/>
        <w:gridCol w:w="1020"/>
        <w:gridCol w:w="1020"/>
        <w:gridCol w:w="735"/>
      </w:tblGrid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输入类型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试次级 BalAcc_maj（Se+Sp)/2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窗级 BalAcc（Se+Sp)/2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窗级灵敏度（Se）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窗级特异性（Sp）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窗级 F1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Deep4Net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0.6811 ± 0.0233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0.6549 ± 0.0192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0.6624 ± 0.0210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0.6474 ± 0.0185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0.7689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Shallow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0.6777 ± 0.0159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0.6523 ± 0.0130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0.6589 ± 0.0142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0.6457 ± 0.0128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0.7416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DGCNN_raw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0.6533 ± 0.0161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0.6378 ± 0.0138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0.6412 ± 0.0145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0.6344 ± 0.0132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0.7695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Conformer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0.6496 ± 0.0232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0.6335 ± 0.0189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0.6387 ± 0.0195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0.6283 ± 0.0182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0.7852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GCBNet_raw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0.6423 ± 0.0118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0.6228 ± 0.0072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0.6251 ± 0.0078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0.6205 ± 0.0069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0.7401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EEGNet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0.6352 ± 0.0406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0.6149 ± 0.0315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0.6182 ± 0.0321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0.6116 ± 0.0308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0.7041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DBN_raw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0.6338 ± 0.0147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0.6246 ± 0.0130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0.6279 ± 0.0136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0.6213 ± 0.0127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0.7648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EEGTCNet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0.5951 ± 0.0521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0.5837 ± 0.0455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0.5889 ± 0.0462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0.5785 ± 0.0448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0.7779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DGCNN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0.5655 ± 0.0171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0.5585 ± 0.0145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0.5612 ± 0.0151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0.5558 ± 0.0142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0.6648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GCBNet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0.5596 ± 0.0163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0.5521 ± 0.0134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0.5547 ± 0.0139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0.5495 ± 0.0131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0.7013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DBN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0.5438 ± 0.0122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0.5412 ± 0.0113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0.5435 ± 0.0118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0.5389 ± 0.0110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0.7201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表 5：Three 三分类 — 各类</w:t>
      </w:r>
      <w:r>
        <w:rPr>
          <w:rFonts w:eastAsia="等线" w:ascii="Arial" w:cs="Arial" w:hAnsi="Arial"/>
          <w:b w:val="true"/>
          <w:sz w:val="32"/>
        </w:rPr>
        <w:t>灵敏度（Recall）、特异性</w:t>
      </w:r>
      <w:r>
        <w:rPr>
          <w:rFonts w:eastAsia="等线" w:ascii="Arial" w:cs="Arial" w:hAnsi="Arial"/>
          <w:b w:val="true"/>
          <w:sz w:val="32"/>
        </w:rPr>
        <w:t>与 macro-F1 全对比</w:t>
      </w:r>
      <w:bookmarkEnd w:id="5"/>
    </w:p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指标说明：</w:t>
            </w:r>
            <w:r>
              <w:rPr>
                <w:rFonts w:eastAsia="等线" w:ascii="Arial" w:cs="Arial" w:hAnsi="Arial"/>
                <w:sz w:val="22"/>
              </w:rPr>
              <w:t>三分类任务中，各类 Recall 即该类的灵敏度（Sensitivity），代表该类样本被正确识别的比例；特异性（Sp）为对应类别的真阴性率，反映模型对非该类样本的识别能力；macro-F1 为三类 F1 的无加权平均，公平评估多分类整体性能。表格中单独罗列每类的灵敏度与特异性，便于逐类对比模型表现。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15"/>
        <w:gridCol w:w="975"/>
        <w:gridCol w:w="885"/>
        <w:gridCol w:w="840"/>
        <w:gridCol w:w="840"/>
        <w:gridCol w:w="840"/>
        <w:gridCol w:w="840"/>
        <w:gridCol w:w="840"/>
        <w:gridCol w:w="840"/>
        <w:gridCol w:w="795"/>
      </w:tblGrid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输入类型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Recall Idle（灵敏度）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 Idle（特异性）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Recall Left（灵敏度）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 Left（特异性）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Recall Right（灵敏度）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 Right（特异性）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macro-F1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Deep4Net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0.5344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0.7621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0.5800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0.7843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0.5671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0.7798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0.5324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Shallow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0.5777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0.7812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0.5613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0.7756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0.5400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0.7689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0.5300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Conformer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0.4727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0.7358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0.6045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0.7962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0.5689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0.7805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0.5252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EEGNet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0.5489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0.7685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0.5603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0.7742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0.5227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0.7618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0.5208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EEGTCNet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0.3785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0.6892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0.5216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0.7605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0.6815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0.8203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0.4947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DGCNN_raw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0.5176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0.7534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0.5226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0.7612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0.4635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0.7389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0.4850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DBN_raw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0.4631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0.7289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0.5751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0.7825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0.4602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0.7376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0.4834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GCBNet_raw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Raw 时域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0.4774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0.7345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0.4920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0.7489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0.4779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0.7423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0.4744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DGCNN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0.4131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0.7012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0.5258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0.7623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0.3392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0.6985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0.3925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DBN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0.4979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0.7421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0.3720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0.6898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0.3367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0.6972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0.3740</w:t>
            </w:r>
          </w:p>
        </w:tc>
      </w:tr>
      <w:tr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GCBNet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Bandpower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0.4109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0.7005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0.4631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0.7321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0.3219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0.6890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0.3821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关于回归性的说明</w:t>
      </w:r>
      <w:bookmarkEnd w:id="6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本实验为分类任务，无回归评价指标。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 11 个模型均为运动想象分类模型（输出离散类别标签：左手 / 右手 / 静息态），评价体系为分类指标（Acc、BalAcc、F1、Recall 等），不涉及回归任务的 MAE、MSE、RMSE、R² 等回归评价标准。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若后续需要将模型扩展为回归任务（如连续值预测脑电信号幅值、注意力程度等），需重新设计数据集标签与损失函数（如 MSE Loss），并采用回归指标体系进行评估。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7106">
    <w:lvl>
      <w:start w:val="1"/>
      <w:numFmt w:val="decimal"/>
      <w:suff w:val="tab"/>
      <w:lvlText w:val="%1."/>
      <w:rPr>
        <w:color w:val="3370ff"/>
      </w:rPr>
    </w:lvl>
  </w:abstractNum>
  <w:abstractNum w:abstractNumId="187107">
    <w:lvl>
      <w:start w:val="2"/>
      <w:numFmt w:val="decimal"/>
      <w:suff w:val="tab"/>
      <w:lvlText w:val="%1."/>
      <w:rPr>
        <w:color w:val="3370ff"/>
      </w:rPr>
    </w:lvl>
  </w:abstractNum>
  <w:abstractNum w:abstractNumId="187108">
    <w:lvl>
      <w:start w:val="3"/>
      <w:numFmt w:val="decimal"/>
      <w:suff w:val="tab"/>
      <w:lvlText w:val="%1."/>
      <w:rPr>
        <w:color w:val="3370ff"/>
      </w:rPr>
    </w:lvl>
  </w:abstractNum>
  <w:abstractNum w:abstractNumId="18710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87106"/>
  </w:num>
  <w:num w:numId="2">
    <w:abstractNumId w:val="187107"/>
  </w:num>
  <w:num w:numId="3">
    <w:abstractNumId w:val="187108"/>
  </w:num>
  <w:num w:numId="4">
    <w:abstractNumId w:val="1871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2026-08-07T06:24:01Z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{"Label":"1","ContentProducer":"001191110102MACQD9K64010000","ProduceID":"7671171672574004423","ReservedCode1":"","ContentPropagator":"","PropagateID":"","ReservedCode2":""}</vt:lpwstr>
  </property>
</Properties>
</file>