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面向少样本个体适配的运动想象脑机接口系统</w:t>
      </w:r>
      <w:r>
        <w:rPr>
          <w:rFonts w:eastAsia="等线" w:ascii="Arial" w:cs="Arial" w:hAnsi="Arial"/>
          <w:b w:val="true"/>
          <w:sz w:val="52"/>
        </w:rPr>
        <w:t>设计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一、项目研究目标（Project Goal）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本研究不聚焦于设计新型卷积网络、Transformer结构或分类头模块，核心研究定位为</w:t>
      </w:r>
      <w:r>
        <w:rPr>
          <w:rFonts w:eastAsia="等线" w:ascii="Arial" w:cs="Arial" w:hAnsi="Arial"/>
          <w:b w:val="true"/>
          <w:sz w:val="22"/>
        </w:rPr>
        <w:t>面向少样本个体适配（Few-shot Personalized Adaptation）的个体化运动想象脑机接口（Personalized MI-BCI）系统构建</w:t>
      </w:r>
      <w:r>
        <w:rPr>
          <w:rFonts w:eastAsia="等线" w:ascii="Arial" w:cs="Arial" w:hAnsi="Arial"/>
          <w:sz w:val="22"/>
        </w:rPr>
        <w:t>。针对现有运动想象脑机接口对新用户标定成本高、泛化性能差的行业痛点，旨在实现全新受试者的快速个性化适配：新受试者仅需几分钟采集少量标定试次（Trial），即可通过少样本微调快速生成专属个体解码模型，无需长时间全量数据训练，最终实现稳定的在线运动意图解码与人机交互控制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本研究核心科学问题为：如何依托跨被试通用预训练模型，结合少量个体标定数据，平衡模型泛化性与个体特异性，实现低成本、高效率的个体化MI-BCI快速适配。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二、研究背景与研究意义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当前运动想象脑机接口的落地应用存在两大核心瓶颈，两种主流方案均存在明显短板，难以兼顾实用性与解码精度：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第一种为</w:t>
      </w:r>
      <w:r>
        <w:rPr>
          <w:rFonts w:eastAsia="等线" w:ascii="Arial" w:cs="Arial" w:hAnsi="Arial"/>
          <w:b w:val="true"/>
          <w:sz w:val="22"/>
        </w:rPr>
        <w:t>全量个体训练方案</w:t>
      </w:r>
      <w:r>
        <w:rPr>
          <w:rFonts w:eastAsia="等线" w:ascii="Arial" w:cs="Arial" w:hAnsi="Arial"/>
          <w:sz w:val="22"/>
        </w:rPr>
        <w:t>：针对每一位受试者单独采集大量数据、从零训练专属模型。该方案可实现较高的个体解码精度，但存在标定耗时久、训练成本高、复用性差的问题，每位受试者均需数小时数据采集与训练，严重限制BCI系统的落地普及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第二种为</w:t>
      </w:r>
      <w:r>
        <w:rPr>
          <w:rFonts w:eastAsia="等线" w:ascii="Arial" w:cs="Arial" w:hAnsi="Arial"/>
          <w:b w:val="true"/>
          <w:sz w:val="22"/>
        </w:rPr>
        <w:t>纯跨被试通用模型方案</w:t>
      </w:r>
      <w:r>
        <w:rPr>
          <w:rFonts w:eastAsia="等线" w:ascii="Arial" w:cs="Arial" w:hAnsi="Arial"/>
          <w:sz w:val="22"/>
        </w:rPr>
        <w:t>：依托公开数据集训练全局通用模型，直接应用于全新受试者，无需个体标定。该方案彻底免除个体标定成本，但由于脑电信号存在极强的个体差异性，不同受试者的运动想象节律、信号分布差异显著，通用模型无法适配个体特征，最终导致在线解码精度大幅下降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基于上述痛点，本研究融合两类方案的核心优势，构建</w:t>
      </w:r>
      <w:r>
        <w:rPr>
          <w:rFonts w:eastAsia="等线" w:ascii="Arial" w:cs="Arial" w:hAnsi="Arial"/>
          <w:b w:val="true"/>
          <w:sz w:val="22"/>
        </w:rPr>
        <w:t>通用预训练模型+少样本个体微调</w:t>
      </w:r>
      <w:r>
        <w:rPr>
          <w:rFonts w:eastAsia="等线" w:ascii="Arial" w:cs="Arial" w:hAnsi="Arial"/>
          <w:sz w:val="22"/>
        </w:rPr>
        <w:t>的新型适配范式，既规避全量训练的高成本问题，又弥补纯通用模型个体适配能力不足的缺陷，实现「低成本标定、高精度适配、快速落地」的个体化运动想象BCI系统，具备重要的工程应用价值与学术研究意义。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三、总体技术路线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本研究整体技术流程分为</w:t>
      </w:r>
      <w:r>
        <w:rPr>
          <w:rFonts w:eastAsia="等线" w:ascii="Arial" w:cs="Arial" w:hAnsi="Arial"/>
          <w:b w:val="true"/>
          <w:sz w:val="22"/>
        </w:rPr>
        <w:t>离线通用模型优选</w:t>
      </w:r>
      <w:r>
        <w:rPr>
          <w:rFonts w:eastAsia="等线" w:ascii="Arial" w:cs="Arial" w:hAnsi="Arial"/>
          <w:sz w:val="22"/>
        </w:rPr>
        <w:t>与</w:t>
      </w:r>
      <w:r>
        <w:rPr>
          <w:rFonts w:eastAsia="等线" w:ascii="Arial" w:cs="Arial" w:hAnsi="Arial"/>
          <w:b w:val="true"/>
          <w:sz w:val="22"/>
        </w:rPr>
        <w:t>在线少样本个体适配</w:t>
      </w:r>
      <w:r>
        <w:rPr>
          <w:rFonts w:eastAsia="等线" w:ascii="Arial" w:cs="Arial" w:hAnsi="Arial"/>
          <w:sz w:val="22"/>
        </w:rPr>
        <w:t>两大核心阶段，两级阶段层层递进、紧密耦合，构成完整的个体化MI-BCI系统、增量持续学习、样本回放缓存等非核心模块，聚焦少样本快速适配核心目标。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3.1 第一阶段：离线跨被试通用模型训练与优选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优秀的泛化通用模型是少样本微调适配的核心基础，直接决定后续个体微调的性能上限。本阶段核心目标为：在统一实验条件下，对比多种主流主干网络（Backbone）的跨被试泛化能力，筛选出适配少样本微调任务的最优通用基线模型，为第二阶段个体适配研究提供固定模型基础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本阶段严格控制实验变量统一，保证横向对比的公平性，统一设置实验参数：固定Linear基础分类头、交叉熵损失函数、Adam优化器、统一训练轮次与预处理流水线。整体流程如下：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离线通用模型训练与优选完整流程如下：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flowchart TD</w:t>
              <w:br/>
              <w:t>A[多源数据集BCI Competition IV 2a / OpenBMI / 自研数据集] --&gt; B[统一标准化预处理CAR参考平均 / 带通滤波 / 基线校正 / 单试次Z-score]</w:t>
              <w:br/>
              <w:t>B --&gt; C[数据集划分与验证静息态/任务态划分 + 特征有效性对比]</w:t>
              <w:br/>
              <w:t>C --&gt; D[多主干模型统一跨被试预训练固定超参与训练条件，保证公平对比]</w:t>
              <w:br/>
              <w:t>D --&gt; E[模型泛化性能横向对比精度、稳定性、少样本适配潜力评估]</w:t>
              <w:br/>
              <w:t>E --&gt; F[筛选最优通用主干模型]</w:t>
              <w:br/>
              <w:t>F --&gt; G[固化并保存全局通用模型权重]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" w:id="4"/>
      <w:r>
        <w:rPr>
          <w:rFonts w:eastAsia="等线" w:ascii="Arial" w:cs="Arial" w:hAnsi="Arial"/>
          <w:b w:val="true"/>
          <w:sz w:val="28"/>
        </w:rPr>
        <w:t>3.1.1 对比主干模型体系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为系统性探究不同网络架构对少样本适配任务的泛化性能，本文选取运动想象领域</w:t>
      </w:r>
      <w:r>
        <w:rPr>
          <w:rFonts w:eastAsia="等线" w:ascii="Arial" w:cs="Arial" w:hAnsi="Arial"/>
          <w:sz w:val="22"/>
        </w:rPr>
        <w:t>四</w:t>
      </w:r>
      <w:r>
        <w:rPr>
          <w:rFonts w:eastAsia="等线" w:ascii="Arial" w:cs="Arial" w:hAnsi="Arial"/>
          <w:sz w:val="22"/>
        </w:rPr>
        <w:t>类经典主流</w:t>
      </w:r>
      <w:r>
        <w:rPr>
          <w:rFonts w:eastAsia="等线" w:ascii="Arial" w:cs="Arial" w:hAnsi="Arial"/>
          <w:sz w:val="22"/>
        </w:rPr>
        <w:t>深度学习</w:t>
      </w:r>
      <w:r>
        <w:rPr>
          <w:rFonts w:eastAsia="等线" w:ascii="Arial" w:cs="Arial" w:hAnsi="Arial"/>
          <w:sz w:val="22"/>
        </w:rPr>
        <w:t>模型，覆盖浅层CNN、深层CNN、时序增强CNN、CNN-Transformer时空融合架构，</w:t>
      </w:r>
      <w:r>
        <w:rPr>
          <w:rFonts w:eastAsia="等线" w:ascii="Arial" w:cs="Arial" w:hAnsi="Arial"/>
          <w:sz w:val="22"/>
        </w:rPr>
        <w:t>开展统一对照实验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轻量化CNN基线：EEGNet、ShallowConvNet、DeepConvNet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时序增强基线：EEGNet+TCN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时空SOTA基线：EEG-Conformer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所有模型完成统一离线预训练后，通过跨被试测试精度、泛化稳定性、微调适配潜力多维度评估，最终确定最优主干模型（EEG-Conformer），后续所有少样本微调实验均固定该模型架构，消除模型变量干扰。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3.2 第二阶段：少样本个体化微调适配研究（核心创新阶段）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本阶段为论文核心创新核心，固定最优通用主干模型（EEG-Conformer），不再改动网络基础架构，聚焦探究</w:t>
      </w:r>
      <w:r>
        <w:rPr>
          <w:rFonts w:eastAsia="等线" w:ascii="Arial" w:cs="Arial" w:hAnsi="Arial"/>
          <w:b w:val="true"/>
          <w:sz w:val="22"/>
        </w:rPr>
        <w:t>少样本微调的关键超参与策略</w:t>
      </w:r>
      <w:r>
        <w:rPr>
          <w:rFonts w:eastAsia="等线" w:ascii="Arial" w:cs="Arial" w:hAnsi="Arial"/>
          <w:sz w:val="22"/>
        </w:rPr>
        <w:t>，系统性解决新受试者快速适配问题，通过多组消融实验，明确适配少样本场景的最优微调方案，建立标准化个体快速适配流程。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本阶段整体流程：全新受试者少量标定试次采集 → 数据预处理 → 固定通用模型权重初始化 → 定制化少样本微调 → 生成受试者专属个体模型 → 在线实时运动意图解码与网页交互控制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围绕少样本快速适配核心，本阶段开展五项关键变量消融实验，逐一优化适配策略：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3.2.1 微调层级策略消融实验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针对少样本场景下微调层级过深易过拟合、过浅适配不足的问题，设置四组分层微调对照方案，从解码精度、微调耗时、参数量更新维度综合评估，筛选最优微调策略：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方案1：仅微调末端分类头（Head）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方案2：微调分类头+BN归一化层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方案3：微调模型最后一个特征Block+分类头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方案4：全网完全微调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3.2.2 标定样本量阈值实验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探究少样本场景下，个体适配性能随标定样本数量的变化规律，确定满足高精度、高性价比的最小标定试次阈值。分别设置10、20、40、60个Trial梯度标定样本，绘制样本数量-解码精度变化曲线，明确能够实现模型性能稳定收敛的最少标定数据量，为实际BCI落地的标定流程提供数据标准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3.2.3 微调学习率优选实验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学习率是少样本微调的核心超参，过大易导致模型不收敛、过小易出现适配不足。设置多组梯度学习率（1e-3、1e-4、5e-5），对比不同学习率下模型的个体适配精度与收敛速度，筛选适配本系统的最优微调学习率。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3.2.4 微调迭代轮次优选实验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少样本场景下迭代轮次过多易引发严重过拟合，过少则特征适配不充分。设置5、10、20、50轮迭代梯度实验，探究迭代轮次与模型性能的关联关系，验证「迭代轮次越多精度越高」的固有认知误区，确定最优微调迭代次数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3.2.5 轻量分类头消融优化实验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分类头作为个体特征映射的末端模块，可进一步优化少样本适配效果。固定所有微调参数，对比三类适配少样本场景的主流分类头性能：Linear Head（基线）、MLP Head（非线性优化）、Prototype Head（原型少样本适配），择优确定最终系统分类模块。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四、完整系统落地流程</w:t>
      </w:r>
      <w:bookmarkEnd w:id="1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4.1 离线通用模型固化阶段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多源数据集采集与清洗 → 统一预处理流水线处理 → 静息态/任务态样本划分与精度验证 → 多主干模型统一跨被试预训练 → 泛化性能对比优选 → 固化EEG-Conformer最优通用模型权重。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4.2 在线少样本标定适配阶段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新受试者入驻 → 短时间采集20~40个运动想象标定试次 → 加载预训练通用模型 → 最优层级策略+最优超参少样本微调 → 数分钟内生成用户专属个体化模型。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4.3 在线实时控制阶段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实时脑电信号采集 → 在线标准化预处理 → 加载个体化专属模型 → 运动意图（左、右、静息）解码输出 → 驱动网页交互/机械臂实时控制。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sz w:val="32"/>
        </w:rPr>
        <w:t>五、论文核心创新点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本文摒弃传统模型结构创新的固有思路，聚焦个体化少样本适配的系统性研究，核心创新点如下，兼具方法创新与系统性实验研究价值：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创新点一：构建适配少样本个体适配的跨被试通用模型优选框架</w:t>
      </w:r>
      <w:r>
        <w:rPr>
          <w:rFonts w:eastAsia="等线" w:ascii="Arial" w:cs="Arial" w:hAnsi="Arial"/>
          <w:sz w:val="22"/>
        </w:rPr>
        <w:t>。在统一实验变量条件下，系统对比五类主流MI-BCI主干网络与两类传统算法的跨被试泛化能力，明确了不同网络架构对少样本微调任务的适配差异，筛选得到最优时空融合通用模型，为个体化BCI少样本适配任务提供了可靠的基线模型选型依据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创新点二：提出一种高效的少样本监督微调个体快速适配方法</w:t>
      </w:r>
      <w:r>
        <w:rPr>
          <w:rFonts w:eastAsia="等线" w:ascii="Arial" w:cs="Arial" w:hAnsi="Arial"/>
          <w:sz w:val="22"/>
        </w:rPr>
        <w:t>。针对新用户标定成本高、适配效率低的痛点，建立「通用预训练+少量个体标定+精准微调」的适配范式，仅依靠数十个标定试次即可快速生成个体化解码模型，在大幅降低用户标定成本的同时，保障运动想象解码精度，实现了BCI系统实用性与精准性的平衡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创新点三：建立面向个体化MI-BCI的系统性消融实验体系</w:t>
      </w:r>
      <w:r>
        <w:rPr>
          <w:rFonts w:eastAsia="等线" w:ascii="Arial" w:cs="Arial" w:hAnsi="Arial"/>
          <w:sz w:val="22"/>
        </w:rPr>
        <w:t>。围绕微调层级、标定样本量、学习率、迭代轮次、分类头五大核心变量，完成多组对照消融实验，明确了各参数对少样本个体适配性能的影响规律，量化得到最优适配策略组合，形成一套可落地、可复用的少样本个体化BCI快速适配流程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b w:val="true"/>
          <w:sz w:val="32"/>
        </w:rPr>
        <w:t>六、非研究内容界定（研究范围收敛）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结合本研究</w:t>
      </w:r>
      <w:r>
        <w:rPr>
          <w:rFonts w:eastAsia="等线" w:ascii="Arial" w:cs="Arial" w:hAnsi="Arial"/>
          <w:b w:val="true"/>
          <w:sz w:val="22"/>
        </w:rPr>
        <w:t>少样本快速个体化适配</w:t>
      </w:r>
      <w:r>
        <w:rPr>
          <w:rFonts w:eastAsia="等线" w:ascii="Arial" w:cs="Arial" w:hAnsi="Arial"/>
          <w:sz w:val="22"/>
        </w:rPr>
        <w:t>的核心目标，为聚焦研究重心、规避无效工作量，本文明确不开展以下方向的研究：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1. 不研究OTTA测试时自适应、无监督域漂移校正，本文核心聚焦新用户短时标定适配，不关注长期无监督运行的性能保持；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2. 不研究样本回放缓存、增量持续学习，规避长期跨会话持续学习的复杂场景，聚焦「单次短时标定、快速生成个体模型」的核心场景；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3. 不设计新型CNN、Transformer主干结构或复杂分类算法，研究重心从「模型结构创新」转向「个体适配范式与策略优化」，突出工程落地与应用价值。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七、完整对照实验体系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基于本文研究框架，设置递进式、全覆盖的对照消融实验，所有实验预处理、数据集、训练环境完全统一，保证实验结论严谨可靠：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实验2：多主干模型泛化优选实验</w:t>
      </w:r>
      <w:r>
        <w:rPr>
          <w:rFonts w:eastAsia="等线" w:ascii="Arial" w:cs="Arial" w:hAnsi="Arial"/>
          <w:sz w:val="22"/>
        </w:rPr>
        <w:t>：EEGNet、ShallowConvNet、DeepConvNet、EEGNet+TCN、EEG-Conformer（统一Linear Head），筛选最优通用预训练模型。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实验3：微调层级策略消融实验</w:t>
      </w:r>
      <w:r>
        <w:rPr>
          <w:rFonts w:eastAsia="等线" w:ascii="Arial" w:cs="Arial" w:hAnsi="Arial"/>
          <w:sz w:val="22"/>
        </w:rPr>
        <w:t>：固定EEG-Conformer，对比四层不同微调层级方案的适配性能。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实验4：标定样本量梯度实验</w:t>
      </w:r>
      <w:r>
        <w:rPr>
          <w:rFonts w:eastAsia="等线" w:ascii="Arial" w:cs="Arial" w:hAnsi="Arial"/>
          <w:sz w:val="22"/>
        </w:rPr>
        <w:t>：10/20/40/60 Trial梯度，确定最优少样本标定阈值。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实验5：微调超参优选实验</w:t>
      </w:r>
      <w:r>
        <w:rPr>
          <w:rFonts w:eastAsia="等线" w:ascii="Arial" w:cs="Arial" w:hAnsi="Arial"/>
          <w:sz w:val="22"/>
        </w:rPr>
        <w:t>：多组学习率、迭代轮次梯度对照，优化少样本微调超参组合。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实验6：分类头消融优化实验</w:t>
      </w:r>
      <w:r>
        <w:rPr>
          <w:rFonts w:eastAsia="等线" w:ascii="Arial" w:cs="Arial" w:hAnsi="Arial"/>
          <w:sz w:val="22"/>
        </w:rPr>
        <w:t>：Linear、MLP、Prototype Head性能对比，优化末端特征分类能力。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实验7：最优系统方案验证实验</w:t>
      </w:r>
      <w:r>
        <w:rPr>
          <w:rFonts w:eastAsia="等线" w:ascii="Arial" w:cs="Arial" w:hAnsi="Arial"/>
          <w:sz w:val="22"/>
        </w:rPr>
        <w:t>：整合最优主干模型、最优微调策略、最优超参、最优分类头，完成本文最终少样本个体化适配系统的性能验证与稳定性测试。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3088854">
    <w:lvl>
      <w:numFmt w:val="bullet"/>
      <w:suff w:val="tab"/>
      <w:lvlText w:val="•"/>
      <w:rPr>
        <w:color w:val="3370ff"/>
      </w:rPr>
    </w:lvl>
  </w:abstractNum>
  <w:abstractNum w:abstractNumId="3088855">
    <w:lvl>
      <w:numFmt w:val="bullet"/>
      <w:suff w:val="tab"/>
      <w:lvlText w:val="•"/>
      <w:rPr>
        <w:color w:val="3370ff"/>
      </w:rPr>
    </w:lvl>
  </w:abstractNum>
  <w:abstractNum w:abstractNumId="3088856">
    <w:lvl>
      <w:numFmt w:val="bullet"/>
      <w:suff w:val="tab"/>
      <w:lvlText w:val="•"/>
      <w:rPr>
        <w:color w:val="3370ff"/>
      </w:rPr>
    </w:lvl>
  </w:abstractNum>
  <w:abstractNum w:abstractNumId="3088857">
    <w:lvl>
      <w:numFmt w:val="bullet"/>
      <w:suff w:val="tab"/>
      <w:lvlText w:val="•"/>
      <w:rPr>
        <w:color w:val="3370ff"/>
      </w:rPr>
    </w:lvl>
  </w:abstractNum>
  <w:abstractNum w:abstractNumId="3088858">
    <w:lvl>
      <w:numFmt w:val="bullet"/>
      <w:suff w:val="tab"/>
      <w:lvlText w:val="•"/>
      <w:rPr>
        <w:color w:val="3370ff"/>
      </w:rPr>
    </w:lvl>
  </w:abstractNum>
  <w:abstractNum w:abstractNumId="3088859">
    <w:lvl>
      <w:numFmt w:val="bullet"/>
      <w:suff w:val="tab"/>
      <w:lvlText w:val="•"/>
      <w:rPr>
        <w:color w:val="3370ff"/>
      </w:rPr>
    </w:lvl>
  </w:abstractNum>
  <w:abstractNum w:abstractNumId="3088860">
    <w:lvl>
      <w:numFmt w:val="bullet"/>
      <w:suff w:val="tab"/>
      <w:lvlText w:val="•"/>
      <w:rPr>
        <w:color w:val="3370ff"/>
      </w:rPr>
    </w:lvl>
  </w:abstractNum>
  <w:num w:numId="1">
    <w:abstractNumId w:val="3088854"/>
  </w:num>
  <w:num w:numId="2">
    <w:abstractNumId w:val="3088855"/>
  </w:num>
  <w:num w:numId="3">
    <w:abstractNumId w:val="3088856"/>
  </w:num>
  <w:num w:numId="4">
    <w:abstractNumId w:val="3088857"/>
  </w:num>
  <w:num w:numId="5">
    <w:abstractNumId w:val="3088858"/>
  </w:num>
  <w:num w:numId="6">
    <w:abstractNumId w:val="3088859"/>
  </w:num>
  <w:num w:numId="7">
    <w:abstractNumId w:val="308886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2026-07-19T09:20:56Z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{"Label":"1","ContentProducer":"001191110102MACQD9K64010000","ProduceID":"7664166617173527754","ReservedCode1":"","ContentPropagator":"","PropagateID":"","ReservedCode2":""}</vt:lpwstr>
  </property>
</Properties>
</file>