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面向少样本个体适配的运动想象脑机接口系统</w:t>
      </w:r>
      <w:r>
        <w:rPr>
          <w:rFonts w:eastAsia="等线" w:ascii="Arial" w:cs="Arial" w:hAnsi="Arial"/>
          <w:b w:val="true"/>
          <w:sz w:val="52"/>
        </w:rPr>
        <w:t>设计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一、项目研究目标（Project Goal）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本研究不聚焦于设计新型卷积网络、Transformer结构或分类头模块，核心研究定位为</w:t>
      </w:r>
      <w:r>
        <w:rPr>
          <w:rFonts w:eastAsia="等线" w:ascii="Arial" w:cs="Arial" w:hAnsi="Arial"/>
          <w:b w:val="true"/>
          <w:sz w:val="22"/>
        </w:rPr>
        <w:t>面向少样本个体适配（Few-shot Personalized Adaptation）的个体化运动想象脑机接口（Personalized MI-BCI）系统构建</w:t>
      </w:r>
      <w:r>
        <w:rPr>
          <w:rFonts w:eastAsia="等线" w:ascii="Arial" w:cs="Arial" w:hAnsi="Arial"/>
          <w:sz w:val="22"/>
        </w:rPr>
        <w:t>。针对现有运动想象脑机接口对新用户标定成本高、泛化性能差的行业痛点，旨在实现全新受试者的快速个性化适配：新受试者仅需几分钟采集少量标定试次（Trial），即可通过少样本微调快速生成专属个体解码模型，无需长时间全量数据训练，最终实现稳定的在线运动意图解码与人机交互控制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本研究核心科学问题为：如何依托跨被试通用预训练模型，结合少量个体标定数据，平衡模型泛化性与个体特异性，实现低成本、高效率的个体化MI-BCI快速适配。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二、研究背景与研究意义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当前运动想象脑机接口的落地应用存在两大核心瓶颈，两种主流方案均存在明显短板，难以兼顾实用性与解码精度：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第一种为</w:t>
      </w:r>
      <w:r>
        <w:rPr>
          <w:rFonts w:eastAsia="等线" w:ascii="Arial" w:cs="Arial" w:hAnsi="Arial"/>
          <w:b w:val="true"/>
          <w:sz w:val="22"/>
        </w:rPr>
        <w:t>全量个体训练方案</w:t>
      </w:r>
      <w:r>
        <w:rPr>
          <w:rFonts w:eastAsia="等线" w:ascii="Arial" w:cs="Arial" w:hAnsi="Arial"/>
          <w:sz w:val="22"/>
        </w:rPr>
        <w:t>：针对每一位受试者单独采集大量数据、从零训练专属模型。该方案可实现较高的个体解码精度，但存在标定耗时久、训练成本高、复用性差的问题，每位受试者均需数小时数据采集与训练，严重限制BCI系统的落地普及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第二种为</w:t>
      </w:r>
      <w:r>
        <w:rPr>
          <w:rFonts w:eastAsia="等线" w:ascii="Arial" w:cs="Arial" w:hAnsi="Arial"/>
          <w:b w:val="true"/>
          <w:sz w:val="22"/>
        </w:rPr>
        <w:t>纯跨被试通用模型方案</w:t>
      </w:r>
      <w:r>
        <w:rPr>
          <w:rFonts w:eastAsia="等线" w:ascii="Arial" w:cs="Arial" w:hAnsi="Arial"/>
          <w:sz w:val="22"/>
        </w:rPr>
        <w:t>：依托公开数据集训练全局通用模型，直接应用于全新受试者，无需个体标定。该方案彻底免除个体标定成本，但由于脑电信号存在极强的个体差异性，不同受试者的运动想象节律、信号分布差异显著，通用模型无法适配个体特征，最终导致在线解码精度大幅下降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基于上述痛点，本研究融合两类方案的核心优势，构建</w:t>
      </w:r>
      <w:r>
        <w:rPr>
          <w:rFonts w:eastAsia="等线" w:ascii="Arial" w:cs="Arial" w:hAnsi="Arial"/>
          <w:b w:val="true"/>
          <w:sz w:val="22"/>
        </w:rPr>
        <w:t>通用预训练模型+少样本个体微调</w:t>
      </w:r>
      <w:r>
        <w:rPr>
          <w:rFonts w:eastAsia="等线" w:ascii="Arial" w:cs="Arial" w:hAnsi="Arial"/>
          <w:sz w:val="22"/>
        </w:rPr>
        <w:t>的新型适配范式，既规避全量训练的高成本问题，又弥补纯通用模型个体适配能力不足的缺陷，实现「低成本标定、高精度适配、快速落地」的个体化运动想象BCI系统，具备重要的工程应用价值与学术研究意义。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三、总体技术路线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本研究整体技术流程分为</w:t>
      </w:r>
      <w:r>
        <w:rPr>
          <w:rFonts w:eastAsia="等线" w:ascii="Arial" w:cs="Arial" w:hAnsi="Arial"/>
          <w:b w:val="true"/>
          <w:sz w:val="22"/>
        </w:rPr>
        <w:t>离线通用模型优选</w:t>
      </w:r>
      <w:r>
        <w:rPr>
          <w:rFonts w:eastAsia="等线" w:ascii="Arial" w:cs="Arial" w:hAnsi="Arial"/>
          <w:sz w:val="22"/>
        </w:rPr>
        <w:t>与</w:t>
      </w:r>
      <w:r>
        <w:rPr>
          <w:rFonts w:eastAsia="等线" w:ascii="Arial" w:cs="Arial" w:hAnsi="Arial"/>
          <w:b w:val="true"/>
          <w:sz w:val="22"/>
        </w:rPr>
        <w:t>在线少样本个体适配</w:t>
      </w:r>
      <w:r>
        <w:rPr>
          <w:rFonts w:eastAsia="等线" w:ascii="Arial" w:cs="Arial" w:hAnsi="Arial"/>
          <w:sz w:val="22"/>
        </w:rPr>
        <w:t>两大核心阶段，两级阶段层层递进、紧密耦合，构成完整的个体化MI-BCI系统、增量持续学习、样本回放缓存等非核心模块，聚焦少样本快速适配核心目标。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3.1 第一阶段：离线跨被试通用模型训练与优选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秀的泛化通用模型是少样本微调适配的核心基础，直接决定后续个体微调的性能上限。本阶段核心目标为：在统一实验条件下，对比多种主流主干网络（Backbone）的跨被试泛化能力，筛选出适配少样本微调任务的最优通用基线模型，为第二阶段个体适配研究提供固定模型基础。</w:t>
      </w:r>
    </w:p>
    <w:p>
      <w:pPr>
        <w:spacing w:before="120" w:after="120" w:line="288" w:lineRule="auto"/>
        <w:ind w:left="0"/>
        <w:jc w:val="left"/>
      </w:pPr>
      <w:r>
        <w:t>本阶段严格控制实验变量统一，保证横向对比的公平性，统一设置实验参数：固定共享主干后的线性双分类头、交叉熵损失函数、Adam优化器、统一训练轮次与预处理流水线。整体流程如下：</w:t>
      </w:r>
    </w:p>
    <w:p>
      <w:r>
        <w:t>统一数据标准：250 Hz；固定8通道；左手、右手与静息三分类；每个样本截取4 s，共1000时间点；模型输入为(B, 1, 8, 1000)。</w:t>
      </w:r>
    </w:p>
    <w:p>
      <w:r>
        <w:t>固定通道顺序：Cz、C3、C4、CP3、FC4、FC3、CP4、CPz。该顺序同时作为模型输入通道轴顺序，所有数据集、训练、微调与在线推理均不得按字母或原始文件顺序重新排列。</w:t>
      </w:r>
    </w:p>
    <w:p>
      <w:r>
        <w:t>通道索引映射：0=Cz，1=C3，2=C4，3=CP3，4=FC4，5=FC3，6=CP4，7=CPz。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离线通用模型训练与优选完整流程如下：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flowchart TD</w:t>
              <w:br/>
              <w:t>A[多源数据集BCI Competition IV 2a / OpenBMI / 自研数据集] --&gt; B[统一标准化预处理CAR参考平均 / 带通滤波 / 基线校正 / 单试次Z-score]</w:t>
              <w:br/>
              <w:t>B --&gt; C[数据集划分与验证静息态/任务态划分 + 特征有效性对比]</w:t>
              <w:br/>
              <w:t>C --&gt; D[多主干模型统一跨被试预训练固定超参与训练条件，保证公平对比]</w:t>
              <w:br/>
              <w:t>D --&gt; E[模型泛化性能横向对比精度、稳定性、少样本适配潜力评估]</w:t>
              <w:br/>
              <w:t>E --&gt; F[筛选最优通用主干模型]</w:t>
              <w:br/>
              <w:t>F --&gt; G[固化并保存全局通用模型权重]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" w:id="4"/>
      <w:r>
        <w:rPr>
          <w:rFonts w:eastAsia="等线" w:ascii="Arial" w:cs="Arial" w:hAnsi="Arial"/>
          <w:b w:val="true"/>
          <w:sz w:val="28"/>
        </w:rPr>
        <w:t>3.1.1 对比主干模型体系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为系统性探究不同网络架构对少样本适配任务的泛化性能，本文选取运动想象领域</w:t>
      </w:r>
      <w:r>
        <w:rPr>
          <w:rFonts w:eastAsia="等线" w:ascii="Arial" w:cs="Arial" w:hAnsi="Arial"/>
          <w:sz w:val="22"/>
        </w:rPr>
        <w:t>四</w:t>
      </w:r>
      <w:r>
        <w:rPr>
          <w:rFonts w:eastAsia="等线" w:ascii="Arial" w:cs="Arial" w:hAnsi="Arial"/>
          <w:sz w:val="22"/>
        </w:rPr>
        <w:t>类经典主流</w:t>
      </w:r>
      <w:r>
        <w:rPr>
          <w:rFonts w:eastAsia="等线" w:ascii="Arial" w:cs="Arial" w:hAnsi="Arial"/>
          <w:sz w:val="22"/>
        </w:rPr>
        <w:t>深度学习</w:t>
      </w:r>
      <w:r>
        <w:rPr>
          <w:rFonts w:eastAsia="等线" w:ascii="Arial" w:cs="Arial" w:hAnsi="Arial"/>
          <w:sz w:val="22"/>
        </w:rPr>
        <w:t>模型，覆盖浅层CNN、深层CNN、时序增强CNN、CNN-Transformer时空融合架构，</w:t>
      </w:r>
      <w:r>
        <w:rPr>
          <w:rFonts w:eastAsia="等线" w:ascii="Arial" w:cs="Arial" w:hAnsi="Arial"/>
          <w:sz w:val="22"/>
        </w:rPr>
        <w:t>开展统一对照实验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轻量化CNN基线：EEGNet、ShallowConvNet、DeepConvNet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时序增强基线：EEGNet+TCN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时空SOTA基线：EEG-Conformer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所有模型完成统一离线预训练后，通过跨被试测试精度、泛化稳定性、微调适配潜力多维度评估，最终确定最优主干模型（EEG-Conformer），后续所有少样本微调实验均固定该模型架构，消除模型变量干扰。</w:t>
      </w:r>
    </w:p>
    <w:p>
      <w:r>
        <w:t>3.1.2 共享主干双分类头与双标签设计</w:t>
      </w:r>
    </w:p>
    <w:p>
      <w:r>
        <w:t>为同时完成任务态检测与最终三状态识别，模型采用一个共享特征提取主干和两个并行分类头。共享主干只执行一次特征提取；分类头1输出静息态/任务态二分类结果，分类头2输出空闲/左手/右手三分类结果。</w:t>
      </w:r>
    </w:p>
    <w:p>
      <w:r>
        <w:t>统一数据中的每个EEG样本不需要复制两份，而是在同一条样本记录中同时保存两套监督标签：label_task表示任务状态，label_three表示最终三分类状态。</w:t>
      </w:r>
    </w:p>
    <w:p>
      <w:r>
        <w:t>双标签映射规则：静息样本的label_task=0、label_three=0；左手样本的label_task=1、label_three=1；右手样本的label_task=1、label_three=2。</w:t>
      </w:r>
    </w:p>
    <w:p>
      <w:r>
        <w:t>训练阶段两个分类头同时参与更新。任务头损失为静息/任务交叉熵，三分类头损失为空闲/左手/右手交叉熵，总损失定义为L=lambda_task*L_task+lambda_three*L_three，初始可设置lambda_task=1、lambda_three=1，并通过验证集调整。两个损失共同更新共享主干，各分类头仅由自身损失直接更新。</w:t>
      </w:r>
    </w:p>
    <w:p>
      <w:r>
        <w:t>在线推理规则：若分类头1的任务概率未达到阈值，直接输出空闲；若达到任务阈值，再参考分类头2的左手、右手概率。不得在分类头2仍高概率判断为空闲时强制输出方向；两个头冲突或左右概率差距不足时，应输出空闲/不确定状态，避免误触发。</w:t>
      </w:r>
    </w:p>
    <w:p>
      <w:r>
        <w:t>模型结构：EEG输入 -&gt; 共享EEGNet/EEG-Conformer主干 -&gt; 分类头1（静息/任务）与分类头2（空闲/左手/右手）并行输出。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3.2 第二阶段：少样本个体化微调适配研究（核心创新阶段）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本阶段为论文核心创新核心，固定最优通用主干模型（EEG-Conformer），不再改动网络基础架构，聚焦探究</w:t>
      </w:r>
      <w:r>
        <w:rPr>
          <w:rFonts w:eastAsia="等线" w:ascii="Arial" w:cs="Arial" w:hAnsi="Arial"/>
          <w:b w:val="true"/>
          <w:sz w:val="22"/>
        </w:rPr>
        <w:t>少样本微调的关键超参与策略</w:t>
      </w:r>
      <w:r>
        <w:rPr>
          <w:rFonts w:eastAsia="等线" w:ascii="Arial" w:cs="Arial" w:hAnsi="Arial"/>
          <w:sz w:val="22"/>
        </w:rPr>
        <w:t>，系统性解决新受试者快速适配问题，通过多组消融实验，明确适配少样本场景的最优微调方案，建立标准化个体快速适配流程。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本阶段整体流程：全新受试者少量标定试次采集 → 数据预处理 → 固定通用模型权重初始化 → 定制化少样本微调 → 生成受试者专属个体模型 → 在线实时运动意图解码与网页交互控制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围绕少样本快速适配核心，本阶段开展五项关键变量消融实验，逐一优化适配策略：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3.2.1 微调层级策略消融实验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针对少样本场景下微调层级过深易过拟合、过浅适配不足的问题，设置四组分层微调对照方案，从解码精度、微调耗时、参数量更新维度综合评估，筛选最优微调策略：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方案1：仅微调末端分类头（Head）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方案2：微调分类头+BN归一化层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方案3：微调模型最后一个特征Block+分类头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方案4：全网完全微调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3.2.2 标定样本量阈值实验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探究少样本场景下，个体适配性能随标定样本数量的变化规律，确定满足高精度、高性价比的最小标定试次阈值。分别设置10、20、40、60个Trial梯度标定样本，绘制样本数量-解码精度变化曲线，明确能够实现模型性能稳定收敛的最少标定数据量，为实际BCI落地的标定流程提供数据标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3.2.3 微调学习率优选实验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学习率是少样本微调的核心超参，过大易导致模型不收敛、过小易出现适配不足。设置多组梯度学习率（1e-3、1e-4、5e-5），对比不同学习率下模型的个体适配精度与收敛速度，筛选适配本系统的最优微调学习率。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3.2.4 微调迭代轮次优选实验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少样本场景下迭代轮次过多易引发严重过拟合，过少则特征适配不充分。设置5、10、20、50轮迭代梯度实验，探究迭代轮次与模型性能的关联关系，验证「迭代轮次越多精度越高」的固有认知误区，确定最优微调迭代次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3.2.5 轻量分类头消融优化实验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分类头作为个体特征映射的末端模块，可进一步优化少样本适配效果。固定所有微调参数，对比三类适配少样本场景的主流分类头性能：Linear Head（基线）、MLP Head（非线性优化）、Prototype Head（原型少样本适配），择优确定最终系统分类模块。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四、完整系统落地流程</w:t>
      </w:r>
      <w:bookmarkEnd w:id="1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4.1 离线通用模型固化阶段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多源数据集采集与清洗 → 统一预处理流水线处理 → 静息态/任务态样本划分与精度验证 → 多主干模型统一跨被试预训练 → 泛化性能对比优选 → 固化EEG-Conformer最优通用模型权重。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4.2 在线少样本标定适配阶段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新受试者入驻 → 短时间采集20~40个运动想象标定试次 → 加载预训练通用模型 → 最优层级策略+最优超参少样本微调 → 数分钟内生成用户专属个体化模型。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4.3 在线实时控制阶段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实时脑电信号采集 → 在线标准化预处理 → 加载个体化专属模型 → 运动意图（左、右、静息）解码输出 → 驱动网页交互/机械臂实时控制。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五、论文核心创新点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本文摒弃传统模型结构创新的固有思路，聚焦个体化少样本适配的系统性研究，核心创新点如下，兼具方法创新与系统性实验研究价值：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创新点一：构建适配少样本个体适配的跨被试通用模型优选框架</w:t>
      </w:r>
      <w:r>
        <w:rPr>
          <w:rFonts w:eastAsia="等线" w:ascii="Arial" w:cs="Arial" w:hAnsi="Arial"/>
          <w:sz w:val="22"/>
        </w:rPr>
        <w:t>。在统一实验变量条件下，系统对比五类主流MI-BCI主干网络与两类传统算法的跨被试泛化能力，明确了不同网络架构对少样本微调任务的适配差异，筛选得到最优时空融合通用模型，为个体化BCI少样本适配任务提供了可靠的基线模型选型依据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创新点二：提出一种高效的少样本监督微调个体快速适配方法</w:t>
      </w:r>
      <w:r>
        <w:rPr>
          <w:rFonts w:eastAsia="等线" w:ascii="Arial" w:cs="Arial" w:hAnsi="Arial"/>
          <w:sz w:val="22"/>
        </w:rPr>
        <w:t>。针对新用户标定成本高、适配效率低的痛点，建立「通用预训练+少量个体标定+精准微调」的适配范式，仅依靠数十个标定试次即可快速生成个体化解码模型，在大幅降低用户标定成本的同时，保障运动想象解码精度，实现了BCI系统实用性与精准性的平衡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创新点三：建立面向个体化MI-BCI的系统性消融实验体系</w:t>
      </w:r>
      <w:r>
        <w:rPr>
          <w:rFonts w:eastAsia="等线" w:ascii="Arial" w:cs="Arial" w:hAnsi="Arial"/>
          <w:sz w:val="22"/>
        </w:rPr>
        <w:t>。围绕微调层级、标定样本量、学习率、迭代轮次、分类头五大核心变量，完成多组对照消融实验，明确了各参数对少样本个体适配性能的影响规律，量化得到最优适配策略组合，形成一套可落地、可复用的少样本个体化BCI快速适配流程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六、非研究内容界定（研究范围收敛）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结合本研究</w:t>
      </w:r>
      <w:r>
        <w:rPr>
          <w:rFonts w:eastAsia="等线" w:ascii="Arial" w:cs="Arial" w:hAnsi="Arial"/>
          <w:b w:val="true"/>
          <w:sz w:val="22"/>
        </w:rPr>
        <w:t>少样本快速个体化适配</w:t>
      </w:r>
      <w:r>
        <w:rPr>
          <w:rFonts w:eastAsia="等线" w:ascii="Arial" w:cs="Arial" w:hAnsi="Arial"/>
          <w:sz w:val="22"/>
        </w:rPr>
        <w:t>的核心目标，为聚焦研究重心、规避无效工作量，本文明确不开展以下方向的研究：</w:t>
      </w:r>
    </w:p>
    <w:p>
      <w:pPr>
        <w:spacing w:before="120" w:after="120" w:line="288" w:lineRule="auto"/>
        <w:ind w:left="0"/>
        <w:jc w:val="left"/>
      </w:pPr>
      <w:r>
        <w:t>1. 不研究样本回放缓存、增量持续学习，规避长期跨会话持续学习的复杂场景，聚焦「单次短时标定、快速生成个体模型」的核心场景；</w:t>
      </w:r>
    </w:p>
    <w:p>
      <w:pPr>
        <w:spacing w:before="120" w:after="120" w:line="288" w:lineRule="auto"/>
        <w:ind w:left="0"/>
        <w:jc w:val="left"/>
      </w:pPr>
      <w:r>
        <w:t>2. 不设计新型CNN、Transformer主干结构或复杂分类算法，研究重心从「模型结构创新」转向「个体适配范式与策略优化」，突出工程落地与应用价值。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七、完整对照实验体系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基于本文研究框架，设置递进式、全覆盖的对照消融实验，所有实验预处理、数据集、训练环境完全统一，保证实验结论严谨可靠：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实验2：多主干模型泛化优选实验</w:t>
      </w:r>
      <w:r>
        <w:rPr>
          <w:rFonts w:eastAsia="等线" w:ascii="Arial" w:cs="Arial" w:hAnsi="Arial"/>
          <w:sz w:val="22"/>
        </w:rPr>
        <w:t>：EEGNet、ShallowConvNet、DeepConvNet、EEGNet+TCN、EEG-Conformer（统一Linear Head），筛选最优通用预训练模型。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实验3：微调层级策略消融实验</w:t>
      </w:r>
      <w:r>
        <w:rPr>
          <w:rFonts w:eastAsia="等线" w:ascii="Arial" w:cs="Arial" w:hAnsi="Arial"/>
          <w:sz w:val="22"/>
        </w:rPr>
        <w:t>：固定EEG-Conformer，对比四层不同微调层级方案的适配性能。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实验4：标定样本量梯度实验</w:t>
      </w:r>
      <w:r>
        <w:rPr>
          <w:rFonts w:eastAsia="等线" w:ascii="Arial" w:cs="Arial" w:hAnsi="Arial"/>
          <w:sz w:val="22"/>
        </w:rPr>
        <w:t>：10/20/40/60 Trial梯度，确定最优少样本标定阈值。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实验5：微调超参优选实验</w:t>
      </w:r>
      <w:r>
        <w:rPr>
          <w:rFonts w:eastAsia="等线" w:ascii="Arial" w:cs="Arial" w:hAnsi="Arial"/>
          <w:sz w:val="22"/>
        </w:rPr>
        <w:t>：多组学习率、迭代轮次梯度对照，优化少样本微调超参组合。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实验6：分类头消融优化实验</w:t>
      </w:r>
      <w:r>
        <w:rPr>
          <w:rFonts w:eastAsia="等线" w:ascii="Arial" w:cs="Arial" w:hAnsi="Arial"/>
          <w:sz w:val="22"/>
        </w:rPr>
        <w:t>：Linear、MLP、Prototype Head性能对比，优化末端特征分类能力。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实验7：最优系统方案验证实验</w:t>
      </w:r>
      <w:r>
        <w:rPr>
          <w:rFonts w:eastAsia="等线" w:ascii="Arial" w:cs="Arial" w:hAnsi="Arial"/>
          <w:sz w:val="22"/>
        </w:rPr>
        <w:t>：整合最优主干模型、最优微调策略、最优超参、最优分类头，完成本文最终少样本个体化适配系统的性能验证与稳定性测试。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088854">
    <w:lvl>
      <w:numFmt w:val="bullet"/>
      <w:suff w:val="tab"/>
      <w:lvlText w:val="•"/>
      <w:rPr>
        <w:color w:val="3370ff"/>
      </w:rPr>
    </w:lvl>
  </w:abstractNum>
  <w:abstractNum w:abstractNumId="3088855">
    <w:lvl>
      <w:numFmt w:val="bullet"/>
      <w:suff w:val="tab"/>
      <w:lvlText w:val="•"/>
      <w:rPr>
        <w:color w:val="3370ff"/>
      </w:rPr>
    </w:lvl>
  </w:abstractNum>
  <w:abstractNum w:abstractNumId="3088856">
    <w:lvl>
      <w:numFmt w:val="bullet"/>
      <w:suff w:val="tab"/>
      <w:lvlText w:val="•"/>
      <w:rPr>
        <w:color w:val="3370ff"/>
      </w:rPr>
    </w:lvl>
  </w:abstractNum>
  <w:abstractNum w:abstractNumId="3088857">
    <w:lvl>
      <w:numFmt w:val="bullet"/>
      <w:suff w:val="tab"/>
      <w:lvlText w:val="•"/>
      <w:rPr>
        <w:color w:val="3370ff"/>
      </w:rPr>
    </w:lvl>
  </w:abstractNum>
  <w:abstractNum w:abstractNumId="3088858">
    <w:lvl>
      <w:numFmt w:val="bullet"/>
      <w:suff w:val="tab"/>
      <w:lvlText w:val="•"/>
      <w:rPr>
        <w:color w:val="3370ff"/>
      </w:rPr>
    </w:lvl>
  </w:abstractNum>
  <w:abstractNum w:abstractNumId="3088859">
    <w:lvl>
      <w:numFmt w:val="bullet"/>
      <w:suff w:val="tab"/>
      <w:lvlText w:val="•"/>
      <w:rPr>
        <w:color w:val="3370ff"/>
      </w:rPr>
    </w:lvl>
  </w:abstractNum>
  <w:abstractNum w:abstractNumId="3088860">
    <w:lvl>
      <w:numFmt w:val="bullet"/>
      <w:suff w:val="tab"/>
      <w:lvlText w:val="•"/>
      <w:rPr>
        <w:color w:val="3370ff"/>
      </w:rPr>
    </w:lvl>
  </w:abstractNum>
  <w:num w:numId="1">
    <w:abstractNumId w:val="3088854"/>
  </w:num>
  <w:num w:numId="2">
    <w:abstractNumId w:val="3088855"/>
  </w:num>
  <w:num w:numId="3">
    <w:abstractNumId w:val="3088856"/>
  </w:num>
  <w:num w:numId="4">
    <w:abstractNumId w:val="3088857"/>
  </w:num>
  <w:num w:numId="5">
    <w:abstractNumId w:val="3088858"/>
  </w:num>
  <w:num w:numId="6">
    <w:abstractNumId w:val="3088859"/>
  </w:num>
  <w:num w:numId="7">
    <w:abstractNumId w:val="308886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2026-07-19T09:20:56Z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{"Label":"1","ContentProducer":"001191110102MACQD9K64010000","ProduceID":"7664166617173527754","ReservedCode1":"","ContentPropagator":"","PropagateID":"","ReservedCode2":""}</vt:lpwstr>
  </property>
</Properties>
</file>