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统一EEG数据预处理流水线（Unified EEG Preprocessing Pipeline）——跨数据集通用标准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统一 EEG 数据预处理流水线（Unified EEG Preprocessing Pipeline）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适用于：BCI Competition IV 2a、OpenBMI、OpenBCI 自采数据（跨数据集通用离线标准化流程）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核心思想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摒弃「数据集单独处理」模式，构建</w:t>
      </w:r>
      <w:r>
        <w:rPr>
          <w:rFonts w:eastAsia="等线" w:ascii="Arial" w:cs="Arial" w:hAnsi="Arial"/>
          <w:b w:val="true"/>
          <w:sz w:val="22"/>
        </w:rPr>
        <w:t>全数据集同质归一化流水线</w:t>
      </w:r>
      <w:r>
        <w:rPr>
          <w:rFonts w:eastAsia="等线" w:ascii="Arial" w:cs="Arial" w:hAnsi="Arial"/>
          <w:sz w:val="22"/>
        </w:rPr>
        <w:t>。</w:t>
        <w:br/>
        <w:t>所有原始数据经过本流程后，统一：通道数、采样率、时间窗、标签体系、幅值分布、张量维度。</w:t>
        <w:br/>
      </w:r>
      <w:r>
        <w:rPr>
          <w:rFonts w:eastAsia="等线" w:ascii="Arial" w:cs="Arial" w:hAnsi="Arial"/>
          <w:sz w:val="22"/>
        </w:rPr>
        <w:t>保证离线预训练模型具备</w:t>
      </w:r>
      <w:r>
        <w:rPr>
          <w:rFonts w:eastAsia="等线" w:ascii="Arial" w:cs="Arial" w:hAnsi="Arial"/>
          <w:b w:val="true"/>
          <w:sz w:val="22"/>
        </w:rPr>
        <w:t>跨数据集、跨设备、跨被试、跨会话</w:t>
      </w:r>
      <w:r>
        <w:rPr>
          <w:rFonts w:eastAsia="等线" w:ascii="Arial" w:cs="Arial" w:hAnsi="Arial"/>
          <w:sz w:val="22"/>
        </w:rPr>
        <w:t>的通用特征提取能力，为后续「少样本增量微调 + OTTA 在线自适应」提供统一数据底座。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完整总流程图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 EEG Data</w:t>
        <w:br/>
        <w:t>→ 数据读取</w:t>
        <w:br/>
        <w:t>→ 数据集同质化统一</w:t>
        <w:br/>
        <w:t>→ 目标通道筛选</w:t>
        <w:br/>
        <w:t>→ CAR 公共平均重参考</w:t>
        <w:br/>
        <w:t>→ 工频陷波滤波</w:t>
        <w:br/>
        <w:t>→ 运动想象带通滤波</w:t>
        <w:br/>
        <w:t>→ Epoch 分段提取</w:t>
        <w:br/>
        <w:t>→ 基线校正</w:t>
        <w:br/>
        <w:t>→ 分类时间窗截取</w:t>
        <w:br/>
        <w:t>→ 统一重采样</w:t>
        <w:br/>
        <w:t>→ 单试次 Z-score 标准化</w:t>
        <w:br/>
        <w:t>→ 张量维度规整</w:t>
        <w:br/>
        <w:t>→ 训练 / 验证 / 测试集划分</w:t>
        <w:br/>
      </w:r>
      <w:r>
        <w:rPr>
          <w:rFonts w:eastAsia="等线" w:ascii="Arial" w:cs="Arial" w:hAnsi="Arial"/>
          <w:sz w:val="22"/>
        </w:rPr>
        <w:t>→ 通用 EEGNet 离线训练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逐步骤详细标准（可直接写入论文方法部分）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Step 1 数据读取（Data Loading）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功能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解析不同设备、不同公开数据集的原始存储格式，统一提取基础信息，</w:t>
      </w:r>
      <w:r>
        <w:rPr>
          <w:rFonts w:eastAsia="等线" w:ascii="Arial" w:cs="Arial" w:hAnsi="Arial"/>
          <w:b w:val="true"/>
          <w:sz w:val="22"/>
        </w:rPr>
        <w:t>不做任何信号修改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支持格式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BCI IV 2a：</w:t>
      </w:r>
      <w:r>
        <w:rPr>
          <w:rFonts w:eastAsia="Consolas" w:ascii="Consolas" w:cs="Consolas" w:hAnsi="Consolas"/>
          <w:sz w:val="22"/>
          <w:shd w:fill="EFF0F1"/>
        </w:rPr>
        <w:t>.gdf / .mat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OpenBMI：</w:t>
      </w:r>
      <w:r>
        <w:rPr>
          <w:rFonts w:eastAsia="Consolas" w:ascii="Consolas" w:cs="Consolas" w:hAnsi="Consolas"/>
          <w:sz w:val="22"/>
          <w:shd w:fill="EFF0F1"/>
        </w:rPr>
        <w:t>.mat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自采 OpenBCI：</w:t>
      </w:r>
      <w:r>
        <w:rPr>
          <w:rFonts w:eastAsia="Consolas" w:ascii="Consolas" w:cs="Consolas" w:hAnsi="Consolas"/>
          <w:sz w:val="22"/>
          <w:shd w:fill="EFF0F1"/>
        </w:rPr>
        <w:t>.csv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统一读取字段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EEG 原始信号矩阵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 Fs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通道名称列表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触发标记 Event / Cue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 Label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伪迹标记 Artifact Mask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读取规则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保留完整连续原始信号，不裁剪、不滤波、不丢弃数据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完整保留伪迹标记，用于后续脏样本剔除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Step 2 数据集同质化统一（Dataset Harmonization）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目的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消除不同数据集</w:t>
      </w:r>
      <w:r>
        <w:rPr>
          <w:rFonts w:eastAsia="等线" w:ascii="Arial" w:cs="Arial" w:hAnsi="Arial"/>
          <w:b w:val="true"/>
          <w:sz w:val="22"/>
        </w:rPr>
        <w:t>类别体系、标签编码、无效样本</w:t>
      </w:r>
      <w:r>
        <w:rPr>
          <w:rFonts w:eastAsia="等线" w:ascii="Arial" w:cs="Arial" w:hAnsi="Arial"/>
          <w:sz w:val="22"/>
        </w:rPr>
        <w:t>差异，实现全局任务定义统一。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统一规则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剔除无效样本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无标记试次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休息无任务试次（非目标）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人工标记 Artifact Trial（伪迹污染试次）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标签体系全局统一（三分类标准）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左手运动想象 → 0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右手运动想象 → 1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静止放松 → 2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四分类数据集（手脚舌）自动映射筛选为「左 / 右 / 静」三分类，统一任务维度。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统一任务范式逻辑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所有数据统一为「提示出现 → 持续想象 → 结束」标准 MI 范式，保证模型学习任务逻辑一致。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Step 3 通道统一筛选（Channel Selection）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核心意义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模型卷积核的</w:t>
      </w:r>
      <w:r>
        <w:rPr>
          <w:rFonts w:eastAsia="等线" w:ascii="Arial" w:cs="Arial" w:hAnsi="Arial"/>
          <w:b w:val="true"/>
          <w:sz w:val="22"/>
        </w:rPr>
        <w:t>空间感受野必须固定</w:t>
      </w:r>
      <w:r>
        <w:rPr>
          <w:rFonts w:eastAsia="等线" w:ascii="Arial" w:cs="Arial" w:hAnsi="Arial"/>
          <w:sz w:val="22"/>
        </w:rPr>
        <w:t>，跨数据集通道不一致会导致预训练完全失效。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全局固定 8 通道（匹配自研 OpenBCI 硬件）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FC3、FC4、C3、Cz、C4、CP3、CPz、CP4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执行规则</w:t>
      </w:r>
      <w:bookmarkEnd w:id="1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公开数据集多余通道</w:t>
      </w:r>
      <w:r>
        <w:rPr>
          <w:rFonts w:eastAsia="等线" w:ascii="Arial" w:cs="Arial" w:hAnsi="Arial"/>
          <w:b w:val="true"/>
          <w:sz w:val="22"/>
        </w:rPr>
        <w:t>直接剔除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缺失通道不补零、不插值，严格对齐上述 8 通道拓扑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所有数据集最终输出：</w:t>
      </w:r>
      <w:r>
        <w:rPr>
          <w:rFonts w:eastAsia="等线" w:ascii="Arial" w:cs="Arial" w:hAnsi="Arial"/>
          <w:b w:val="true"/>
          <w:sz w:val="22"/>
        </w:rPr>
        <w:t>固定 8 通道脑电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保证：</w:t>
      </w:r>
      <w:r>
        <w:rPr>
          <w:rFonts w:eastAsia="等线" w:ascii="Arial" w:cs="Arial" w:hAnsi="Arial"/>
          <w:b w:val="true"/>
          <w:sz w:val="22"/>
        </w:rPr>
        <w:t>预训练、微调、在线推理，通道空间拓扑完全一致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Step 4 公共平均重参考 CAR（Common Average Reference）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原理公式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作用（MI 任务关键）</w:t>
      </w:r>
      <w:bookmarkEnd w:id="1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消除全局公共噪声、参考电极偏移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增强左右运动皮层 C3/C4 的 ERD 不对称差异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提升空间分辨率，是运动想象 BCI 标配预处理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执行时机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滤波</w:t>
      </w:r>
      <w:r>
        <w:rPr>
          <w:rFonts w:eastAsia="等线" w:ascii="Arial" w:cs="Arial" w:hAnsi="Arial"/>
          <w:b w:val="true"/>
          <w:sz w:val="22"/>
        </w:rPr>
        <w:t>之前</w:t>
      </w:r>
      <w:r>
        <w:rPr>
          <w:rFonts w:eastAsia="等线" w:ascii="Arial" w:cs="Arial" w:hAnsi="Arial"/>
          <w:sz w:val="22"/>
        </w:rPr>
        <w:t>执行，保证噪声基底统一。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Step 5 双层滤波（Notch + Band-pass）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工频陷波滤波 Notch</w:t>
      </w:r>
      <w:bookmarkEnd w:id="2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频率：50 Hz（国内市电标准）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作用：去除设备工频干扰、线缆耦合噪声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运动想象带通滤波 Band-pass</w:t>
      </w:r>
      <w:bookmarkEnd w:id="2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通带：</w:t>
      </w:r>
      <w:r>
        <w:rPr>
          <w:rFonts w:eastAsia="等线" w:ascii="Arial" w:cs="Arial" w:hAnsi="Arial"/>
          <w:b w:val="true"/>
          <w:sz w:val="22"/>
        </w:rPr>
        <w:t>8–30 Hz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保留核心节律：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μ 节律（8–13 Hz）：初级运动皮层静息振荡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β 节律（13–30 Hz）：运动想象抑制特征 ERD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滤波效果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彻底滤除低频漂移、高频肌电噪声、心电干扰，</w:t>
      </w:r>
      <w:r>
        <w:rPr>
          <w:rFonts w:eastAsia="等线" w:ascii="Arial" w:cs="Arial" w:hAnsi="Arial"/>
          <w:b w:val="true"/>
          <w:sz w:val="22"/>
        </w:rPr>
        <w:t>只保留运动想象有效特征频段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Step 6 Epoch 分段提取（Epoch Extraction）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统一截取区间（这个不确定）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Cue 前 -0.5 s ~ Cue 后 6.0 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为什么保留前置 0.5s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b w:val="true"/>
          <w:sz w:val="22"/>
        </w:rPr>
        <w:t>基线校正</w:t>
      </w:r>
      <w:r>
        <w:rPr>
          <w:rFonts w:eastAsia="等线" w:ascii="Arial" w:cs="Arial" w:hAnsi="Arial"/>
          <w:sz w:val="22"/>
        </w:rPr>
        <w:t>提供纯净静息基准，是标准化必不可少区间。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输出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每一个试次为独立 Epoch 样本。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Step 7 基线校正（Baseline Correction）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基线区间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[-0.5 s, 0 s] 静息段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计算方式</w:t>
      </w:r>
      <w:bookmarkEnd w:id="3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计算单通道静息均值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</m:oMath>
      </m:oMathPara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 Epoch 减去基线均值：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核心作用（与 Z-score 严格区分）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</w:t>
      </w:r>
      <w:r>
        <w:rPr>
          <w:rFonts w:eastAsia="等线" w:ascii="Arial" w:cs="Arial" w:hAnsi="Arial"/>
          <w:b w:val="true"/>
          <w:sz w:val="22"/>
        </w:rPr>
        <w:t>单日、单会话、单次佩戴</w:t>
      </w:r>
      <w:r>
        <w:rPr>
          <w:rFonts w:eastAsia="等线" w:ascii="Arial" w:cs="Arial" w:hAnsi="Arial"/>
          <w:sz w:val="22"/>
        </w:rPr>
        <w:t>带来的整体电压偏移 Offset。</w:t>
        <w:br/>
      </w:r>
      <w:r>
        <w:rPr>
          <w:rFonts w:eastAsia="等线" w:ascii="Arial" w:cs="Arial" w:hAnsi="Arial"/>
          <w:sz w:val="22"/>
        </w:rPr>
        <w:t>解决：不同日期、不同电极阻抗、不同出汗导致的基线漂移。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Step 8 分类时间窗截取（Classification Window）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统一推理有效窗口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想象开始后 2.0 s ~ 6.0 s（共 4s）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学术依据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运动想象 ERD 特征在提示后 2s 开始稳定激活，0–2s 为大脑准备电位，特征不稳定，不参与分类。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最终有效信号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仅保留稳定 ERD/ERS 特征区间。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Step 9 全局统一重采样 Resampling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统一采样率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125 Hz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适配所有原始采样率</w:t>
      </w:r>
      <w:bookmarkEnd w:id="3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BCI IV 2a（250 Hz）↓ 降采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OpenBMI（1000 Hz）↓ 降采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OpenBCI（250 Hz）↓ 降采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固定时间点长度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4s × 125 Hz = </w:t>
      </w:r>
      <w:r>
        <w:rPr>
          <w:rFonts w:eastAsia="等线" w:ascii="Arial" w:cs="Arial" w:hAnsi="Arial"/>
          <w:b w:val="true"/>
          <w:sz w:val="22"/>
        </w:rPr>
        <w:t>500 时间点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最终固定尺寸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单样本：</w:t>
      </w:r>
      <w:r>
        <w:rPr>
          <w:rFonts w:eastAsia="等线" w:ascii="Arial" w:cs="Arial" w:hAnsi="Arial"/>
          <w:b w:val="true"/>
          <w:sz w:val="22"/>
        </w:rPr>
        <w:t>8 通道 × 500 时间步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彻底解决：不同设备时序维度不一致问题。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Step 10 单试次 Z-score 标准化（Trial-wise Z-score）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计算公式（单通道、单试次、时间维度）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与基线校正的核心区别（论文必写区分点）</w:t>
      </w:r>
      <w:bookmarkEnd w:id="4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Baseline Correction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用「前置静息段」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去除</w:t>
      </w:r>
      <w:r>
        <w:rPr>
          <w:rFonts w:eastAsia="等线" w:ascii="Arial" w:cs="Arial" w:hAnsi="Arial"/>
          <w:b w:val="true"/>
          <w:sz w:val="22"/>
        </w:rPr>
        <w:t>设备 / 生理直流偏移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Trial-wise Z-score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用「有效分类整段数据」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</w:t>
      </w:r>
      <w:r>
        <w:rPr>
          <w:rFonts w:eastAsia="等线" w:ascii="Arial" w:cs="Arial" w:hAnsi="Arial"/>
          <w:b w:val="true"/>
          <w:sz w:val="22"/>
        </w:rPr>
        <w:t>试次间幅值差异</w:t>
      </w:r>
      <w:r>
        <w:rPr>
          <w:rFonts w:eastAsia="等线" w:ascii="Arial" w:cs="Arial" w:hAnsi="Arial"/>
          <w:sz w:val="22"/>
        </w:rPr>
        <w:t>、加速收敛、统一分布域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作用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消除不同被试、不同会话脑电幅值差异，实现</w:t>
      </w:r>
      <w:r>
        <w:rPr>
          <w:rFonts w:eastAsia="等线" w:ascii="Arial" w:cs="Arial" w:hAnsi="Arial"/>
          <w:b w:val="true"/>
          <w:sz w:val="22"/>
        </w:rPr>
        <w:t>全局数据域对齐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Step 11 张量维度规整（Tensor Formatting）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适配 EEGNet 标准输入（PyTorch）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统一维度：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N：批次大小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1：特征维度（EEGNet 固定）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C=8：固定通道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T=500：固定时序长度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所有数据集、所有设备输出张量</w:t>
      </w:r>
      <w:r>
        <w:rPr>
          <w:rFonts w:eastAsia="等线" w:ascii="Arial" w:cs="Arial" w:hAnsi="Arial"/>
          <w:b w:val="true"/>
          <w:sz w:val="22"/>
        </w:rPr>
        <w:t>维度完全一致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Step 12 数据集划分（Train/Val/Test）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划分规则</w:t>
      </w:r>
      <w:bookmarkEnd w:id="4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按被试划分（严格跨试次泛化）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不随机打乱跨被试数据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保证验证测试为完全未知分布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输出：可直接用于 EEGNet 离线通用预训练。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关键学术区分（论文专用・极易混淆考点）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1. CAR重参考、基线校正、Z-score标准化三者核心区别（三维度学术辨析）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在EEG运动想象预处理流程中，CAR公共平均重参考、基线校正、单试次Z-score标准化为三个独立且不可替代的操作，分别对应</w:t>
      </w:r>
      <w:r>
        <w:rPr>
          <w:rFonts w:eastAsia="等线" w:ascii="Arial" w:cs="Arial" w:hAnsi="Arial"/>
          <w:b w:val="true"/>
          <w:sz w:val="22"/>
        </w:rPr>
        <w:t>空间噪声修正、物理基线偏移消除、数据分布归一化</w:t>
      </w:r>
      <w:r>
        <w:rPr>
          <w:rFonts w:eastAsia="等线" w:ascii="Arial" w:cs="Arial" w:hAnsi="Arial"/>
          <w:sz w:val="22"/>
        </w:rPr>
        <w:t>三个不同层级。为明确三者本质差异、支撑论文严谨性，以下给出</w:t>
      </w:r>
      <w:r>
        <w:rPr>
          <w:rFonts w:eastAsia="等线" w:ascii="Arial" w:cs="Arial" w:hAnsi="Arial"/>
          <w:b w:val="true"/>
          <w:sz w:val="22"/>
        </w:rPr>
        <w:t>统一公式、变量释义、计算区间与核心特性</w:t>
      </w:r>
      <w:r>
        <w:rPr>
          <w:rFonts w:eastAsia="等线" w:ascii="Arial" w:cs="Arial" w:hAnsi="Arial"/>
          <w:sz w:val="22"/>
        </w:rPr>
        <w:t>的完整对比辨析：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（1）CAR公共平均重参考（空间层级修正｜全域空间降噪）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CAR</m:t>
              </m:r>
            </m:sub>
          </m:sSub>
          <m:r>
            <w:rPr>
              <w:rFonts w:ascii="Cambria Math" w:hAnsi="Cambria Math"/>
            </w:rPr>
            <m:t>(t)=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>(t)−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变量释义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：单通道原始时序电位信号；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：总通道数；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：第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个通道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时刻电位；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CAR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：重参考校正后信号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：空间域降噪与信号重构操作，针对电极采集的空间信号差异优化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：全脑公共全局噪声、参考电极带来的固定偏移、空间串扰干扰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计算区间</w:t>
      </w:r>
      <w:r>
        <w:rPr>
          <w:rFonts w:eastAsia="等线" w:ascii="Arial" w:cs="Arial" w:hAnsi="Arial"/>
          <w:sz w:val="22"/>
        </w:rPr>
        <w:t>：整段原始连续信号，逐时间点全局空间平均校正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：提升左右运动皮层电极的信号不对称性，放大ERD有效空间特征，</w:t>
      </w:r>
      <w:r>
        <w:rPr>
          <w:rFonts w:eastAsia="等线" w:ascii="Arial" w:cs="Arial" w:hAnsi="Arial"/>
          <w:b w:val="true"/>
          <w:sz w:val="22"/>
        </w:rPr>
        <w:t>不改变信号幅值分布与基线偏移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：预处理前期、所有滤波与分段操作之前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：空间域降噪与信号重构操作，针对电极采集的空间信号差异优化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：全脑公共全局噪声、参考电极带来的固定偏移、空间串扰干扰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  <w:r>
        <w:rPr>
          <w:rFonts w:eastAsia="等线" w:ascii="Arial" w:cs="Arial" w:hAnsi="Arial"/>
          <w:sz w:val="22"/>
        </w:rPr>
        <w:t>：以全部通道的平均电位为公共参考，重构各通道相对电位信号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：提升左右运动皮层电极的信号不对称性，放大ERD有效空间特征，不改变信号幅值分布与基线偏移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：预处理前期、所有滤波与分段操作之前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（2）基线校正（物理层级修正｜基准零点对齐）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(t)=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(t)−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t∈</m:t>
              </m:r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变量释义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：CAR与滤波后Epoch分段信号；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：基线静息区间（-0.5s~0s）；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：单通道基线区间均值；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：基线校正后信号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：时域物理偏移修正操作，针对单试次信号的静态偏差优化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：电极阻抗变化、皮肤出汗、设备漂移、佩戴差异导致的</w:t>
      </w:r>
      <w:r>
        <w:rPr>
          <w:rFonts w:eastAsia="等线" w:ascii="Arial" w:cs="Arial" w:hAnsi="Arial"/>
          <w:b w:val="true"/>
          <w:sz w:val="22"/>
        </w:rPr>
        <w:t>直流基线偏移量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计算区间</w:t>
      </w:r>
      <w:r>
        <w:rPr>
          <w:rFonts w:eastAsia="等线" w:ascii="Arial" w:cs="Arial" w:hAnsi="Arial"/>
          <w:sz w:val="22"/>
        </w:rPr>
        <w:t>：仅用试次前置纯静息基线区间，用静态均值归零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：消除单次实验的固定电压偏移，统一所有试次的信号基准零点，</w:t>
      </w:r>
      <w:r>
        <w:rPr>
          <w:rFonts w:eastAsia="等线" w:ascii="Arial" w:cs="Arial" w:hAnsi="Arial"/>
          <w:b w:val="true"/>
          <w:sz w:val="22"/>
        </w:rPr>
        <w:t>不改变信号相对波动与方差大小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：Epoch分段提取后、时间窗截取之前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：时域物理偏移修正操作，针对单试次信号的静态偏差优化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：电极阻抗变化、皮肤出汗、设备漂移、佩戴差异导致的</w:t>
      </w:r>
      <w:r>
        <w:rPr>
          <w:rFonts w:eastAsia="等线" w:ascii="Arial" w:cs="Arial" w:hAnsi="Arial"/>
          <w:b w:val="true"/>
          <w:sz w:val="22"/>
        </w:rPr>
        <w:t>直流基线偏移量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  <w:r>
        <w:rPr>
          <w:rFonts w:eastAsia="等线" w:ascii="Arial" w:cs="Arial" w:hAnsi="Arial"/>
          <w:sz w:val="22"/>
        </w:rPr>
        <w:t>：利用试次前置静息基线区间均值，对整段Epoch信号做均值归零校正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：消除单次实验的固定电压偏移，统一所有试次的信号基准零点，不改变信号的相对波动特征与数据分布方差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：Epoch分段提取后、时间窗截取之前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（3）单试次Z-score标准化（统计层级修正｜分布域统一）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(t)−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trial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trial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trial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trial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t∈</m:t>
              </m:r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trial</m:t>
                  </m:r>
                </m:sub>
              </m:sSub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(t),</m:t>
          </m:r>
          <m:sSub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trial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trial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t∈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trial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(t)−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trial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变量释义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：基线校正后信号；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trial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：有效分类时间窗（2s~6s）；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trial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trial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：单试次有效区间均值与标准差；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：最终标准化信号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：统计分布归一化操作，针对数据幅值差异与分布偏差优化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：不同被试、不同会话、不同试次之间的</w:t>
      </w:r>
      <w:r>
        <w:rPr>
          <w:rFonts w:eastAsia="等线" w:ascii="Arial" w:cs="Arial" w:hAnsi="Arial"/>
          <w:b w:val="true"/>
          <w:sz w:val="22"/>
        </w:rPr>
        <w:t>信号幅值差异、方差不一致问题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计算区间</w:t>
      </w:r>
      <w:r>
        <w:rPr>
          <w:rFonts w:eastAsia="等线" w:ascii="Arial" w:cs="Arial" w:hAnsi="Arial"/>
          <w:sz w:val="22"/>
        </w:rPr>
        <w:t>：仅用试次有效分类特征区间，动态归一分布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：抹平个体生理差异带来的幅值偏移，统一全局数据域分布，加速模型收敛，</w:t>
      </w:r>
      <w:r>
        <w:rPr>
          <w:rFonts w:eastAsia="等线" w:ascii="Arial" w:cs="Arial" w:hAnsi="Arial"/>
          <w:b w:val="true"/>
          <w:sz w:val="22"/>
        </w:rPr>
        <w:t>不改变信号物理基线与空间特征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：重采样、时间窗截取完成后的最终归一化步骤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：统计分布归一化操作，针对数据幅值差异与分布偏差优化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修正对象</w:t>
      </w:r>
      <w:r>
        <w:rPr>
          <w:rFonts w:eastAsia="等线" w:ascii="Arial" w:cs="Arial" w:hAnsi="Arial"/>
          <w:sz w:val="22"/>
        </w:rPr>
        <w:t>：不同被试、不同会话、不同试次之间的</w:t>
      </w:r>
      <w:r>
        <w:rPr>
          <w:rFonts w:eastAsia="等线" w:ascii="Arial" w:cs="Arial" w:hAnsi="Arial"/>
          <w:b w:val="true"/>
          <w:sz w:val="22"/>
        </w:rPr>
        <w:t>信号幅值差异、方差不一致问题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  <w:r>
        <w:rPr>
          <w:rFonts w:eastAsia="等线" w:ascii="Arial" w:cs="Arial" w:hAnsi="Arial"/>
          <w:sz w:val="22"/>
        </w:rPr>
        <w:t>：基于单试次有效时序数据的均值与标准差，将信号归一为标准正态分布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：抹平个体生理差异带来的幅值偏移，统一全局数据域分布，加速模型收敛，不改变信号物理基线与空间特征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执行时机</w:t>
      </w:r>
      <w:r>
        <w:rPr>
          <w:rFonts w:eastAsia="等线" w:ascii="Arial" w:cs="Arial" w:hAnsi="Arial"/>
          <w:sz w:val="22"/>
        </w:rPr>
        <w:t>：重采样、时间窗截取完成后的最终归一化步骤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三者公式与功能核心总结（论文精简对比）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从计算逻辑与修正层级可明确三者递进关系：</w:t>
      </w:r>
      <w:r>
        <w:rPr>
          <w:rFonts w:eastAsia="等线" w:ascii="Arial" w:cs="Arial" w:hAnsi="Arial"/>
          <w:b w:val="true"/>
          <w:sz w:val="22"/>
        </w:rPr>
        <w:t>CAR为重参考空间运算（多通道协同降噪）</w:t>
      </w:r>
      <w:r>
        <w:rPr>
          <w:rFonts w:eastAsia="等线" w:ascii="Arial" w:cs="Arial" w:hAnsi="Arial"/>
          <w:sz w:val="22"/>
        </w:rPr>
        <w:t>，通过全通道平均消除空间公共噪声，仅优化信号空间特征；</w:t>
      </w:r>
      <w:r>
        <w:rPr>
          <w:rFonts w:eastAsia="等线" w:ascii="Arial" w:cs="Arial" w:hAnsi="Arial"/>
          <w:b w:val="true"/>
          <w:sz w:val="22"/>
        </w:rPr>
        <w:t>基线校正为静态均值减法（单通道基准归零）</w:t>
      </w:r>
      <w:r>
        <w:rPr>
          <w:rFonts w:eastAsia="等线" w:ascii="Arial" w:cs="Arial" w:hAnsi="Arial"/>
          <w:sz w:val="22"/>
        </w:rPr>
        <w:t>，依托前置静息区间消除设备与生理带来的直流偏移，保证信号物理基准统一；</w:t>
      </w:r>
      <w:r>
        <w:rPr>
          <w:rFonts w:eastAsia="等线" w:ascii="Arial" w:cs="Arial" w:hAnsi="Arial"/>
          <w:b w:val="true"/>
          <w:sz w:val="22"/>
        </w:rPr>
        <w:t>单试次Z-score为均值方差归一化（单通道分布重塑）</w:t>
      </w:r>
      <w:r>
        <w:rPr>
          <w:rFonts w:eastAsia="等线" w:ascii="Arial" w:cs="Arial" w:hAnsi="Arial"/>
          <w:sz w:val="22"/>
        </w:rPr>
        <w:t>，依托有效特征区间重塑数据统计分布，抹平个体与试次幅值差异。三者逐层递进、功能完全互补，共同实现EEG数据空间、物理、统计三维度的全面同质化，是跨数据集模型稳定泛化的核心预处理保障。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三者关键维度对照表（论文可直接插入表格）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预处理操作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核心公式逻辑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计算区间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是否改变基线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是否改变分布方差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CAR重参考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单通道减全通道均值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原始整段连续信号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轻微改变（空间降噪）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基线校正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物理时域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整段信号减静息均值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前置-0.5s~0s基线段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是（归零校准）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Z-score标准化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去均值/标准差归一化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有效2s~6s分类段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是（统一为标准正态分布）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CAR重参考完成</w:t>
      </w:r>
      <w:r>
        <w:rPr>
          <w:rFonts w:eastAsia="等线" w:ascii="Arial" w:cs="Arial" w:hAnsi="Arial"/>
          <w:b w:val="true"/>
          <w:sz w:val="22"/>
        </w:rPr>
        <w:t>空间信号提纯</w:t>
      </w:r>
      <w:r>
        <w:rPr>
          <w:rFonts w:eastAsia="等线" w:ascii="Arial" w:cs="Arial" w:hAnsi="Arial"/>
          <w:sz w:val="22"/>
        </w:rPr>
        <w:t>，基线校正完成</w:t>
      </w:r>
      <w:r>
        <w:rPr>
          <w:rFonts w:eastAsia="等线" w:ascii="Arial" w:cs="Arial" w:hAnsi="Arial"/>
          <w:b w:val="true"/>
          <w:sz w:val="22"/>
        </w:rPr>
        <w:t>物理基准对齐</w:t>
      </w:r>
      <w:r>
        <w:rPr>
          <w:rFonts w:eastAsia="等线" w:ascii="Arial" w:cs="Arial" w:hAnsi="Arial"/>
          <w:sz w:val="22"/>
        </w:rPr>
        <w:t>，Z-score标准化完成</w:t>
      </w:r>
      <w:r>
        <w:rPr>
          <w:rFonts w:eastAsia="等线" w:ascii="Arial" w:cs="Arial" w:hAnsi="Arial"/>
          <w:b w:val="true"/>
          <w:sz w:val="22"/>
        </w:rPr>
        <w:t>统计分布统一</w:t>
      </w:r>
      <w:r>
        <w:rPr>
          <w:rFonts w:eastAsia="等线" w:ascii="Arial" w:cs="Arial" w:hAnsi="Arial"/>
          <w:sz w:val="22"/>
        </w:rPr>
        <w:t>。三者逐层递进、功能互补，共同实现多源EEG数据从空间、物理、统计维度的全方位同质化，是保障跨数据集模型泛化能力的核心关键。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基线校正：</w:t>
      </w:r>
      <w:r>
        <w:rPr>
          <w:rFonts w:eastAsia="等线" w:ascii="Arial" w:cs="Arial" w:hAnsi="Arial"/>
          <w:b w:val="true"/>
          <w:sz w:val="22"/>
        </w:rPr>
        <w:t>去直流偏移</w:t>
      </w:r>
      <w:r>
        <w:rPr>
          <w:rFonts w:eastAsia="等线" w:ascii="Arial" w:cs="Arial" w:hAnsi="Arial"/>
          <w:sz w:val="22"/>
        </w:rPr>
        <w:t>（物理层面）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试次标准化：</w:t>
      </w:r>
      <w:r>
        <w:rPr>
          <w:rFonts w:eastAsia="等线" w:ascii="Arial" w:cs="Arial" w:hAnsi="Arial"/>
          <w:b w:val="true"/>
          <w:sz w:val="22"/>
        </w:rPr>
        <w:t>统一概率分布</w:t>
      </w:r>
      <w:r>
        <w:rPr>
          <w:rFonts w:eastAsia="等线" w:ascii="Arial" w:cs="Arial" w:hAnsi="Arial"/>
          <w:sz w:val="22"/>
        </w:rPr>
        <w:t>（数据域层面）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2. 全局统一 Pipeline 的核心创新支撑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本流水线解决现有 BCI 研究通病：</w:t>
        <w:br/>
        <w:t>不同数据集预处理规则不一致、尺度不统一、特征空间偏移，导致预训练模型泛化差、迁移能力弱。</w:t>
        <w:br/>
      </w:r>
      <w:r>
        <w:rPr>
          <w:rFonts w:eastAsia="等线" w:ascii="Arial" w:cs="Arial" w:hAnsi="Arial"/>
          <w:sz w:val="22"/>
        </w:rPr>
        <w:t>本方案实现</w:t>
      </w:r>
      <w:r>
        <w:rPr>
          <w:rFonts w:eastAsia="等线" w:ascii="Arial" w:cs="Arial" w:hAnsi="Arial"/>
          <w:b w:val="true"/>
          <w:sz w:val="22"/>
        </w:rPr>
        <w:t>多源数据同构化</w:t>
      </w:r>
      <w:r>
        <w:rPr>
          <w:rFonts w:eastAsia="等线" w:ascii="Arial" w:cs="Arial" w:hAnsi="Arial"/>
          <w:sz w:val="22"/>
        </w:rPr>
        <w:t>，是后续「少样本跨会话适配、OTTA 自适应有效」的</w:t>
      </w:r>
      <w:r>
        <w:rPr>
          <w:rFonts w:eastAsia="等线" w:ascii="Arial" w:cs="Arial" w:hAnsi="Arial"/>
          <w:b w:val="true"/>
          <w:sz w:val="22"/>
        </w:rPr>
        <w:t>前置基础条件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3. 与在线自适应模块的逻辑承接</w:t>
      </w:r>
      <w:bookmarkEnd w:id="58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离线：本 Pipeline 构建</w:t>
      </w:r>
      <w:r>
        <w:rPr>
          <w:rFonts w:eastAsia="等线" w:ascii="Arial" w:cs="Arial" w:hAnsi="Arial"/>
          <w:b w:val="true"/>
          <w:sz w:val="22"/>
        </w:rPr>
        <w:t>标准通用特征域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在线阶段：EA+AdaBN 将实时流式数据对齐至该标准域</w:t>
        <w:br/>
      </w:r>
      <w:r>
        <w:rPr>
          <w:rFonts w:eastAsia="等线" w:ascii="Arial" w:cs="Arial" w:hAnsi="Arial"/>
          <w:b w:val="true"/>
          <w:sz w:val="22"/>
        </w:rPr>
        <w:t>离线统一 + 在线校正</w:t>
      </w:r>
      <w:r>
        <w:rPr>
          <w:rFonts w:eastAsia="等线" w:ascii="Arial" w:cs="Arial" w:hAnsi="Arial"/>
          <w:sz w:val="22"/>
        </w:rPr>
        <w:t>构成完整闭环域自适应体系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最终统一输出标准（全数据集完全一致）（不一定有待商榷）</w:t>
      </w:r>
      <w:bookmarkEnd w:id="5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通道：8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时序：500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采样率：125 Hz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输入张量：(B,1,8,500)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标签：0/1/2 三分类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数据分布：单试次标准正态分布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特征区间：稳定 ERD 运动想象区间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可直接写入论文的段落（成品话术）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为构建跨设备、跨数据集、跨被试的通用运动想象脑电解码模型，本文设计了一套</w:t>
      </w:r>
      <w:r>
        <w:rPr>
          <w:rFonts w:eastAsia="等线" w:ascii="Arial" w:cs="Arial" w:hAnsi="Arial"/>
          <w:b w:val="true"/>
          <w:sz w:val="22"/>
        </w:rPr>
        <w:t>多源 EEG 数据同质化预处理流水线</w:t>
      </w:r>
      <w:r>
        <w:rPr>
          <w:rFonts w:eastAsia="等线" w:ascii="Arial" w:cs="Arial" w:hAnsi="Arial"/>
          <w:sz w:val="22"/>
        </w:rPr>
        <w:t>。针对公开数据集与自研采集数据格式、采样率、通道拓扑、标签体系不一致的问题，通过通道统一筛选、基线偏移消除、带通特征保留、全局重采样与试次级标准化，将所有原始脑电数据映射至同一特征空间。该流水线严格保留 μ/β 节律 ERD 核心特征，剔除伪迹与无效样本，最终输出统一维度与分布的标准化样本，为离线通用模型预训练、在线少样本个性化微调与测试时自适应校正提供了稳定、一致的数据基础。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5007">
    <w:lvl>
      <w:numFmt w:val="bullet"/>
      <w:suff w:val="tab"/>
      <w:lvlText w:val="•"/>
      <w:rPr>
        <w:color w:val="3370ff"/>
      </w:rPr>
    </w:lvl>
  </w:abstractNum>
  <w:abstractNum w:abstractNumId="705008">
    <w:lvl>
      <w:numFmt w:val="bullet"/>
      <w:suff w:val="tab"/>
      <w:lvlText w:val="•"/>
      <w:rPr>
        <w:color w:val="3370ff"/>
      </w:rPr>
    </w:lvl>
  </w:abstractNum>
  <w:abstractNum w:abstractNumId="705009">
    <w:lvl>
      <w:numFmt w:val="bullet"/>
      <w:suff w:val="tab"/>
      <w:lvlText w:val="•"/>
      <w:rPr>
        <w:color w:val="3370ff"/>
      </w:rPr>
    </w:lvl>
  </w:abstractNum>
  <w:abstractNum w:abstractNumId="705010">
    <w:lvl>
      <w:start w:val="1"/>
      <w:numFmt w:val="decimal"/>
      <w:suff w:val="tab"/>
      <w:lvlText w:val="%1."/>
      <w:rPr>
        <w:color w:val="3370ff"/>
      </w:rPr>
    </w:lvl>
  </w:abstractNum>
  <w:abstractNum w:abstractNumId="705011">
    <w:lvl>
      <w:start w:val="2"/>
      <w:numFmt w:val="decimal"/>
      <w:suff w:val="tab"/>
      <w:lvlText w:val="%1."/>
      <w:rPr>
        <w:color w:val="3370ff"/>
      </w:rPr>
    </w:lvl>
  </w:abstractNum>
  <w:abstractNum w:abstractNumId="705012">
    <w:lvl>
      <w:start w:val="3"/>
      <w:numFmt w:val="decimal"/>
      <w:suff w:val="tab"/>
      <w:lvlText w:val="%1."/>
      <w:rPr>
        <w:color w:val="3370ff"/>
      </w:rPr>
    </w:lvl>
  </w:abstractNum>
  <w:abstractNum w:abstractNumId="705013">
    <w:lvl>
      <w:start w:val="4"/>
      <w:numFmt w:val="decimal"/>
      <w:suff w:val="tab"/>
      <w:lvlText w:val="%1."/>
      <w:rPr>
        <w:color w:val="3370ff"/>
      </w:rPr>
    </w:lvl>
  </w:abstractNum>
  <w:abstractNum w:abstractNumId="705014">
    <w:lvl>
      <w:start w:val="5"/>
      <w:numFmt w:val="decimal"/>
      <w:suff w:val="tab"/>
      <w:lvlText w:val="%1."/>
      <w:rPr>
        <w:color w:val="3370ff"/>
      </w:rPr>
    </w:lvl>
  </w:abstractNum>
  <w:abstractNum w:abstractNumId="705015">
    <w:lvl>
      <w:start w:val="6"/>
      <w:numFmt w:val="decimal"/>
      <w:suff w:val="tab"/>
      <w:lvlText w:val="%1."/>
      <w:rPr>
        <w:color w:val="3370ff"/>
      </w:rPr>
    </w:lvl>
  </w:abstractNum>
  <w:abstractNum w:abstractNumId="705016">
    <w:lvl>
      <w:numFmt w:val="bullet"/>
      <w:suff w:val="tab"/>
      <w:lvlText w:val="•"/>
      <w:rPr>
        <w:color w:val="3370ff"/>
      </w:rPr>
    </w:lvl>
  </w:abstractNum>
  <w:abstractNum w:abstractNumId="705017">
    <w:lvl>
      <w:numFmt w:val="bullet"/>
      <w:suff w:val="tab"/>
      <w:lvlText w:val="•"/>
      <w:rPr>
        <w:color w:val="3370ff"/>
      </w:rPr>
    </w:lvl>
  </w:abstractNum>
  <w:abstractNum w:abstractNumId="705018">
    <w:lvl>
      <w:start w:val="1"/>
      <w:numFmt w:val="decimal"/>
      <w:suff w:val="tab"/>
      <w:lvlText w:val="%1."/>
      <w:rPr>
        <w:color w:val="3370ff"/>
      </w:rPr>
    </w:lvl>
  </w:abstractNum>
  <w:abstractNum w:abstractNumId="705019">
    <w:lvl>
      <w:numFmt w:val="bullet"/>
      <w:suff w:val="tab"/>
      <w:lvlText w:val="•"/>
      <w:rPr>
        <w:color w:val="3370ff"/>
      </w:rPr>
    </w:lvl>
  </w:abstractNum>
  <w:abstractNum w:abstractNumId="705020">
    <w:lvl>
      <w:numFmt w:val="bullet"/>
      <w:suff w:val="tab"/>
      <w:lvlText w:val="•"/>
      <w:rPr>
        <w:color w:val="3370ff"/>
      </w:rPr>
    </w:lvl>
  </w:abstractNum>
  <w:abstractNum w:abstractNumId="705021">
    <w:lvl>
      <w:numFmt w:val="bullet"/>
      <w:suff w:val="tab"/>
      <w:lvlText w:val="•"/>
      <w:rPr>
        <w:color w:val="3370ff"/>
      </w:rPr>
    </w:lvl>
  </w:abstractNum>
  <w:abstractNum w:abstractNumId="705022">
    <w:lvl>
      <w:start w:val="2"/>
      <w:numFmt w:val="decimal"/>
      <w:suff w:val="tab"/>
      <w:lvlText w:val="%1."/>
      <w:rPr>
        <w:color w:val="3370ff"/>
      </w:rPr>
    </w:lvl>
  </w:abstractNum>
  <w:abstractNum w:abstractNumId="705023">
    <w:lvl>
      <w:numFmt w:val="bullet"/>
      <w:suff w:val="tab"/>
      <w:lvlText w:val="•"/>
      <w:rPr>
        <w:color w:val="3370ff"/>
      </w:rPr>
    </w:lvl>
  </w:abstractNum>
  <w:abstractNum w:abstractNumId="705024">
    <w:lvl>
      <w:numFmt w:val="bullet"/>
      <w:suff w:val="tab"/>
      <w:lvlText w:val="•"/>
      <w:rPr>
        <w:color w:val="3370ff"/>
      </w:rPr>
    </w:lvl>
  </w:abstractNum>
  <w:abstractNum w:abstractNumId="705025">
    <w:lvl>
      <w:numFmt w:val="bullet"/>
      <w:suff w:val="tab"/>
      <w:lvlText w:val="•"/>
      <w:rPr>
        <w:color w:val="3370ff"/>
      </w:rPr>
    </w:lvl>
  </w:abstractNum>
  <w:abstractNum w:abstractNumId="705026">
    <w:lvl>
      <w:start w:val="3"/>
      <w:numFmt w:val="decimal"/>
      <w:suff w:val="tab"/>
      <w:lvlText w:val="%1."/>
      <w:rPr>
        <w:color w:val="3370ff"/>
      </w:rPr>
    </w:lvl>
  </w:abstractNum>
  <w:abstractNum w:abstractNumId="705027">
    <w:lvl>
      <w:start w:val="1"/>
      <w:numFmt w:val="decimal"/>
      <w:suff w:val="tab"/>
      <w:lvlText w:val="%1."/>
      <w:rPr>
        <w:color w:val="3370ff"/>
      </w:rPr>
    </w:lvl>
  </w:abstractNum>
  <w:abstractNum w:abstractNumId="705028">
    <w:lvl>
      <w:start w:val="2"/>
      <w:numFmt w:val="decimal"/>
      <w:suff w:val="tab"/>
      <w:lvlText w:val="%1."/>
      <w:rPr>
        <w:color w:val="3370ff"/>
      </w:rPr>
    </w:lvl>
  </w:abstractNum>
  <w:abstractNum w:abstractNumId="705029">
    <w:lvl>
      <w:start w:val="3"/>
      <w:numFmt w:val="decimal"/>
      <w:suff w:val="tab"/>
      <w:lvlText w:val="%1."/>
      <w:rPr>
        <w:color w:val="3370ff"/>
      </w:rPr>
    </w:lvl>
  </w:abstractNum>
  <w:abstractNum w:abstractNumId="705030">
    <w:lvl>
      <w:start w:val="1"/>
      <w:numFmt w:val="decimal"/>
      <w:suff w:val="tab"/>
      <w:lvlText w:val="%1."/>
      <w:rPr>
        <w:color w:val="3370ff"/>
      </w:rPr>
    </w:lvl>
  </w:abstractNum>
  <w:abstractNum w:abstractNumId="705031">
    <w:lvl>
      <w:start w:val="2"/>
      <w:numFmt w:val="decimal"/>
      <w:suff w:val="tab"/>
      <w:lvlText w:val="%1."/>
      <w:rPr>
        <w:color w:val="3370ff"/>
      </w:rPr>
    </w:lvl>
  </w:abstractNum>
  <w:abstractNum w:abstractNumId="705032">
    <w:lvl>
      <w:start w:val="3"/>
      <w:numFmt w:val="decimal"/>
      <w:suff w:val="tab"/>
      <w:lvlText w:val="%1."/>
      <w:rPr>
        <w:color w:val="3370ff"/>
      </w:rPr>
    </w:lvl>
  </w:abstractNum>
  <w:abstractNum w:abstractNumId="705033">
    <w:lvl>
      <w:numFmt w:val="bullet"/>
      <w:suff w:val="tab"/>
      <w:lvlText w:val="•"/>
      <w:rPr>
        <w:color w:val="3370ff"/>
      </w:rPr>
    </w:lvl>
  </w:abstractNum>
  <w:abstractNum w:abstractNumId="705034">
    <w:lvl>
      <w:numFmt w:val="bullet"/>
      <w:suff w:val="tab"/>
      <w:lvlText w:val="•"/>
      <w:rPr>
        <w:color w:val="3370ff"/>
      </w:rPr>
    </w:lvl>
  </w:abstractNum>
  <w:abstractNum w:abstractNumId="705035">
    <w:lvl>
      <w:numFmt w:val="bullet"/>
      <w:suff w:val="tab"/>
      <w:lvlText w:val="•"/>
      <w:rPr>
        <w:color w:val="3370ff"/>
      </w:rPr>
    </w:lvl>
  </w:abstractNum>
  <w:abstractNum w:abstractNumId="705036">
    <w:lvl>
      <w:numFmt w:val="bullet"/>
      <w:suff w:val="tab"/>
      <w:lvlText w:val="•"/>
      <w:rPr>
        <w:color w:val="3370ff"/>
      </w:rPr>
    </w:lvl>
  </w:abstractNum>
  <w:abstractNum w:abstractNumId="705037">
    <w:lvl>
      <w:numFmt w:val="bullet"/>
      <w:suff w:val="tab"/>
      <w:lvlText w:val="￮"/>
      <w:rPr>
        <w:color w:val="3370ff"/>
      </w:rPr>
    </w:lvl>
  </w:abstractNum>
  <w:abstractNum w:abstractNumId="705038">
    <w:lvl>
      <w:numFmt w:val="bullet"/>
      <w:suff w:val="tab"/>
      <w:lvlText w:val="￮"/>
      <w:rPr>
        <w:color w:val="3370ff"/>
      </w:rPr>
    </w:lvl>
  </w:abstractNum>
  <w:abstractNum w:abstractNumId="705039">
    <w:lvl>
      <w:start w:val="1"/>
      <w:numFmt w:val="decimal"/>
      <w:suff w:val="tab"/>
      <w:lvlText w:val="%1."/>
      <w:rPr>
        <w:color w:val="3370ff"/>
      </w:rPr>
    </w:lvl>
  </w:abstractNum>
  <w:abstractNum w:abstractNumId="705040">
    <w:lvl>
      <w:start w:val="2"/>
      <w:numFmt w:val="decimal"/>
      <w:suff w:val="tab"/>
      <w:lvlText w:val="%1."/>
      <w:rPr>
        <w:color w:val="3370ff"/>
      </w:rPr>
    </w:lvl>
  </w:abstractNum>
  <w:abstractNum w:abstractNumId="705041">
    <w:lvl>
      <w:numFmt w:val="bullet"/>
      <w:suff w:val="tab"/>
      <w:lvlText w:val="•"/>
      <w:rPr>
        <w:color w:val="3370ff"/>
      </w:rPr>
    </w:lvl>
  </w:abstractNum>
  <w:abstractNum w:abstractNumId="705042">
    <w:lvl>
      <w:numFmt w:val="bullet"/>
      <w:suff w:val="tab"/>
      <w:lvlText w:val="•"/>
      <w:rPr>
        <w:color w:val="3370ff"/>
      </w:rPr>
    </w:lvl>
  </w:abstractNum>
  <w:abstractNum w:abstractNumId="705043">
    <w:lvl>
      <w:numFmt w:val="bullet"/>
      <w:suff w:val="tab"/>
      <w:lvlText w:val="•"/>
      <w:rPr>
        <w:color w:val="3370ff"/>
      </w:rPr>
    </w:lvl>
  </w:abstractNum>
  <w:abstractNum w:abstractNumId="705044">
    <w:lvl>
      <w:start w:val="1"/>
      <w:numFmt w:val="decimal"/>
      <w:suff w:val="tab"/>
      <w:lvlText w:val="%1."/>
      <w:rPr>
        <w:color w:val="3370ff"/>
      </w:rPr>
    </w:lvl>
  </w:abstractNum>
  <w:abstractNum w:abstractNumId="705045">
    <w:lvl>
      <w:numFmt w:val="bullet"/>
      <w:suff w:val="tab"/>
      <w:lvlText w:val="•"/>
      <w:rPr>
        <w:color w:val="3370ff"/>
      </w:rPr>
    </w:lvl>
  </w:abstractNum>
  <w:abstractNum w:abstractNumId="705046">
    <w:lvl>
      <w:numFmt w:val="bullet"/>
      <w:suff w:val="tab"/>
      <w:lvlText w:val="•"/>
      <w:rPr>
        <w:color w:val="3370ff"/>
      </w:rPr>
    </w:lvl>
  </w:abstractNum>
  <w:abstractNum w:abstractNumId="705047">
    <w:lvl>
      <w:start w:val="2"/>
      <w:numFmt w:val="decimal"/>
      <w:suff w:val="tab"/>
      <w:lvlText w:val="%1."/>
      <w:rPr>
        <w:color w:val="3370ff"/>
      </w:rPr>
    </w:lvl>
  </w:abstractNum>
  <w:abstractNum w:abstractNumId="705048">
    <w:lvl>
      <w:numFmt w:val="bullet"/>
      <w:suff w:val="tab"/>
      <w:lvlText w:val="•"/>
      <w:rPr>
        <w:color w:val="3370ff"/>
      </w:rPr>
    </w:lvl>
  </w:abstractNum>
  <w:abstractNum w:abstractNumId="705049">
    <w:lvl>
      <w:numFmt w:val="bullet"/>
      <w:suff w:val="tab"/>
      <w:lvlText w:val="•"/>
      <w:rPr>
        <w:color w:val="3370ff"/>
      </w:rPr>
    </w:lvl>
  </w:abstractNum>
  <w:abstractNum w:abstractNumId="705050">
    <w:lvl>
      <w:numFmt w:val="bullet"/>
      <w:suff w:val="tab"/>
      <w:lvlText w:val="•"/>
      <w:rPr>
        <w:color w:val="3370ff"/>
      </w:rPr>
    </w:lvl>
  </w:abstractNum>
  <w:abstractNum w:abstractNumId="705051">
    <w:lvl>
      <w:numFmt w:val="bullet"/>
      <w:suff w:val="tab"/>
      <w:lvlText w:val="•"/>
      <w:rPr>
        <w:color w:val="3370ff"/>
      </w:rPr>
    </w:lvl>
  </w:abstractNum>
  <w:abstractNum w:abstractNumId="705052">
    <w:lvl>
      <w:numFmt w:val="bullet"/>
      <w:suff w:val="tab"/>
      <w:lvlText w:val="•"/>
      <w:rPr>
        <w:color w:val="3370ff"/>
      </w:rPr>
    </w:lvl>
  </w:abstractNum>
  <w:abstractNum w:abstractNumId="705053">
    <w:lvl>
      <w:numFmt w:val="bullet"/>
      <w:suff w:val="tab"/>
      <w:lvlText w:val="•"/>
      <w:rPr>
        <w:color w:val="3370ff"/>
      </w:rPr>
    </w:lvl>
  </w:abstractNum>
  <w:abstractNum w:abstractNumId="705054">
    <w:lvl>
      <w:numFmt w:val="bullet"/>
      <w:suff w:val="tab"/>
      <w:lvlText w:val="•"/>
      <w:rPr>
        <w:color w:val="3370ff"/>
      </w:rPr>
    </w:lvl>
  </w:abstractNum>
  <w:abstractNum w:abstractNumId="705055">
    <w:lvl>
      <w:numFmt w:val="bullet"/>
      <w:suff w:val="tab"/>
      <w:lvlText w:val="•"/>
      <w:rPr>
        <w:color w:val="3370ff"/>
      </w:rPr>
    </w:lvl>
  </w:abstractNum>
  <w:abstractNum w:abstractNumId="705056">
    <w:lvl>
      <w:numFmt w:val="bullet"/>
      <w:suff w:val="tab"/>
      <w:lvlText w:val="•"/>
      <w:rPr>
        <w:color w:val="3370ff"/>
      </w:rPr>
    </w:lvl>
  </w:abstractNum>
  <w:abstractNum w:abstractNumId="705057">
    <w:lvl>
      <w:numFmt w:val="bullet"/>
      <w:suff w:val="tab"/>
      <w:lvlText w:val="•"/>
      <w:rPr>
        <w:color w:val="3370ff"/>
      </w:rPr>
    </w:lvl>
  </w:abstractNum>
  <w:abstractNum w:abstractNumId="705058">
    <w:lvl>
      <w:numFmt w:val="bullet"/>
      <w:suff w:val="tab"/>
      <w:lvlText w:val="•"/>
      <w:rPr>
        <w:color w:val="3370ff"/>
      </w:rPr>
    </w:lvl>
  </w:abstractNum>
  <w:abstractNum w:abstractNumId="705059">
    <w:lvl>
      <w:numFmt w:val="bullet"/>
      <w:suff w:val="tab"/>
      <w:lvlText w:val="•"/>
      <w:rPr>
        <w:color w:val="3370ff"/>
      </w:rPr>
    </w:lvl>
  </w:abstractNum>
  <w:abstractNum w:abstractNumId="705060">
    <w:lvl>
      <w:numFmt w:val="bullet"/>
      <w:suff w:val="tab"/>
      <w:lvlText w:val="•"/>
      <w:rPr>
        <w:color w:val="3370ff"/>
      </w:rPr>
    </w:lvl>
  </w:abstractNum>
  <w:abstractNum w:abstractNumId="705061">
    <w:lvl>
      <w:numFmt w:val="bullet"/>
      <w:suff w:val="tab"/>
      <w:lvlText w:val="•"/>
      <w:rPr>
        <w:color w:val="3370ff"/>
      </w:rPr>
    </w:lvl>
  </w:abstractNum>
  <w:abstractNum w:abstractNumId="705062">
    <w:lvl>
      <w:numFmt w:val="bullet"/>
      <w:suff w:val="tab"/>
      <w:lvlText w:val="•"/>
      <w:rPr>
        <w:color w:val="3370ff"/>
      </w:rPr>
    </w:lvl>
  </w:abstractNum>
  <w:abstractNum w:abstractNumId="705063">
    <w:lvl>
      <w:numFmt w:val="bullet"/>
      <w:suff w:val="tab"/>
      <w:lvlText w:val="•"/>
      <w:rPr>
        <w:color w:val="3370ff"/>
      </w:rPr>
    </w:lvl>
  </w:abstractNum>
  <w:abstractNum w:abstractNumId="705064">
    <w:lvl>
      <w:numFmt w:val="bullet"/>
      <w:suff w:val="tab"/>
      <w:lvlText w:val="•"/>
      <w:rPr>
        <w:color w:val="3370ff"/>
      </w:rPr>
    </w:lvl>
  </w:abstractNum>
  <w:abstractNum w:abstractNumId="705065">
    <w:lvl>
      <w:numFmt w:val="bullet"/>
      <w:suff w:val="tab"/>
      <w:lvlText w:val="•"/>
      <w:rPr>
        <w:color w:val="3370ff"/>
      </w:rPr>
    </w:lvl>
  </w:abstractNum>
  <w:abstractNum w:abstractNumId="705066">
    <w:lvl>
      <w:numFmt w:val="bullet"/>
      <w:suff w:val="tab"/>
      <w:lvlText w:val="•"/>
      <w:rPr>
        <w:color w:val="3370ff"/>
      </w:rPr>
    </w:lvl>
  </w:abstractNum>
  <w:abstractNum w:abstractNumId="705067">
    <w:lvl>
      <w:numFmt w:val="bullet"/>
      <w:suff w:val="tab"/>
      <w:lvlText w:val="•"/>
      <w:rPr>
        <w:color w:val="3370ff"/>
      </w:rPr>
    </w:lvl>
  </w:abstractNum>
  <w:abstractNum w:abstractNumId="705068">
    <w:lvl>
      <w:numFmt w:val="bullet"/>
      <w:suff w:val="tab"/>
      <w:lvlText w:val="•"/>
      <w:rPr>
        <w:color w:val="3370ff"/>
      </w:rPr>
    </w:lvl>
  </w:abstractNum>
  <w:abstractNum w:abstractNumId="705069">
    <w:lvl>
      <w:numFmt w:val="bullet"/>
      <w:suff w:val="tab"/>
      <w:lvlText w:val="•"/>
      <w:rPr>
        <w:color w:val="3370ff"/>
      </w:rPr>
    </w:lvl>
  </w:abstractNum>
  <w:abstractNum w:abstractNumId="705070">
    <w:lvl>
      <w:numFmt w:val="bullet"/>
      <w:suff w:val="tab"/>
      <w:lvlText w:val="•"/>
      <w:rPr>
        <w:color w:val="3370ff"/>
      </w:rPr>
    </w:lvl>
  </w:abstractNum>
  <w:abstractNum w:abstractNumId="705071">
    <w:lvl>
      <w:numFmt w:val="bullet"/>
      <w:suff w:val="tab"/>
      <w:lvlText w:val="•"/>
      <w:rPr>
        <w:color w:val="3370ff"/>
      </w:rPr>
    </w:lvl>
  </w:abstractNum>
  <w:abstractNum w:abstractNumId="705072">
    <w:lvl>
      <w:numFmt w:val="bullet"/>
      <w:suff w:val="tab"/>
      <w:lvlText w:val="•"/>
      <w:rPr>
        <w:color w:val="3370ff"/>
      </w:rPr>
    </w:lvl>
  </w:abstractNum>
  <w:abstractNum w:abstractNumId="705073">
    <w:lvl>
      <w:numFmt w:val="bullet"/>
      <w:suff w:val="tab"/>
      <w:lvlText w:val="•"/>
      <w:rPr>
        <w:color w:val="3370ff"/>
      </w:rPr>
    </w:lvl>
  </w:abstractNum>
  <w:abstractNum w:abstractNumId="705074">
    <w:lvl>
      <w:numFmt w:val="bullet"/>
      <w:suff w:val="tab"/>
      <w:lvlText w:val="•"/>
      <w:rPr>
        <w:color w:val="3370ff"/>
      </w:rPr>
    </w:lvl>
  </w:abstractNum>
  <w:abstractNum w:abstractNumId="705075">
    <w:lvl>
      <w:numFmt w:val="bullet"/>
      <w:suff w:val="tab"/>
      <w:lvlText w:val="•"/>
      <w:rPr>
        <w:color w:val="3370ff"/>
      </w:rPr>
    </w:lvl>
  </w:abstractNum>
  <w:abstractNum w:abstractNumId="705076">
    <w:lvl>
      <w:numFmt w:val="bullet"/>
      <w:suff w:val="tab"/>
      <w:lvlText w:val="•"/>
      <w:rPr>
        <w:color w:val="3370ff"/>
      </w:rPr>
    </w:lvl>
  </w:abstractNum>
  <w:abstractNum w:abstractNumId="705077">
    <w:lvl>
      <w:numFmt w:val="bullet"/>
      <w:suff w:val="tab"/>
      <w:lvlText w:val="•"/>
      <w:rPr>
        <w:color w:val="3370ff"/>
      </w:rPr>
    </w:lvl>
  </w:abstractNum>
  <w:abstractNum w:abstractNumId="705078">
    <w:lvl>
      <w:numFmt w:val="bullet"/>
      <w:suff w:val="tab"/>
      <w:lvlText w:val="•"/>
      <w:rPr>
        <w:color w:val="3370ff"/>
      </w:rPr>
    </w:lvl>
  </w:abstractNum>
  <w:abstractNum w:abstractNumId="705079">
    <w:lvl>
      <w:numFmt w:val="bullet"/>
      <w:suff w:val="tab"/>
      <w:lvlText w:val="•"/>
      <w:rPr>
        <w:color w:val="3370ff"/>
      </w:rPr>
    </w:lvl>
  </w:abstractNum>
  <w:abstractNum w:abstractNumId="705080">
    <w:lvl>
      <w:numFmt w:val="bullet"/>
      <w:suff w:val="tab"/>
      <w:lvlText w:val="•"/>
      <w:rPr>
        <w:color w:val="3370ff"/>
      </w:rPr>
    </w:lvl>
  </w:abstractNum>
  <w:abstractNum w:abstractNumId="705081">
    <w:lvl>
      <w:numFmt w:val="bullet"/>
      <w:suff w:val="tab"/>
      <w:lvlText w:val="•"/>
      <w:rPr>
        <w:color w:val="3370ff"/>
      </w:rPr>
    </w:lvl>
  </w:abstractNum>
  <w:abstractNum w:abstractNumId="705082">
    <w:lvl>
      <w:numFmt w:val="bullet"/>
      <w:suff w:val="tab"/>
      <w:lvlText w:val="•"/>
      <w:rPr>
        <w:color w:val="3370ff"/>
      </w:rPr>
    </w:lvl>
  </w:abstractNum>
  <w:abstractNum w:abstractNumId="705083">
    <w:lvl>
      <w:numFmt w:val="bullet"/>
      <w:suff w:val="tab"/>
      <w:lvlText w:val="•"/>
      <w:rPr>
        <w:color w:val="3370ff"/>
      </w:rPr>
    </w:lvl>
  </w:abstractNum>
  <w:abstractNum w:abstractNumId="705084">
    <w:lvl>
      <w:numFmt w:val="bullet"/>
      <w:suff w:val="tab"/>
      <w:lvlText w:val="•"/>
      <w:rPr>
        <w:color w:val="3370ff"/>
      </w:rPr>
    </w:lvl>
  </w:abstractNum>
  <w:abstractNum w:abstractNumId="705085">
    <w:lvl>
      <w:numFmt w:val="bullet"/>
      <w:suff w:val="tab"/>
      <w:lvlText w:val="•"/>
      <w:rPr>
        <w:color w:val="3370ff"/>
      </w:rPr>
    </w:lvl>
  </w:abstractNum>
  <w:abstractNum w:abstractNumId="705086">
    <w:lvl>
      <w:numFmt w:val="bullet"/>
      <w:suff w:val="tab"/>
      <w:lvlText w:val="•"/>
      <w:rPr>
        <w:color w:val="3370ff"/>
      </w:rPr>
    </w:lvl>
  </w:abstractNum>
  <w:abstractNum w:abstractNumId="705087">
    <w:lvl>
      <w:numFmt w:val="bullet"/>
      <w:suff w:val="tab"/>
      <w:lvlText w:val="•"/>
      <w:rPr>
        <w:color w:val="3370ff"/>
      </w:rPr>
    </w:lvl>
  </w:abstractNum>
  <w:abstractNum w:abstractNumId="705088">
    <w:lvl>
      <w:numFmt w:val="bullet"/>
      <w:suff w:val="tab"/>
      <w:lvlText w:val="•"/>
      <w:rPr>
        <w:color w:val="3370ff"/>
      </w:rPr>
    </w:lvl>
  </w:abstractNum>
  <w:abstractNum w:abstractNumId="705089">
    <w:lvl>
      <w:numFmt w:val="bullet"/>
      <w:suff w:val="tab"/>
      <w:lvlText w:val="•"/>
      <w:rPr>
        <w:color w:val="3370ff"/>
      </w:rPr>
    </w:lvl>
  </w:abstractNum>
  <w:abstractNum w:abstractNumId="705090">
    <w:lvl>
      <w:numFmt w:val="bullet"/>
      <w:suff w:val="tab"/>
      <w:lvlText w:val="•"/>
      <w:rPr>
        <w:color w:val="3370ff"/>
      </w:rPr>
    </w:lvl>
  </w:abstractNum>
  <w:abstractNum w:abstractNumId="705091">
    <w:lvl>
      <w:numFmt w:val="bullet"/>
      <w:suff w:val="tab"/>
      <w:lvlText w:val="•"/>
      <w:rPr>
        <w:color w:val="3370ff"/>
      </w:rPr>
    </w:lvl>
  </w:abstractNum>
  <w:abstractNum w:abstractNumId="705092">
    <w:lvl>
      <w:numFmt w:val="bullet"/>
      <w:suff w:val="tab"/>
      <w:lvlText w:val="•"/>
      <w:rPr>
        <w:color w:val="3370ff"/>
      </w:rPr>
    </w:lvl>
  </w:abstractNum>
  <w:abstractNum w:abstractNumId="705093">
    <w:lvl>
      <w:numFmt w:val="bullet"/>
      <w:suff w:val="tab"/>
      <w:lvlText w:val="•"/>
      <w:rPr>
        <w:color w:val="3370ff"/>
      </w:rPr>
    </w:lvl>
  </w:abstractNum>
  <w:abstractNum w:abstractNumId="705094">
    <w:lvl>
      <w:numFmt w:val="bullet"/>
      <w:suff w:val="tab"/>
      <w:lvlText w:val="•"/>
      <w:rPr>
        <w:color w:val="3370ff"/>
      </w:rPr>
    </w:lvl>
  </w:abstractNum>
  <w:abstractNum w:abstractNumId="705095">
    <w:lvl>
      <w:numFmt w:val="bullet"/>
      <w:suff w:val="tab"/>
      <w:lvlText w:val="•"/>
      <w:rPr>
        <w:color w:val="3370ff"/>
      </w:rPr>
    </w:lvl>
  </w:abstractNum>
  <w:abstractNum w:abstractNumId="705096">
    <w:lvl>
      <w:numFmt w:val="bullet"/>
      <w:suff w:val="tab"/>
      <w:lvlText w:val="•"/>
      <w:rPr>
        <w:color w:val="3370ff"/>
      </w:rPr>
    </w:lvl>
  </w:abstractNum>
  <w:abstractNum w:abstractNumId="705097">
    <w:lvl>
      <w:numFmt w:val="bullet"/>
      <w:suff w:val="tab"/>
      <w:lvlText w:val="•"/>
      <w:rPr>
        <w:color w:val="3370ff"/>
      </w:rPr>
    </w:lvl>
  </w:abstractNum>
  <w:num w:numId="1">
    <w:abstractNumId w:val="705007"/>
  </w:num>
  <w:num w:numId="2">
    <w:abstractNumId w:val="705008"/>
  </w:num>
  <w:num w:numId="3">
    <w:abstractNumId w:val="705009"/>
  </w:num>
  <w:num w:numId="4">
    <w:abstractNumId w:val="705010"/>
  </w:num>
  <w:num w:numId="5">
    <w:abstractNumId w:val="705011"/>
  </w:num>
  <w:num w:numId="6">
    <w:abstractNumId w:val="705012"/>
  </w:num>
  <w:num w:numId="7">
    <w:abstractNumId w:val="705013"/>
  </w:num>
  <w:num w:numId="8">
    <w:abstractNumId w:val="705014"/>
  </w:num>
  <w:num w:numId="9">
    <w:abstractNumId w:val="705015"/>
  </w:num>
  <w:num w:numId="10">
    <w:abstractNumId w:val="705016"/>
  </w:num>
  <w:num w:numId="11">
    <w:abstractNumId w:val="705017"/>
  </w:num>
  <w:num w:numId="12">
    <w:abstractNumId w:val="705018"/>
  </w:num>
  <w:num w:numId="13">
    <w:abstractNumId w:val="705019"/>
  </w:num>
  <w:num w:numId="14">
    <w:abstractNumId w:val="705020"/>
  </w:num>
  <w:num w:numId="15">
    <w:abstractNumId w:val="705021"/>
  </w:num>
  <w:num w:numId="16">
    <w:abstractNumId w:val="705022"/>
  </w:num>
  <w:num w:numId="17">
    <w:abstractNumId w:val="705023"/>
  </w:num>
  <w:num w:numId="18">
    <w:abstractNumId w:val="705024"/>
  </w:num>
  <w:num w:numId="19">
    <w:abstractNumId w:val="705025"/>
  </w:num>
  <w:num w:numId="20">
    <w:abstractNumId w:val="705026"/>
  </w:num>
  <w:num w:numId="21">
    <w:abstractNumId w:val="705027"/>
  </w:num>
  <w:num w:numId="22">
    <w:abstractNumId w:val="705028"/>
  </w:num>
  <w:num w:numId="23">
    <w:abstractNumId w:val="705029"/>
  </w:num>
  <w:num w:numId="24">
    <w:abstractNumId w:val="705030"/>
  </w:num>
  <w:num w:numId="25">
    <w:abstractNumId w:val="705031"/>
  </w:num>
  <w:num w:numId="26">
    <w:abstractNumId w:val="705032"/>
  </w:num>
  <w:num w:numId="27">
    <w:abstractNumId w:val="705033"/>
  </w:num>
  <w:num w:numId="28">
    <w:abstractNumId w:val="705034"/>
  </w:num>
  <w:num w:numId="29">
    <w:abstractNumId w:val="705035"/>
  </w:num>
  <w:num w:numId="30">
    <w:abstractNumId w:val="705036"/>
  </w:num>
  <w:num w:numId="31">
    <w:abstractNumId w:val="705037"/>
  </w:num>
  <w:num w:numId="32">
    <w:abstractNumId w:val="705038"/>
  </w:num>
  <w:num w:numId="33">
    <w:abstractNumId w:val="705039"/>
  </w:num>
  <w:num w:numId="34">
    <w:abstractNumId w:val="705040"/>
  </w:num>
  <w:num w:numId="35">
    <w:abstractNumId w:val="705041"/>
  </w:num>
  <w:num w:numId="36">
    <w:abstractNumId w:val="705042"/>
  </w:num>
  <w:num w:numId="37">
    <w:abstractNumId w:val="705043"/>
  </w:num>
  <w:num w:numId="38">
    <w:abstractNumId w:val="705044"/>
  </w:num>
  <w:num w:numId="39">
    <w:abstractNumId w:val="705045"/>
  </w:num>
  <w:num w:numId="40">
    <w:abstractNumId w:val="705046"/>
  </w:num>
  <w:num w:numId="41">
    <w:abstractNumId w:val="705047"/>
  </w:num>
  <w:num w:numId="42">
    <w:abstractNumId w:val="705048"/>
  </w:num>
  <w:num w:numId="43">
    <w:abstractNumId w:val="705049"/>
  </w:num>
  <w:num w:numId="44">
    <w:abstractNumId w:val="705050"/>
  </w:num>
  <w:num w:numId="45">
    <w:abstractNumId w:val="705051"/>
  </w:num>
  <w:num w:numId="46">
    <w:abstractNumId w:val="705052"/>
  </w:num>
  <w:num w:numId="47">
    <w:abstractNumId w:val="705053"/>
  </w:num>
  <w:num w:numId="48">
    <w:abstractNumId w:val="705054"/>
  </w:num>
  <w:num w:numId="49">
    <w:abstractNumId w:val="705055"/>
  </w:num>
  <w:num w:numId="50">
    <w:abstractNumId w:val="705056"/>
  </w:num>
  <w:num w:numId="51">
    <w:abstractNumId w:val="705057"/>
  </w:num>
  <w:num w:numId="52">
    <w:abstractNumId w:val="705058"/>
  </w:num>
  <w:num w:numId="53">
    <w:abstractNumId w:val="705059"/>
  </w:num>
  <w:num w:numId="54">
    <w:abstractNumId w:val="705060"/>
  </w:num>
  <w:num w:numId="55">
    <w:abstractNumId w:val="705061"/>
  </w:num>
  <w:num w:numId="56">
    <w:abstractNumId w:val="705062"/>
  </w:num>
  <w:num w:numId="57">
    <w:abstractNumId w:val="705063"/>
  </w:num>
  <w:num w:numId="58">
    <w:abstractNumId w:val="705064"/>
  </w:num>
  <w:num w:numId="59">
    <w:abstractNumId w:val="705065"/>
  </w:num>
  <w:num w:numId="60">
    <w:abstractNumId w:val="705066"/>
  </w:num>
  <w:num w:numId="61">
    <w:abstractNumId w:val="705067"/>
  </w:num>
  <w:num w:numId="62">
    <w:abstractNumId w:val="705068"/>
  </w:num>
  <w:num w:numId="63">
    <w:abstractNumId w:val="705069"/>
  </w:num>
  <w:num w:numId="64">
    <w:abstractNumId w:val="705070"/>
  </w:num>
  <w:num w:numId="65">
    <w:abstractNumId w:val="705071"/>
  </w:num>
  <w:num w:numId="66">
    <w:abstractNumId w:val="705072"/>
  </w:num>
  <w:num w:numId="67">
    <w:abstractNumId w:val="705073"/>
  </w:num>
  <w:num w:numId="68">
    <w:abstractNumId w:val="705074"/>
  </w:num>
  <w:num w:numId="69">
    <w:abstractNumId w:val="705075"/>
  </w:num>
  <w:num w:numId="70">
    <w:abstractNumId w:val="705076"/>
  </w:num>
  <w:num w:numId="71">
    <w:abstractNumId w:val="705077"/>
  </w:num>
  <w:num w:numId="72">
    <w:abstractNumId w:val="705078"/>
  </w:num>
  <w:num w:numId="73">
    <w:abstractNumId w:val="705079"/>
  </w:num>
  <w:num w:numId="74">
    <w:abstractNumId w:val="705080"/>
  </w:num>
  <w:num w:numId="75">
    <w:abstractNumId w:val="705081"/>
  </w:num>
  <w:num w:numId="76">
    <w:abstractNumId w:val="705082"/>
  </w:num>
  <w:num w:numId="77">
    <w:abstractNumId w:val="705083"/>
  </w:num>
  <w:num w:numId="78">
    <w:abstractNumId w:val="705084"/>
  </w:num>
  <w:num w:numId="79">
    <w:abstractNumId w:val="705085"/>
  </w:num>
  <w:num w:numId="80">
    <w:abstractNumId w:val="705086"/>
  </w:num>
  <w:num w:numId="81">
    <w:abstractNumId w:val="705087"/>
  </w:num>
  <w:num w:numId="82">
    <w:abstractNumId w:val="705088"/>
  </w:num>
  <w:num w:numId="83">
    <w:abstractNumId w:val="705089"/>
  </w:num>
  <w:num w:numId="84">
    <w:abstractNumId w:val="705090"/>
  </w:num>
  <w:num w:numId="85">
    <w:abstractNumId w:val="705091"/>
  </w:num>
  <w:num w:numId="86">
    <w:abstractNumId w:val="705092"/>
  </w:num>
  <w:num w:numId="87">
    <w:abstractNumId w:val="705093"/>
  </w:num>
  <w:num w:numId="88">
    <w:abstractNumId w:val="705094"/>
  </w:num>
  <w:num w:numId="89">
    <w:abstractNumId w:val="705095"/>
  </w:num>
  <w:num w:numId="90">
    <w:abstractNumId w:val="705096"/>
  </w:num>
  <w:num w:numId="91">
    <w:abstractNumId w:val="7050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2026-07-17T03:36:54Z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{"Label":"1","ContentProducer":"001191110102MACQD9K64010000","ProduceID":"7663335818917055762","ReservedCode1":"","ContentPropagator":"","PropagateID":"","ReservedCode2":""}</vt:lpwstr>
  </property>
</Properties>
</file>