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pPr>
    </w:p>
    <w:p>
      <w:pPr>
        <w:jc w:val="center"/>
      </w:pPr>
      <w:r>
        <w:rPr>
          <w:rFonts w:ascii="Times New Roman" w:hAnsi="Times New Roman"/>
          <w:b/>
          <w:color w:val="C00000"/>
          <w:sz w:val="32"/>
        </w:rPr>
        <w:t>SKILLFORGE AI: AN ADAPTIVE CLASSROOM AND BIAS-RESISTANT ASSESSMENT PLATFORM</w:t>
      </w:r>
    </w:p>
    <w:p>
      <w:pPr>
        <w:spacing w:before="560"/>
        <w:jc w:val="center"/>
      </w:pPr>
      <w:r>
        <w:rPr>
          <w:rFonts w:ascii="Times New Roman" w:hAnsi="Times New Roman"/>
          <w:i/>
          <w:sz w:val="24"/>
        </w:rPr>
        <w:t>Submitted in Partial Fulfilment of the Requirements</w:t>
        <w:br/>
        <w:t>for the Award of the Degree of</w:t>
      </w:r>
    </w:p>
    <w:p>
      <w:pPr>
        <w:spacing w:before="320"/>
        <w:jc w:val="center"/>
      </w:pPr>
      <w:r>
        <w:rPr>
          <w:rFonts w:ascii="Times New Roman" w:hAnsi="Times New Roman"/>
          <w:b/>
          <w:color w:val="C00000"/>
          <w:sz w:val="28"/>
        </w:rPr>
        <w:t>Master of Computer Applications</w:t>
      </w:r>
    </w:p>
    <w:p>
      <w:pPr>
        <w:spacing w:before="720"/>
        <w:jc w:val="center"/>
      </w:pPr>
      <w:r>
        <w:rPr>
          <w:rFonts w:ascii="Times New Roman" w:hAnsi="Times New Roman"/>
          <w:sz w:val="24"/>
        </w:rPr>
        <w:t>By</w:t>
        <w:br/>
        <w:br/>
      </w:r>
      <w:r>
        <w:rPr>
          <w:rFonts w:ascii="Times New Roman" w:hAnsi="Times New Roman"/>
          <w:b/>
          <w:color w:val="C00000"/>
          <w:sz w:val="26"/>
        </w:rPr>
        <w:t>APURVA ANUPAM</w:t>
        <w:br/>
        <w:t>(Reg. No: 2026-MCA-042)</w:t>
      </w:r>
    </w:p>
    <w:p>
      <w:pPr>
        <w:spacing w:before="560"/>
        <w:jc w:val="center"/>
      </w:pPr>
      <w:r>
        <w:rPr>
          <w:rFonts w:ascii="Times New Roman" w:hAnsi="Times New Roman"/>
          <w:sz w:val="24"/>
        </w:rPr>
        <w:t>Under the Supervision of</w:t>
        <w:br/>
        <w:br/>
      </w:r>
      <w:r>
        <w:rPr>
          <w:rFonts w:ascii="Times New Roman" w:hAnsi="Times New Roman"/>
          <w:b/>
          <w:color w:val="C00000"/>
          <w:sz w:val="26"/>
        </w:rPr>
        <w:t>Dr. SUPERVISOR</w:t>
        <w:br/>
        <w:t>Associate Professor</w:t>
      </w:r>
    </w:p>
    <w:p>
      <w:pPr>
        <w:spacing w:before="1200"/>
        <w:jc w:val="center"/>
      </w:pPr>
      <w:r>
        <w:rPr>
          <w:rFonts w:ascii="Times New Roman" w:hAnsi="Times New Roman"/>
          <w:b/>
          <w:color w:val="0F172A"/>
          <w:sz w:val="26"/>
        </w:rPr>
        <w:t>CHRIST (Deemed to be University)</w:t>
        <w:br/>
        <w:t>School of Sciences</w:t>
        <w:br/>
        <w:t>Delhi NCR Campus</w:t>
        <w:br/>
        <w:t>April 2026</w:t>
      </w:r>
    </w:p>
    <w:p>
      <w:r>
        <w:br w:type="page"/>
      </w:r>
    </w:p>
    <w:p>
      <w:pPr>
        <w:spacing w:before="400" w:after="560"/>
        <w:jc w:val="center"/>
      </w:pPr>
      <w:r>
        <w:rPr>
          <w:rFonts w:ascii="Times New Roman" w:hAnsi="Times New Roman"/>
          <w:b/>
          <w:sz w:val="32"/>
        </w:rPr>
        <w:t>DECLARATION</w:t>
      </w:r>
    </w:p>
    <w:p>
      <w:pPr>
        <w:spacing w:before="0" w:after="120" w:line="300" w:lineRule="auto"/>
      </w:pPr>
      <w:r>
        <w:rPr>
          <w:rFonts w:ascii="Times New Roman" w:hAnsi="Times New Roman"/>
          <w:color w:val="1E293B"/>
          <w:sz w:val="22"/>
        </w:rPr>
        <w:t>I hereby declare that this report is a genuine description of the project entitled "SkillForge AI: An Adaptive Classroom and Bias-Resistant Assessment Platform". This report has been prepared under the supervision of Dr. Supervisor and is submitted to CHRIST (Deemed to be University), Delhi NCR Campus in partial fulfilment for the award of the degree of Master of Computer Applications (MCA).</w:t>
      </w:r>
    </w:p>
    <w:p>
      <w:pPr>
        <w:spacing w:before="0" w:after="120" w:line="300" w:lineRule="auto"/>
      </w:pPr>
      <w:r>
        <w:rPr>
          <w:rFonts w:ascii="Times New Roman" w:hAnsi="Times New Roman"/>
          <w:color w:val="1E293B"/>
          <w:sz w:val="22"/>
        </w:rPr>
        <w:t>I further declare that the work embodied in this project has been carried out by me and has not been submitted in part or full for the award of any other degree, diploma, or fellowship in any other university or institute.</w:t>
      </w:r>
    </w:p>
    <w:p>
      <w:pPr>
        <w:spacing w:before="1200"/>
        <w:jc w:val="right"/>
      </w:pPr>
      <w:r>
        <w:rPr>
          <w:rFonts w:ascii="Times New Roman" w:hAnsi="Times New Roman"/>
          <w:b/>
          <w:color w:val="C00000"/>
          <w:sz w:val="24"/>
        </w:rPr>
        <w:t>Apurva Anupam</w:t>
        <w:br/>
        <w:t>Reg. No: 2026-MCA-042</w:t>
        <w:br/>
        <w:t>Department of Computer Science</w:t>
        <w:br/>
        <w:t>School of Sciences</w:t>
      </w:r>
    </w:p>
    <w:p>
      <w:pPr>
        <w:spacing w:before="600"/>
      </w:pPr>
      <w:r>
        <w:rPr>
          <w:rFonts w:ascii="Times New Roman" w:hAnsi="Times New Roman"/>
          <w:b/>
          <w:color w:val="C00000"/>
          <w:sz w:val="24"/>
        </w:rPr>
        <w:t>Dr. Supervisor</w:t>
        <w:br/>
        <w:t>Associate Professor</w:t>
        <w:br/>
        <w:t>School of Sciences</w:t>
      </w:r>
    </w:p>
    <w:p>
      <w:pPr>
        <w:spacing w:before="800"/>
      </w:pPr>
      <w:r>
        <w:rPr>
          <w:rFonts w:ascii="Times New Roman" w:hAnsi="Times New Roman"/>
          <w:sz w:val="22"/>
        </w:rPr>
        <w:t>Place: Ghaziabad / Delhi NCR</w:t>
        <w:br/>
        <w:t>Date: 22 September 2026</w:t>
      </w:r>
    </w:p>
    <w:p>
      <w:r>
        <w:br w:type="page"/>
      </w:r>
    </w:p>
    <w:p>
      <w:pPr>
        <w:spacing w:before="400" w:after="560"/>
        <w:jc w:val="center"/>
      </w:pPr>
      <w:r>
        <w:rPr>
          <w:rFonts w:ascii="Times New Roman" w:hAnsi="Times New Roman"/>
          <w:b/>
          <w:sz w:val="32"/>
        </w:rPr>
        <w:t>ACKNOWLEDGEMENT</w:t>
      </w:r>
    </w:p>
    <w:p>
      <w:pPr>
        <w:spacing w:before="0" w:after="120" w:line="300" w:lineRule="auto"/>
      </w:pPr>
      <w:r>
        <w:rPr>
          <w:rFonts w:ascii="Times New Roman" w:hAnsi="Times New Roman"/>
          <w:color w:val="1E293B"/>
          <w:sz w:val="22"/>
        </w:rPr>
        <w:t>I express my deepest gratitude and sincere thanks to CHRIST (Deemed to be University), Delhi NCR Campus, for providing an intellectually stimulating environment, cutting-edge computing infrastructure, and encouragement that facilitated the completion of this research and engineering endeavor.</w:t>
      </w:r>
    </w:p>
    <w:p>
      <w:pPr>
        <w:spacing w:before="0" w:after="120" w:line="300" w:lineRule="auto"/>
      </w:pPr>
      <w:r>
        <w:rPr>
          <w:rFonts w:ascii="Times New Roman" w:hAnsi="Times New Roman"/>
          <w:color w:val="1E293B"/>
          <w:sz w:val="22"/>
        </w:rPr>
        <w:t>I wish to place on record my heartfelt appreciation and profound gratitude to my project supervisor, Dr. Supervisor, for their constant guidance, valuable technical advice, constructive criticism, and encouragement throughout the ideation, design, and implementation stages of SkillForge AI.</w:t>
      </w:r>
    </w:p>
    <w:p>
      <w:pPr>
        <w:spacing w:before="0" w:after="120" w:line="300" w:lineRule="auto"/>
      </w:pPr>
      <w:r>
        <w:rPr>
          <w:rFonts w:ascii="Times New Roman" w:hAnsi="Times New Roman"/>
          <w:color w:val="1E293B"/>
          <w:sz w:val="22"/>
        </w:rPr>
        <w:t>I also extend my sincere gratitude to the Head of the Department, faculty members, and technical staff of the School of Sciences for imparting solid computational foundations and continuous academic support.</w:t>
      </w:r>
    </w:p>
    <w:p>
      <w:pPr>
        <w:spacing w:before="0" w:after="120" w:line="300" w:lineRule="auto"/>
      </w:pPr>
      <w:r>
        <w:rPr>
          <w:rFonts w:ascii="Times New Roman" w:hAnsi="Times New Roman"/>
          <w:color w:val="1E293B"/>
          <w:sz w:val="22"/>
        </w:rPr>
        <w:t>Finally, I express my sincere thanks to my family, friends, and peers whose moral support, patience, and motivation were indispensable in bringing this project to fruition.</w:t>
      </w:r>
    </w:p>
    <w:p>
      <w:pPr>
        <w:spacing w:before="1000"/>
        <w:jc w:val="right"/>
      </w:pPr>
      <w:r>
        <w:rPr>
          <w:rFonts w:ascii="Times New Roman" w:hAnsi="Times New Roman"/>
          <w:b/>
          <w:sz w:val="24"/>
        </w:rPr>
        <w:t>Apurva Anupam</w:t>
        <w:br/>
        <w:t>Master of Computer Applications (MCA)</w:t>
      </w:r>
    </w:p>
    <w:p>
      <w:r>
        <w:br w:type="page"/>
      </w:r>
    </w:p>
    <w:p>
      <w:pPr>
        <w:spacing w:before="200" w:after="320"/>
        <w:jc w:val="left"/>
      </w:pPr>
      <w:r>
        <w:rPr>
          <w:rFonts w:ascii="Times New Roman" w:hAnsi="Times New Roman"/>
          <w:b/>
          <w:sz w:val="32"/>
        </w:rPr>
        <w:t>Contents</w:t>
      </w:r>
    </w:p>
    <w:p>
      <w:pPr>
        <w:spacing w:before="0" w:after="60" w:line="276" w:lineRule="auto"/>
      </w:pPr>
      <w:r>
        <w:rPr>
          <w:rFonts w:ascii="Times New Roman" w:hAnsi="Times New Roman"/>
          <w:b/>
          <w:sz w:val="22"/>
        </w:rPr>
        <w:t>Declaration</w:t>
      </w:r>
      <w:r>
        <w:rPr>
          <w:rFonts w:ascii="Times New Roman" w:hAnsi="Times New Roman"/>
          <w:color w:val="94A3B8"/>
          <w:sz w:val="20"/>
        </w:rPr>
        <w:t xml:space="preserve"> ................................................................ </w:t>
      </w:r>
      <w:r>
        <w:rPr>
          <w:rFonts w:ascii="Times New Roman" w:hAnsi="Times New Roman"/>
          <w:b/>
          <w:sz w:val="22"/>
        </w:rPr>
        <w:t>ii</w:t>
      </w:r>
    </w:p>
    <w:p>
      <w:pPr>
        <w:spacing w:before="0" w:after="60" w:line="276" w:lineRule="auto"/>
      </w:pPr>
      <w:r>
        <w:rPr>
          <w:rFonts w:ascii="Times New Roman" w:hAnsi="Times New Roman"/>
          <w:b/>
          <w:sz w:val="22"/>
        </w:rPr>
        <w:t>Acknowledgement</w:t>
      </w:r>
      <w:r>
        <w:rPr>
          <w:rFonts w:ascii="Times New Roman" w:hAnsi="Times New Roman"/>
          <w:color w:val="94A3B8"/>
          <w:sz w:val="20"/>
        </w:rPr>
        <w:t xml:space="preserve"> ............................................................ </w:t>
      </w:r>
      <w:r>
        <w:rPr>
          <w:rFonts w:ascii="Times New Roman" w:hAnsi="Times New Roman"/>
          <w:b/>
          <w:sz w:val="22"/>
        </w:rPr>
        <w:t>iii</w:t>
      </w:r>
    </w:p>
    <w:p>
      <w:pPr>
        <w:spacing w:before="0" w:after="60" w:line="276" w:lineRule="auto"/>
      </w:pPr>
      <w:r>
        <w:rPr>
          <w:rFonts w:ascii="Times New Roman" w:hAnsi="Times New Roman"/>
          <w:sz w:val="22"/>
        </w:rPr>
        <w:t>List of Figures</w:t>
      </w:r>
      <w:r>
        <w:rPr>
          <w:rFonts w:ascii="Times New Roman" w:hAnsi="Times New Roman"/>
          <w:color w:val="94A3B8"/>
          <w:sz w:val="20"/>
        </w:rPr>
        <w:t xml:space="preserve"> ............................................................ </w:t>
      </w:r>
      <w:r>
        <w:rPr>
          <w:rFonts w:ascii="Times New Roman" w:hAnsi="Times New Roman"/>
          <w:sz w:val="22"/>
        </w:rPr>
        <w:t>v</w:t>
      </w:r>
    </w:p>
    <w:p>
      <w:pPr>
        <w:spacing w:before="0" w:after="60" w:line="276" w:lineRule="auto"/>
      </w:pPr>
      <w:r>
        <w:rPr>
          <w:rFonts w:ascii="Times New Roman" w:hAnsi="Times New Roman"/>
          <w:sz w:val="22"/>
        </w:rPr>
        <w:t>List of Tables</w:t>
      </w:r>
      <w:r>
        <w:rPr>
          <w:rFonts w:ascii="Times New Roman" w:hAnsi="Times New Roman"/>
          <w:color w:val="94A3B8"/>
          <w:sz w:val="20"/>
        </w:rPr>
        <w:t xml:space="preserve"> ............................................................. </w:t>
      </w:r>
      <w:r>
        <w:rPr>
          <w:rFonts w:ascii="Times New Roman" w:hAnsi="Times New Roman"/>
          <w:sz w:val="22"/>
        </w:rPr>
        <w:t>vi</w:t>
      </w:r>
    </w:p>
    <w:p>
      <w:pPr>
        <w:spacing w:before="0" w:after="60" w:line="276" w:lineRule="auto"/>
      </w:pPr>
      <w:r>
        <w:rPr>
          <w:rFonts w:ascii="Times New Roman" w:hAnsi="Times New Roman"/>
          <w:b/>
          <w:sz w:val="22"/>
        </w:rPr>
        <w:t>1. Chapter-1: Introduction</w:t>
      </w:r>
      <w:r>
        <w:rPr>
          <w:rFonts w:ascii="Times New Roman" w:hAnsi="Times New Roman"/>
          <w:color w:val="94A3B8"/>
          <w:sz w:val="20"/>
        </w:rPr>
        <w:t xml:space="preserve"> ................................................. </w:t>
      </w:r>
      <w:r>
        <w:rPr>
          <w:rFonts w:ascii="Times New Roman" w:hAnsi="Times New Roman"/>
          <w:b/>
          <w:sz w:val="22"/>
        </w:rPr>
        <w:t>1</w:t>
      </w:r>
    </w:p>
    <w:p>
      <w:pPr>
        <w:spacing w:before="0" w:after="60" w:line="276" w:lineRule="auto"/>
      </w:pPr>
      <w:r>
        <w:rPr>
          <w:rFonts w:ascii="Times New Roman" w:hAnsi="Times New Roman"/>
          <w:sz w:val="22"/>
        </w:rPr>
        <w:t xml:space="preserve">    1.1 Introduction</w:t>
      </w:r>
      <w:r>
        <w:rPr>
          <w:rFonts w:ascii="Times New Roman" w:hAnsi="Times New Roman"/>
          <w:color w:val="94A3B8"/>
          <w:sz w:val="20"/>
        </w:rPr>
        <w:t xml:space="preserve"> ....................................................... </w:t>
      </w:r>
      <w:r>
        <w:rPr>
          <w:rFonts w:ascii="Times New Roman" w:hAnsi="Times New Roman"/>
          <w:sz w:val="22"/>
        </w:rPr>
        <w:t>1</w:t>
      </w:r>
    </w:p>
    <w:p>
      <w:pPr>
        <w:spacing w:before="0" w:after="60" w:line="276" w:lineRule="auto"/>
      </w:pPr>
      <w:r>
        <w:rPr>
          <w:rFonts w:ascii="Times New Roman" w:hAnsi="Times New Roman"/>
          <w:sz w:val="22"/>
        </w:rPr>
        <w:t xml:space="preserve">    1.2 Objective</w:t>
      </w:r>
      <w:r>
        <w:rPr>
          <w:rFonts w:ascii="Times New Roman" w:hAnsi="Times New Roman"/>
          <w:color w:val="94A3B8"/>
          <w:sz w:val="20"/>
        </w:rPr>
        <w:t xml:space="preserve"> .......................................................... </w:t>
      </w:r>
      <w:r>
        <w:rPr>
          <w:rFonts w:ascii="Times New Roman" w:hAnsi="Times New Roman"/>
          <w:sz w:val="22"/>
        </w:rPr>
        <w:t>2</w:t>
      </w:r>
    </w:p>
    <w:p>
      <w:pPr>
        <w:spacing w:before="0" w:after="60" w:line="276" w:lineRule="auto"/>
      </w:pPr>
      <w:r>
        <w:rPr>
          <w:rFonts w:ascii="Times New Roman" w:hAnsi="Times New Roman"/>
          <w:sz w:val="22"/>
        </w:rPr>
        <w:t xml:space="preserve">    1.3 Need of the project</w:t>
      </w:r>
      <w:r>
        <w:rPr>
          <w:rFonts w:ascii="Times New Roman" w:hAnsi="Times New Roman"/>
          <w:color w:val="94A3B8"/>
          <w:sz w:val="20"/>
        </w:rPr>
        <w:t xml:space="preserve"> ................................................ </w:t>
      </w:r>
      <w:r>
        <w:rPr>
          <w:rFonts w:ascii="Times New Roman" w:hAnsi="Times New Roman"/>
          <w:sz w:val="22"/>
        </w:rPr>
        <w:t>3</w:t>
      </w:r>
    </w:p>
    <w:p>
      <w:pPr>
        <w:spacing w:before="0" w:after="60" w:line="276" w:lineRule="auto"/>
      </w:pPr>
      <w:r>
        <w:rPr>
          <w:rFonts w:ascii="Times New Roman" w:hAnsi="Times New Roman"/>
          <w:b/>
          <w:sz w:val="22"/>
        </w:rPr>
        <w:t>2. Chapter-2: Literature Review</w:t>
      </w:r>
      <w:r>
        <w:rPr>
          <w:rFonts w:ascii="Times New Roman" w:hAnsi="Times New Roman"/>
          <w:color w:val="94A3B8"/>
          <w:sz w:val="20"/>
        </w:rPr>
        <w:t xml:space="preserve"> ............................................ </w:t>
      </w:r>
      <w:r>
        <w:rPr>
          <w:rFonts w:ascii="Times New Roman" w:hAnsi="Times New Roman"/>
          <w:b/>
          <w:sz w:val="22"/>
        </w:rPr>
        <w:t>4</w:t>
      </w:r>
    </w:p>
    <w:p>
      <w:pPr>
        <w:spacing w:before="0" w:after="60" w:line="276" w:lineRule="auto"/>
      </w:pPr>
      <w:r>
        <w:rPr>
          <w:rFonts w:ascii="Times New Roman" w:hAnsi="Times New Roman"/>
          <w:sz w:val="22"/>
        </w:rPr>
        <w:t xml:space="preserve">    2.1 Existing work</w:t>
      </w:r>
      <w:r>
        <w:rPr>
          <w:rFonts w:ascii="Times New Roman" w:hAnsi="Times New Roman"/>
          <w:color w:val="94A3B8"/>
          <w:sz w:val="20"/>
        </w:rPr>
        <w:t xml:space="preserve"> ...................................................... </w:t>
      </w:r>
      <w:r>
        <w:rPr>
          <w:rFonts w:ascii="Times New Roman" w:hAnsi="Times New Roman"/>
          <w:sz w:val="22"/>
        </w:rPr>
        <w:t>4</w:t>
      </w:r>
    </w:p>
    <w:p>
      <w:pPr>
        <w:spacing w:before="0" w:after="60" w:line="276" w:lineRule="auto"/>
      </w:pPr>
      <w:r>
        <w:rPr>
          <w:rFonts w:ascii="Times New Roman" w:hAnsi="Times New Roman"/>
          <w:sz w:val="22"/>
        </w:rPr>
        <w:t xml:space="preserve">    2.2 Limitation of existing work</w:t>
      </w:r>
      <w:r>
        <w:rPr>
          <w:rFonts w:ascii="Times New Roman" w:hAnsi="Times New Roman"/>
          <w:color w:val="94A3B8"/>
          <w:sz w:val="20"/>
        </w:rPr>
        <w:t xml:space="preserve"> ........................................ </w:t>
      </w:r>
      <w:r>
        <w:rPr>
          <w:rFonts w:ascii="Times New Roman" w:hAnsi="Times New Roman"/>
          <w:sz w:val="22"/>
        </w:rPr>
        <w:t>5</w:t>
      </w:r>
    </w:p>
    <w:p>
      <w:pPr>
        <w:spacing w:before="0" w:after="60" w:line="276" w:lineRule="auto"/>
      </w:pPr>
      <w:r>
        <w:rPr>
          <w:rFonts w:ascii="Times New Roman" w:hAnsi="Times New Roman"/>
          <w:sz w:val="22"/>
        </w:rPr>
        <w:t xml:space="preserve">    2.3 Gap analysis</w:t>
      </w:r>
      <w:r>
        <w:rPr>
          <w:rFonts w:ascii="Times New Roman" w:hAnsi="Times New Roman"/>
          <w:color w:val="94A3B8"/>
          <w:sz w:val="20"/>
        </w:rPr>
        <w:t xml:space="preserve"> ....................................................... </w:t>
      </w:r>
      <w:r>
        <w:rPr>
          <w:rFonts w:ascii="Times New Roman" w:hAnsi="Times New Roman"/>
          <w:sz w:val="22"/>
        </w:rPr>
        <w:t>6</w:t>
      </w:r>
    </w:p>
    <w:p>
      <w:pPr>
        <w:spacing w:before="0" w:after="60" w:line="276" w:lineRule="auto"/>
      </w:pPr>
      <w:r>
        <w:rPr>
          <w:rFonts w:ascii="Times New Roman" w:hAnsi="Times New Roman"/>
          <w:b/>
          <w:sz w:val="22"/>
        </w:rPr>
        <w:t>3. Chapter-3: System Design and Methodology</w:t>
      </w:r>
      <w:r>
        <w:rPr>
          <w:rFonts w:ascii="Times New Roman" w:hAnsi="Times New Roman"/>
          <w:color w:val="94A3B8"/>
          <w:sz w:val="20"/>
        </w:rPr>
        <w:t xml:space="preserve"> ................................ </w:t>
      </w:r>
      <w:r>
        <w:rPr>
          <w:rFonts w:ascii="Times New Roman" w:hAnsi="Times New Roman"/>
          <w:b/>
          <w:sz w:val="22"/>
        </w:rPr>
        <w:t>7</w:t>
      </w:r>
    </w:p>
    <w:p>
      <w:pPr>
        <w:spacing w:before="0" w:after="60" w:line="276" w:lineRule="auto"/>
      </w:pPr>
      <w:r>
        <w:rPr>
          <w:rFonts w:ascii="Times New Roman" w:hAnsi="Times New Roman"/>
          <w:sz w:val="22"/>
        </w:rPr>
        <w:t xml:space="preserve">    3.1 System Architecture</w:t>
      </w:r>
      <w:r>
        <w:rPr>
          <w:rFonts w:ascii="Times New Roman" w:hAnsi="Times New Roman"/>
          <w:color w:val="94A3B8"/>
          <w:sz w:val="20"/>
        </w:rPr>
        <w:t xml:space="preserve"> ................................................ </w:t>
      </w:r>
      <w:r>
        <w:rPr>
          <w:rFonts w:ascii="Times New Roman" w:hAnsi="Times New Roman"/>
          <w:sz w:val="22"/>
        </w:rPr>
        <w:t>7</w:t>
      </w:r>
    </w:p>
    <w:p>
      <w:pPr>
        <w:spacing w:before="0" w:after="60" w:line="276" w:lineRule="auto"/>
      </w:pPr>
      <w:r>
        <w:rPr>
          <w:rFonts w:ascii="Times New Roman" w:hAnsi="Times New Roman"/>
          <w:sz w:val="22"/>
        </w:rPr>
        <w:t xml:space="preserve">    3.2 Methodology</w:t>
      </w:r>
      <w:r>
        <w:rPr>
          <w:rFonts w:ascii="Times New Roman" w:hAnsi="Times New Roman"/>
          <w:color w:val="94A3B8"/>
          <w:sz w:val="20"/>
        </w:rPr>
        <w:t xml:space="preserve"> ........................................................ </w:t>
      </w:r>
      <w:r>
        <w:rPr>
          <w:rFonts w:ascii="Times New Roman" w:hAnsi="Times New Roman"/>
          <w:sz w:val="22"/>
        </w:rPr>
        <w:t>8</w:t>
      </w:r>
    </w:p>
    <w:p>
      <w:pPr>
        <w:spacing w:before="0" w:after="60" w:line="276" w:lineRule="auto"/>
      </w:pPr>
      <w:r>
        <w:rPr>
          <w:rFonts w:ascii="Times New Roman" w:hAnsi="Times New Roman"/>
          <w:sz w:val="22"/>
        </w:rPr>
        <w:t xml:space="preserve">    3.3 Technologies Used (Python, ML models, tools, etc.)</w:t>
      </w:r>
      <w:r>
        <w:rPr>
          <w:rFonts w:ascii="Times New Roman" w:hAnsi="Times New Roman"/>
          <w:color w:val="94A3B8"/>
          <w:sz w:val="20"/>
        </w:rPr>
        <w:t xml:space="preserve"> ................. </w:t>
      </w:r>
      <w:r>
        <w:rPr>
          <w:rFonts w:ascii="Times New Roman" w:hAnsi="Times New Roman"/>
          <w:sz w:val="22"/>
        </w:rPr>
        <w:t>9</w:t>
      </w:r>
    </w:p>
    <w:p>
      <w:pPr>
        <w:spacing w:before="0" w:after="60" w:line="276" w:lineRule="auto"/>
      </w:pPr>
      <w:r>
        <w:rPr>
          <w:rFonts w:ascii="Times New Roman" w:hAnsi="Times New Roman"/>
          <w:sz w:val="22"/>
        </w:rPr>
        <w:t xml:space="preserve">    3.4 Data Preprocessing &amp; Anonymization</w:t>
      </w:r>
      <w:r>
        <w:rPr>
          <w:rFonts w:ascii="Times New Roman" w:hAnsi="Times New Roman"/>
          <w:color w:val="94A3B8"/>
          <w:sz w:val="20"/>
        </w:rPr>
        <w:t xml:space="preserve"> ................................. </w:t>
      </w:r>
      <w:r>
        <w:rPr>
          <w:rFonts w:ascii="Times New Roman" w:hAnsi="Times New Roman"/>
          <w:sz w:val="22"/>
        </w:rPr>
        <w:t>10</w:t>
      </w:r>
    </w:p>
    <w:p>
      <w:pPr>
        <w:spacing w:before="0" w:after="60" w:line="276" w:lineRule="auto"/>
      </w:pPr>
      <w:r>
        <w:rPr>
          <w:rFonts w:ascii="Times New Roman" w:hAnsi="Times New Roman"/>
          <w:sz w:val="22"/>
        </w:rPr>
        <w:t xml:space="preserve">    3.5 Model Used</w:t>
      </w:r>
      <w:r>
        <w:rPr>
          <w:rFonts w:ascii="Times New Roman" w:hAnsi="Times New Roman"/>
          <w:color w:val="94A3B8"/>
          <w:sz w:val="20"/>
        </w:rPr>
        <w:t xml:space="preserve"> ......................................................... </w:t>
      </w:r>
      <w:r>
        <w:rPr>
          <w:rFonts w:ascii="Times New Roman" w:hAnsi="Times New Roman"/>
          <w:sz w:val="22"/>
        </w:rPr>
        <w:t>11</w:t>
      </w:r>
    </w:p>
    <w:p>
      <w:pPr>
        <w:spacing w:before="0" w:after="60" w:line="276" w:lineRule="auto"/>
      </w:pPr>
      <w:r>
        <w:rPr>
          <w:rFonts w:ascii="Times New Roman" w:hAnsi="Times New Roman"/>
          <w:sz w:val="22"/>
        </w:rPr>
        <w:t xml:space="preserve">    3.6 Entity-Relationship (ER) Diagram</w:t>
      </w:r>
      <w:r>
        <w:rPr>
          <w:rFonts w:ascii="Times New Roman" w:hAnsi="Times New Roman"/>
          <w:color w:val="94A3B8"/>
          <w:sz w:val="20"/>
        </w:rPr>
        <w:t xml:space="preserve"> ................................... </w:t>
      </w:r>
      <w:r>
        <w:rPr>
          <w:rFonts w:ascii="Times New Roman" w:hAnsi="Times New Roman"/>
          <w:sz w:val="22"/>
        </w:rPr>
        <w:t>12</w:t>
      </w:r>
    </w:p>
    <w:p>
      <w:pPr>
        <w:spacing w:before="0" w:after="60" w:line="276" w:lineRule="auto"/>
      </w:pPr>
      <w:r>
        <w:rPr>
          <w:rFonts w:ascii="Times New Roman" w:hAnsi="Times New Roman"/>
          <w:sz w:val="22"/>
        </w:rPr>
        <w:t xml:space="preserve">    3.7 System Use Case Model</w:t>
      </w:r>
      <w:r>
        <w:rPr>
          <w:rFonts w:ascii="Times New Roman" w:hAnsi="Times New Roman"/>
          <w:color w:val="94A3B8"/>
          <w:sz w:val="20"/>
        </w:rPr>
        <w:t xml:space="preserve"> .............................................. </w:t>
      </w:r>
      <w:r>
        <w:rPr>
          <w:rFonts w:ascii="Times New Roman" w:hAnsi="Times New Roman"/>
          <w:sz w:val="22"/>
        </w:rPr>
        <w:t>14</w:t>
      </w:r>
    </w:p>
    <w:p>
      <w:pPr>
        <w:spacing w:before="0" w:after="60" w:line="276" w:lineRule="auto"/>
      </w:pPr>
      <w:r>
        <w:rPr>
          <w:rFonts w:ascii="Times New Roman" w:hAnsi="Times New Roman"/>
          <w:sz w:val="22"/>
        </w:rPr>
        <w:t xml:space="preserve">    3.8 Data Flow Diagrams (DFD Level 0, 1, 2)</w:t>
      </w:r>
      <w:r>
        <w:rPr>
          <w:rFonts w:ascii="Times New Roman" w:hAnsi="Times New Roman"/>
          <w:color w:val="94A3B8"/>
          <w:sz w:val="20"/>
        </w:rPr>
        <w:t xml:space="preserve"> ............................. </w:t>
      </w:r>
      <w:r>
        <w:rPr>
          <w:rFonts w:ascii="Times New Roman" w:hAnsi="Times New Roman"/>
          <w:sz w:val="22"/>
        </w:rPr>
        <w:t>16</w:t>
      </w:r>
    </w:p>
    <w:p>
      <w:pPr>
        <w:spacing w:before="0" w:after="60" w:line="276" w:lineRule="auto"/>
      </w:pPr>
      <w:r>
        <w:rPr>
          <w:rFonts w:ascii="Times New Roman" w:hAnsi="Times New Roman"/>
          <w:b/>
          <w:sz w:val="22"/>
        </w:rPr>
        <w:t>4. Chapter-4: Implementation and Result Analysis</w:t>
      </w:r>
      <w:r>
        <w:rPr>
          <w:rFonts w:ascii="Times New Roman" w:hAnsi="Times New Roman"/>
          <w:color w:val="94A3B8"/>
          <w:sz w:val="20"/>
        </w:rPr>
        <w:t xml:space="preserve"> ........................... </w:t>
      </w:r>
      <w:r>
        <w:rPr>
          <w:rFonts w:ascii="Times New Roman" w:hAnsi="Times New Roman"/>
          <w:b/>
          <w:sz w:val="22"/>
        </w:rPr>
        <w:t>19</w:t>
      </w:r>
    </w:p>
    <w:p>
      <w:pPr>
        <w:spacing w:before="0" w:after="60" w:line="276" w:lineRule="auto"/>
      </w:pPr>
      <w:r>
        <w:rPr>
          <w:rFonts w:ascii="Times New Roman" w:hAnsi="Times New Roman"/>
          <w:sz w:val="22"/>
        </w:rPr>
        <w:t xml:space="preserve">    4.1 Module Description</w:t>
      </w:r>
      <w:r>
        <w:rPr>
          <w:rFonts w:ascii="Times New Roman" w:hAnsi="Times New Roman"/>
          <w:color w:val="94A3B8"/>
          <w:sz w:val="20"/>
        </w:rPr>
        <w:t xml:space="preserve"> ................................................. </w:t>
      </w:r>
      <w:r>
        <w:rPr>
          <w:rFonts w:ascii="Times New Roman" w:hAnsi="Times New Roman"/>
          <w:sz w:val="22"/>
        </w:rPr>
        <w:t>19</w:t>
      </w:r>
    </w:p>
    <w:p>
      <w:pPr>
        <w:spacing w:before="0" w:after="60" w:line="276" w:lineRule="auto"/>
      </w:pPr>
      <w:r>
        <w:rPr>
          <w:rFonts w:ascii="Times New Roman" w:hAnsi="Times New Roman"/>
          <w:sz w:val="22"/>
        </w:rPr>
        <w:t xml:space="preserve">    4.2 Code Snippets (important parts only)</w:t>
      </w:r>
      <w:r>
        <w:rPr>
          <w:rFonts w:ascii="Times New Roman" w:hAnsi="Times New Roman"/>
          <w:color w:val="94A3B8"/>
          <w:sz w:val="20"/>
        </w:rPr>
        <w:t xml:space="preserve"> ............................... </w:t>
      </w:r>
      <w:r>
        <w:rPr>
          <w:rFonts w:ascii="Times New Roman" w:hAnsi="Times New Roman"/>
          <w:sz w:val="22"/>
        </w:rPr>
        <w:t>22</w:t>
      </w:r>
    </w:p>
    <w:p>
      <w:pPr>
        <w:spacing w:before="0" w:after="60" w:line="276" w:lineRule="auto"/>
      </w:pPr>
      <w:r>
        <w:rPr>
          <w:rFonts w:ascii="Times New Roman" w:hAnsi="Times New Roman"/>
          <w:sz w:val="22"/>
        </w:rPr>
        <w:t xml:space="preserve">    4.3 Tools &amp; Environment Setup</w:t>
      </w:r>
      <w:r>
        <w:rPr>
          <w:rFonts w:ascii="Times New Roman" w:hAnsi="Times New Roman"/>
          <w:color w:val="94A3B8"/>
          <w:sz w:val="20"/>
        </w:rPr>
        <w:t xml:space="preserve"> .......................................... </w:t>
      </w:r>
      <w:r>
        <w:rPr>
          <w:rFonts w:ascii="Times New Roman" w:hAnsi="Times New Roman"/>
          <w:sz w:val="22"/>
        </w:rPr>
        <w:t>25</w:t>
      </w:r>
    </w:p>
    <w:p>
      <w:pPr>
        <w:spacing w:before="0" w:after="60" w:line="276" w:lineRule="auto"/>
      </w:pPr>
      <w:r>
        <w:rPr>
          <w:rFonts w:ascii="Times New Roman" w:hAnsi="Times New Roman"/>
          <w:sz w:val="22"/>
        </w:rPr>
        <w:t xml:space="preserve">    4.4 Output Screenshots &amp; Interface Walkthrough</w:t>
      </w:r>
      <w:r>
        <w:rPr>
          <w:rFonts w:ascii="Times New Roman" w:hAnsi="Times New Roman"/>
          <w:color w:val="94A3B8"/>
          <w:sz w:val="20"/>
        </w:rPr>
        <w:t xml:space="preserve"> ......................... </w:t>
      </w:r>
      <w:r>
        <w:rPr>
          <w:rFonts w:ascii="Times New Roman" w:hAnsi="Times New Roman"/>
          <w:sz w:val="22"/>
        </w:rPr>
        <w:t>26</w:t>
      </w:r>
    </w:p>
    <w:p>
      <w:pPr>
        <w:spacing w:before="0" w:after="60" w:line="276" w:lineRule="auto"/>
      </w:pPr>
      <w:r>
        <w:rPr>
          <w:rFonts w:ascii="Times New Roman" w:hAnsi="Times New Roman"/>
          <w:sz w:val="22"/>
        </w:rPr>
        <w:t xml:space="preserve">    4.5 Discussion of results &amp; Performance Benchmarks</w:t>
      </w:r>
      <w:r>
        <w:rPr>
          <w:rFonts w:ascii="Times New Roman" w:hAnsi="Times New Roman"/>
          <w:color w:val="94A3B8"/>
          <w:sz w:val="20"/>
        </w:rPr>
        <w:t xml:space="preserve"> ..................... </w:t>
      </w:r>
      <w:r>
        <w:rPr>
          <w:rFonts w:ascii="Times New Roman" w:hAnsi="Times New Roman"/>
          <w:sz w:val="22"/>
        </w:rPr>
        <w:t>30</w:t>
      </w:r>
    </w:p>
    <w:p>
      <w:pPr>
        <w:spacing w:before="0" w:after="60" w:line="276" w:lineRule="auto"/>
      </w:pPr>
      <w:r>
        <w:rPr>
          <w:rFonts w:ascii="Times New Roman" w:hAnsi="Times New Roman"/>
          <w:b/>
          <w:sz w:val="22"/>
        </w:rPr>
        <w:t>5. Chapter-5: Conclusion &amp; future scope</w:t>
      </w:r>
      <w:r>
        <w:rPr>
          <w:rFonts w:ascii="Times New Roman" w:hAnsi="Times New Roman"/>
          <w:color w:val="94A3B8"/>
          <w:sz w:val="20"/>
        </w:rPr>
        <w:t xml:space="preserve"> .................................... </w:t>
      </w:r>
      <w:r>
        <w:rPr>
          <w:rFonts w:ascii="Times New Roman" w:hAnsi="Times New Roman"/>
          <w:b/>
          <w:sz w:val="22"/>
        </w:rPr>
        <w:t>32</w:t>
      </w:r>
    </w:p>
    <w:p>
      <w:pPr>
        <w:spacing w:before="0" w:after="60" w:line="276" w:lineRule="auto"/>
      </w:pPr>
      <w:r>
        <w:rPr>
          <w:rFonts w:ascii="Times New Roman" w:hAnsi="Times New Roman"/>
          <w:sz w:val="22"/>
        </w:rPr>
        <w:t xml:space="preserve">    5.1 Conclusion</w:t>
      </w:r>
      <w:r>
        <w:rPr>
          <w:rFonts w:ascii="Times New Roman" w:hAnsi="Times New Roman"/>
          <w:color w:val="94A3B8"/>
          <w:sz w:val="20"/>
        </w:rPr>
        <w:t xml:space="preserve"> ......................................................... </w:t>
      </w:r>
      <w:r>
        <w:rPr>
          <w:rFonts w:ascii="Times New Roman" w:hAnsi="Times New Roman"/>
          <w:sz w:val="22"/>
        </w:rPr>
        <w:t>32</w:t>
      </w:r>
    </w:p>
    <w:p>
      <w:pPr>
        <w:spacing w:before="0" w:after="60" w:line="276" w:lineRule="auto"/>
      </w:pPr>
      <w:r>
        <w:rPr>
          <w:rFonts w:ascii="Times New Roman" w:hAnsi="Times New Roman"/>
          <w:sz w:val="22"/>
        </w:rPr>
        <w:t xml:space="preserve">    5.2 Limitation</w:t>
      </w:r>
      <w:r>
        <w:rPr>
          <w:rFonts w:ascii="Times New Roman" w:hAnsi="Times New Roman"/>
          <w:color w:val="94A3B8"/>
          <w:sz w:val="20"/>
        </w:rPr>
        <w:t xml:space="preserve"> ......................................................... </w:t>
      </w:r>
      <w:r>
        <w:rPr>
          <w:rFonts w:ascii="Times New Roman" w:hAnsi="Times New Roman"/>
          <w:sz w:val="22"/>
        </w:rPr>
        <w:t>33</w:t>
      </w:r>
    </w:p>
    <w:p>
      <w:pPr>
        <w:spacing w:before="0" w:after="60" w:line="276" w:lineRule="auto"/>
      </w:pPr>
      <w:r>
        <w:rPr>
          <w:rFonts w:ascii="Times New Roman" w:hAnsi="Times New Roman"/>
          <w:sz w:val="22"/>
        </w:rPr>
        <w:t xml:space="preserve">    5.3 Future Scope</w:t>
      </w:r>
      <w:r>
        <w:rPr>
          <w:rFonts w:ascii="Times New Roman" w:hAnsi="Times New Roman"/>
          <w:color w:val="94A3B8"/>
          <w:sz w:val="20"/>
        </w:rPr>
        <w:t xml:space="preserve"> ....................................................... </w:t>
      </w:r>
      <w:r>
        <w:rPr>
          <w:rFonts w:ascii="Times New Roman" w:hAnsi="Times New Roman"/>
          <w:sz w:val="22"/>
        </w:rPr>
        <w:t>34</w:t>
      </w:r>
    </w:p>
    <w:p>
      <w:pPr>
        <w:spacing w:before="0" w:after="60" w:line="276" w:lineRule="auto"/>
      </w:pPr>
      <w:r>
        <w:rPr>
          <w:rFonts w:ascii="Times New Roman" w:hAnsi="Times New Roman"/>
          <w:b/>
          <w:sz w:val="22"/>
        </w:rPr>
        <w:t>References</w:t>
      </w:r>
      <w:r>
        <w:rPr>
          <w:rFonts w:ascii="Times New Roman" w:hAnsi="Times New Roman"/>
          <w:color w:val="94A3B8"/>
          <w:sz w:val="20"/>
        </w:rPr>
        <w:t xml:space="preserve"> ................................................................. </w:t>
      </w:r>
      <w:r>
        <w:rPr>
          <w:rFonts w:ascii="Times New Roman" w:hAnsi="Times New Roman"/>
          <w:b/>
          <w:sz w:val="22"/>
        </w:rPr>
        <w:t>35</w:t>
      </w:r>
    </w:p>
    <w:p>
      <w:r>
        <w:br w:type="page"/>
      </w:r>
    </w:p>
    <w:p>
      <w:pPr>
        <w:keepNext/>
        <w:spacing w:before="280" w:after="120"/>
      </w:pPr>
      <w:r>
        <w:rPr>
          <w:rFonts w:ascii="Times New Roman" w:hAnsi="Times New Roman"/>
          <w:b/>
          <w:color w:val="0F172A"/>
          <w:sz w:val="30"/>
        </w:rPr>
        <w:t>1. Chapter-1: Introduction</w:t>
      </w:r>
    </w:p>
    <w:p>
      <w:pPr>
        <w:keepNext/>
        <w:spacing w:before="200" w:after="80"/>
      </w:pPr>
      <w:r>
        <w:rPr>
          <w:rFonts w:ascii="Times New Roman" w:hAnsi="Times New Roman"/>
          <w:b/>
          <w:color w:val="1E3A8A"/>
          <w:sz w:val="26"/>
        </w:rPr>
        <w:t>1.1 Introduction</w:t>
      </w:r>
    </w:p>
    <w:p>
      <w:pPr>
        <w:spacing w:before="0" w:after="120" w:line="300" w:lineRule="auto"/>
      </w:pPr>
      <w:r>
        <w:rPr>
          <w:rFonts w:ascii="Times New Roman" w:hAnsi="Times New Roman"/>
          <w:color w:val="1E293B"/>
          <w:sz w:val="22"/>
        </w:rPr>
        <w:t>In contemporary academic computing and higher education, institutions face a fundamental pedagogical bottleneck: large student cohorts make regular, rigorous evaluation of open-ended written reasoning, mathematical proofs, and programming assignments exceptionally labor-intensive. When instructors are overwhelmed with hundreds of subjective papers, grading quality deteriorates, turnaround times extend into weeks, and human evaluations suffer from unconscious cognitive bias, grading fatigue, and inconsistent inter-rater reliability.</w:t>
      </w:r>
    </w:p>
    <w:p>
      <w:pPr>
        <w:spacing w:before="0" w:after="120" w:line="300" w:lineRule="auto"/>
      </w:pPr>
      <w:r>
        <w:rPr>
          <w:rFonts w:ascii="Times New Roman" w:hAnsi="Times New Roman"/>
          <w:color w:val="1E293B"/>
          <w:sz w:val="22"/>
        </w:rPr>
        <w:t>SkillForge AI is an intelligent, multi-tenant adaptive classroom and assessment platform designed to eliminate these bottlenecks. Built upon a modern distributed microservices architecture, SkillForge AI introduces a double-blind, rubric-anchored automated grading engine called FairGrade, coupled with a Retrieval-Augmented Generation (RAG) Socratic AI tutor, an isolated multi-language code sandbox (Judge0), and an instructor intervention center with automated early-warning telemetry.</w:t>
      </w:r>
    </w:p>
    <w:p>
      <w:pPr>
        <w:keepNext/>
        <w:spacing w:before="200" w:after="80"/>
      </w:pPr>
      <w:r>
        <w:rPr>
          <w:rFonts w:ascii="Times New Roman" w:hAnsi="Times New Roman"/>
          <w:b/>
          <w:color w:val="1E3A8A"/>
          <w:sz w:val="26"/>
        </w:rPr>
        <w:t>1.2 Objective</w:t>
      </w:r>
    </w:p>
    <w:p>
      <w:pPr>
        <w:spacing w:before="0" w:after="120" w:line="300" w:lineRule="auto"/>
      </w:pPr>
      <w:r>
        <w:rPr>
          <w:rFonts w:ascii="Times New Roman" w:hAnsi="Times New Roman"/>
          <w:color w:val="1E293B"/>
          <w:sz w:val="22"/>
        </w:rPr>
        <w:t>The primary objectives of the SkillForge AI platform are defined as follows:</w:t>
      </w:r>
    </w:p>
    <w:p>
      <w:pPr>
        <w:pStyle w:val="ListBullet"/>
        <w:spacing w:before="0" w:after="60" w:line="288" w:lineRule="auto"/>
      </w:pPr>
      <w:r>
        <w:rPr>
          <w:rFonts w:ascii="Times New Roman" w:hAnsi="Times New Roman"/>
          <w:b/>
          <w:sz w:val="22"/>
        </w:rPr>
        <w:t>1. Bias-Resistant Subjective Grading:</w:t>
      </w:r>
      <w:r>
        <w:rPr>
          <w:rFonts w:ascii="Times New Roman" w:hAnsi="Times New Roman"/>
          <w:color w:val="1E293B"/>
          <w:sz w:val="22"/>
        </w:rPr>
        <w:t xml:space="preserve"> To eliminate educator bias, identity halo effects, and grading inconsistency in open-ended subjective assessments through cryptographic student anonymization and structured multi-criteria rubric evaluation.</w:t>
      </w:r>
    </w:p>
    <w:p>
      <w:pPr>
        <w:pStyle w:val="ListBullet"/>
        <w:spacing w:before="0" w:after="60" w:line="288" w:lineRule="auto"/>
      </w:pPr>
      <w:r>
        <w:rPr>
          <w:rFonts w:ascii="Times New Roman" w:hAnsi="Times New Roman"/>
          <w:b/>
          <w:sz w:val="22"/>
        </w:rPr>
        <w:t>2. RAG-Grounded Socratic Learning:</w:t>
      </w:r>
      <w:r>
        <w:rPr>
          <w:rFonts w:ascii="Times New Roman" w:hAnsi="Times New Roman"/>
          <w:color w:val="1E293B"/>
          <w:sz w:val="22"/>
        </w:rPr>
        <w:t xml:space="preserve"> To deliver 24/7 personalized, syllabus-grounded tutoring that guides students through diagnostic inquiry without directly providing answers.</w:t>
      </w:r>
    </w:p>
    <w:p>
      <w:pPr>
        <w:pStyle w:val="ListBullet"/>
        <w:spacing w:before="0" w:after="60" w:line="288" w:lineRule="auto"/>
      </w:pPr>
      <w:r>
        <w:rPr>
          <w:rFonts w:ascii="Times New Roman" w:hAnsi="Times New Roman"/>
          <w:b/>
          <w:sz w:val="22"/>
        </w:rPr>
        <w:t>3. Cloud Code Execution &amp; Autograding:</w:t>
      </w:r>
      <w:r>
        <w:rPr>
          <w:rFonts w:ascii="Times New Roman" w:hAnsi="Times New Roman"/>
          <w:color w:val="1E293B"/>
          <w:sz w:val="22"/>
        </w:rPr>
        <w:t xml:space="preserve"> To provide an in-browser isolated execution sandbox for multi-language programming tasks with automated verification against visible and hidden test cases.</w:t>
      </w:r>
    </w:p>
    <w:p>
      <w:pPr>
        <w:pStyle w:val="ListBullet"/>
        <w:spacing w:before="0" w:after="60" w:line="288" w:lineRule="auto"/>
      </w:pPr>
      <w:r>
        <w:rPr>
          <w:rFonts w:ascii="Times New Roman" w:hAnsi="Times New Roman"/>
          <w:b/>
          <w:sz w:val="22"/>
        </w:rPr>
        <w:t>4. Teacher Copilot &amp; Intervention Center:</w:t>
      </w:r>
      <w:r>
        <w:rPr>
          <w:rFonts w:ascii="Times New Roman" w:hAnsi="Times New Roman"/>
          <w:color w:val="1E293B"/>
          <w:sz w:val="22"/>
        </w:rPr>
        <w:t xml:space="preserve"> To provide faculty with real-time class mastery heatmaps, anomaly detection for grading disputes, and automated one-click remediation generation.</w:t>
      </w:r>
    </w:p>
    <w:p>
      <w:pPr>
        <w:pStyle w:val="ListBullet"/>
        <w:spacing w:before="0" w:after="60" w:line="288" w:lineRule="auto"/>
      </w:pPr>
      <w:r>
        <w:rPr>
          <w:rFonts w:ascii="Times New Roman" w:hAnsi="Times New Roman"/>
          <w:b/>
          <w:sz w:val="22"/>
        </w:rPr>
        <w:t>5. Resilient Microservice Architecture:</w:t>
      </w:r>
      <w:r>
        <w:rPr>
          <w:rFonts w:ascii="Times New Roman" w:hAnsi="Times New Roman"/>
          <w:color w:val="1E293B"/>
          <w:sz w:val="22"/>
        </w:rPr>
        <w:t xml:space="preserve"> To ensure enterprise-grade modularity, data privacy, and role-based security across students, educators, and administrators.</w:t>
      </w:r>
    </w:p>
    <w:p>
      <w:pPr>
        <w:keepNext/>
        <w:spacing w:before="200" w:after="80"/>
      </w:pPr>
      <w:r>
        <w:rPr>
          <w:rFonts w:ascii="Times New Roman" w:hAnsi="Times New Roman"/>
          <w:b/>
          <w:color w:val="1E3A8A"/>
          <w:sz w:val="26"/>
        </w:rPr>
        <w:t>1.3 Need of the project</w:t>
      </w:r>
    </w:p>
    <w:p>
      <w:pPr>
        <w:spacing w:before="0" w:after="120" w:line="300" w:lineRule="auto"/>
      </w:pPr>
      <w:r>
        <w:rPr>
          <w:rFonts w:ascii="Times New Roman" w:hAnsi="Times New Roman"/>
          <w:color w:val="1E293B"/>
          <w:sz w:val="22"/>
        </w:rPr>
        <w:t>Traditional Learning Management Systems (such as Moodle, Canvas, and Google Classroom) serve almost exclusively as passive repositories for static PDFs and grade record-keeping. They lack dynamic cognitive modeling, automated subjective essay assessment, and personalized remediation paths.</w:t>
      </w:r>
    </w:p>
    <w:p>
      <w:pPr>
        <w:spacing w:before="0" w:after="120" w:line="300" w:lineRule="auto"/>
      </w:pPr>
      <w:r>
        <w:rPr>
          <w:rFonts w:ascii="Times New Roman" w:hAnsi="Times New Roman"/>
          <w:color w:val="1E293B"/>
          <w:sz w:val="22"/>
        </w:rPr>
        <w:t>Conversely, generic commercial chatbots (such as raw ChatGPT or Claude interfaces) cannot be directly deployed in education because they lack grounding in institutional syllabi, suffer from factual hallucinations, and encourage academic dishonesty by solving assignments outright. SkillForge AI fills this critical void by combining structured rubric constraints, double-blind anonymization, and Socratic guardrails.</w:t>
      </w:r>
    </w:p>
    <w:p>
      <w:r>
        <w:br w:type="page"/>
      </w:r>
    </w:p>
    <w:p>
      <w:pPr>
        <w:keepNext/>
        <w:spacing w:before="280" w:after="120"/>
      </w:pPr>
      <w:r>
        <w:rPr>
          <w:rFonts w:ascii="Times New Roman" w:hAnsi="Times New Roman"/>
          <w:b/>
          <w:color w:val="0F172A"/>
          <w:sz w:val="30"/>
        </w:rPr>
        <w:t>2. Chapter-2: Literature Review</w:t>
      </w:r>
    </w:p>
    <w:p>
      <w:pPr>
        <w:keepNext/>
        <w:spacing w:before="200" w:after="80"/>
      </w:pPr>
      <w:r>
        <w:rPr>
          <w:rFonts w:ascii="Times New Roman" w:hAnsi="Times New Roman"/>
          <w:b/>
          <w:color w:val="1E3A8A"/>
          <w:sz w:val="26"/>
        </w:rPr>
        <w:t>2.1 Existing work</w:t>
      </w:r>
    </w:p>
    <w:p>
      <w:pPr>
        <w:spacing w:before="0" w:after="120" w:line="300" w:lineRule="auto"/>
      </w:pPr>
      <w:r>
        <w:rPr>
          <w:rFonts w:ascii="Times New Roman" w:hAnsi="Times New Roman"/>
          <w:color w:val="1E293B"/>
          <w:sz w:val="22"/>
        </w:rPr>
        <w:t>Existing automated educational assessment systems generally fall into three technical categories:</w:t>
      </w:r>
    </w:p>
    <w:p>
      <w:pPr>
        <w:pStyle w:val="ListBullet"/>
        <w:spacing w:before="0" w:after="60" w:line="288" w:lineRule="auto"/>
      </w:pPr>
      <w:r>
        <w:rPr>
          <w:rFonts w:ascii="Times New Roman" w:hAnsi="Times New Roman"/>
          <w:b/>
          <w:sz w:val="22"/>
        </w:rPr>
        <w:t>1. Feature-Engineered Automated Essay Scoring (AES):</w:t>
      </w:r>
      <w:r>
        <w:rPr>
          <w:rFonts w:ascii="Times New Roman" w:hAnsi="Times New Roman"/>
          <w:color w:val="1E293B"/>
          <w:sz w:val="22"/>
        </w:rPr>
        <w:t xml:space="preserve"> Early AES systems (such as ETS e-rater and Project Essay Grade) relied on shallow surface-level statistical indicators, including average sentence length, lexical diversity, and grammatical error counts. These models failed to evaluate true logical soundness or subject-matter correctness.</w:t>
      </w:r>
    </w:p>
    <w:p>
      <w:pPr>
        <w:pStyle w:val="ListBullet"/>
        <w:spacing w:before="0" w:after="60" w:line="288" w:lineRule="auto"/>
      </w:pPr>
      <w:r>
        <w:rPr>
          <w:rFonts w:ascii="Times New Roman" w:hAnsi="Times New Roman"/>
          <w:b/>
          <w:sz w:val="22"/>
        </w:rPr>
        <w:t>2. Unit-Test Code Graders:</w:t>
      </w:r>
      <w:r>
        <w:rPr>
          <w:rFonts w:ascii="Times New Roman" w:hAnsi="Times New Roman"/>
          <w:color w:val="1E293B"/>
          <w:sz w:val="22"/>
        </w:rPr>
        <w:t xml:space="preserve"> Platforms such as Gradescope and Web-CAT run test-case execution scripts against submitted programming code. While highly reliable for binary pass/fail outcomes, they do not explain algorithmic complexity or semantic logic bugs to novice learners.</w:t>
      </w:r>
    </w:p>
    <w:p>
      <w:pPr>
        <w:pStyle w:val="ListBullet"/>
        <w:spacing w:before="0" w:after="60" w:line="288" w:lineRule="auto"/>
      </w:pPr>
      <w:r>
        <w:rPr>
          <w:rFonts w:ascii="Times New Roman" w:hAnsi="Times New Roman"/>
          <w:b/>
          <w:sz w:val="22"/>
        </w:rPr>
        <w:t>3. Unconstrained Generative LLM Chatbots:</w:t>
      </w:r>
      <w:r>
        <w:rPr>
          <w:rFonts w:ascii="Times New Roman" w:hAnsi="Times New Roman"/>
          <w:color w:val="1E293B"/>
          <w:sz w:val="22"/>
        </w:rPr>
        <w:t xml:space="preserve"> Recent academic prototypes integrate standard conversational LLM prompts to answer student queries. However, they lack syllabus grounding and deliver direct solutions without pedagogical guidance.</w:t>
      </w:r>
    </w:p>
    <w:p>
      <w:pPr>
        <w:keepNext/>
        <w:spacing w:before="200" w:after="80"/>
      </w:pPr>
      <w:r>
        <w:rPr>
          <w:rFonts w:ascii="Times New Roman" w:hAnsi="Times New Roman"/>
          <w:b/>
          <w:color w:val="1E3A8A"/>
          <w:sz w:val="26"/>
        </w:rPr>
        <w:t>2.2 Limitation of existing work</w:t>
      </w:r>
    </w:p>
    <w:p>
      <w:pPr>
        <w:pStyle w:val="ListBullet"/>
        <w:spacing w:before="0" w:after="60" w:line="288" w:lineRule="auto"/>
      </w:pPr>
      <w:r>
        <w:rPr>
          <w:rFonts w:ascii="Times New Roman" w:hAnsi="Times New Roman"/>
          <w:b/>
          <w:sz w:val="22"/>
        </w:rPr>
        <w:t>• Lack of Structured Rubric Grounding:</w:t>
      </w:r>
      <w:r>
        <w:rPr>
          <w:rFonts w:ascii="Times New Roman" w:hAnsi="Times New Roman"/>
          <w:color w:val="1E293B"/>
          <w:sz w:val="22"/>
        </w:rPr>
        <w:t xml:space="preserve"> Generic language models assign inconsistent scores when evaluating subjective essays without strict mathematical rubric anchoring.</w:t>
      </w:r>
    </w:p>
    <w:p>
      <w:pPr>
        <w:pStyle w:val="ListBullet"/>
        <w:spacing w:before="0" w:after="60" w:line="288" w:lineRule="auto"/>
      </w:pPr>
      <w:r>
        <w:rPr>
          <w:rFonts w:ascii="Times New Roman" w:hAnsi="Times New Roman"/>
          <w:b/>
          <w:sz w:val="22"/>
        </w:rPr>
        <w:t>• Susceptibility to Human Identity Bias:</w:t>
      </w:r>
      <w:r>
        <w:rPr>
          <w:rFonts w:ascii="Times New Roman" w:hAnsi="Times New Roman"/>
          <w:color w:val="1E293B"/>
          <w:sz w:val="22"/>
        </w:rPr>
        <w:t xml:space="preserve"> Human evaluators are heavily influenced by student names, handwriting aesthetics, and prior academic reputations.</w:t>
      </w:r>
    </w:p>
    <w:p>
      <w:pPr>
        <w:pStyle w:val="ListBullet"/>
        <w:spacing w:before="0" w:after="60" w:line="288" w:lineRule="auto"/>
      </w:pPr>
      <w:r>
        <w:rPr>
          <w:rFonts w:ascii="Times New Roman" w:hAnsi="Times New Roman"/>
          <w:b/>
          <w:sz w:val="22"/>
        </w:rPr>
        <w:t>• Superficial Feedback Loops:</w:t>
      </w:r>
      <w:r>
        <w:rPr>
          <w:rFonts w:ascii="Times New Roman" w:hAnsi="Times New Roman"/>
          <w:color w:val="1E293B"/>
          <w:sz w:val="22"/>
        </w:rPr>
        <w:t xml:space="preserve"> Existing tools return scalar scores without detailed criterion justifications or actionable remediation pathways.</w:t>
      </w:r>
    </w:p>
    <w:p>
      <w:pPr>
        <w:pStyle w:val="ListBullet"/>
        <w:spacing w:before="0" w:after="60" w:line="288" w:lineRule="auto"/>
      </w:pPr>
      <w:r>
        <w:rPr>
          <w:rFonts w:ascii="Times New Roman" w:hAnsi="Times New Roman"/>
          <w:b/>
          <w:sz w:val="22"/>
        </w:rPr>
        <w:t>• Data Privacy and Institutional Compliance Risks:</w:t>
      </w:r>
      <w:r>
        <w:rPr>
          <w:rFonts w:ascii="Times New Roman" w:hAnsi="Times New Roman"/>
          <w:color w:val="1E293B"/>
          <w:sz w:val="22"/>
        </w:rPr>
        <w:t xml:space="preserve"> Sending un-sanitized student homework to public third-party APIs risks leaking Protected Student Information (PSI).</w:t>
      </w:r>
    </w:p>
    <w:p>
      <w:pPr>
        <w:keepNext/>
        <w:spacing w:before="200" w:after="80"/>
      </w:pPr>
      <w:r>
        <w:rPr>
          <w:rFonts w:ascii="Times New Roman" w:hAnsi="Times New Roman"/>
          <w:b/>
          <w:color w:val="1E3A8A"/>
          <w:sz w:val="26"/>
        </w:rPr>
        <w:t>2.3 Gap analysis</w:t>
      </w:r>
    </w:p>
    <w:p>
      <w:pPr>
        <w:spacing w:before="0" w:after="120" w:line="300" w:lineRule="auto"/>
      </w:pPr>
      <w:r>
        <w:rPr>
          <w:rFonts w:ascii="Times New Roman" w:hAnsi="Times New Roman"/>
          <w:color w:val="1E293B"/>
          <w:sz w:val="22"/>
        </w:rPr>
        <w:t>Table 2.1 summarizes the functional and architectural comparison between existing systems and the proposed SkillForge AI platform.</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E3A8A"/>
          </w:tcPr>
          <w:p>
            <w:r>
              <w:rPr>
                <w:rFonts w:ascii="Times New Roman" w:hAnsi="Times New Roman"/>
                <w:b/>
                <w:color w:val="FFFFFF"/>
                <w:sz w:val="19"/>
              </w:rPr>
              <w:t>Dimension / Capability</w:t>
            </w:r>
          </w:p>
        </w:tc>
        <w:tc>
          <w:tcPr>
            <w:tcW w:type="dxa" w:w="1872"/>
            <w:shd w:fill="1E3A8A"/>
          </w:tcPr>
          <w:p>
            <w:r>
              <w:rPr>
                <w:rFonts w:ascii="Times New Roman" w:hAnsi="Times New Roman"/>
                <w:b/>
                <w:color w:val="FFFFFF"/>
                <w:sz w:val="19"/>
              </w:rPr>
              <w:t>Traditional LMS</w:t>
            </w:r>
          </w:p>
        </w:tc>
        <w:tc>
          <w:tcPr>
            <w:tcW w:type="dxa" w:w="1872"/>
            <w:shd w:fill="1E3A8A"/>
          </w:tcPr>
          <w:p>
            <w:r>
              <w:rPr>
                <w:rFonts w:ascii="Times New Roman" w:hAnsi="Times New Roman"/>
                <w:b/>
                <w:color w:val="FFFFFF"/>
                <w:sz w:val="19"/>
              </w:rPr>
              <w:t>Generic LLM Chatbots</w:t>
            </w:r>
          </w:p>
        </w:tc>
        <w:tc>
          <w:tcPr>
            <w:tcW w:type="dxa" w:w="1872"/>
            <w:shd w:fill="1E3A8A"/>
          </w:tcPr>
          <w:p>
            <w:r>
              <w:rPr>
                <w:rFonts w:ascii="Times New Roman" w:hAnsi="Times New Roman"/>
                <w:b/>
                <w:color w:val="FFFFFF"/>
                <w:sz w:val="19"/>
              </w:rPr>
              <w:t>Code Grader Suites</w:t>
            </w:r>
          </w:p>
        </w:tc>
        <w:tc>
          <w:tcPr>
            <w:tcW w:type="dxa" w:w="1872"/>
            <w:shd w:fill="1E3A8A"/>
          </w:tcPr>
          <w:p>
            <w:r>
              <w:rPr>
                <w:rFonts w:ascii="Times New Roman" w:hAnsi="Times New Roman"/>
                <w:b/>
                <w:color w:val="FFFFFF"/>
                <w:sz w:val="19"/>
              </w:rPr>
              <w:t>SkillForge AI (Proposed)</w:t>
            </w:r>
          </w:p>
        </w:tc>
      </w:tr>
      <w:tr>
        <w:tc>
          <w:tcPr>
            <w:tcW w:type="dxa" w:w="1872"/>
          </w:tcPr>
          <w:p>
            <w:r>
              <w:rPr>
                <w:rFonts w:ascii="Times New Roman" w:hAnsi="Times New Roman"/>
                <w:sz w:val="18"/>
              </w:rPr>
              <w:t>Subjective Essay Grading</w:t>
            </w:r>
          </w:p>
        </w:tc>
        <w:tc>
          <w:tcPr>
            <w:tcW w:type="dxa" w:w="1872"/>
          </w:tcPr>
          <w:p>
            <w:r>
              <w:rPr>
                <w:rFonts w:ascii="Times New Roman" w:hAnsi="Times New Roman"/>
                <w:sz w:val="18"/>
              </w:rPr>
              <w:t>Manual Only</w:t>
            </w:r>
          </w:p>
        </w:tc>
        <w:tc>
          <w:tcPr>
            <w:tcW w:type="dxa" w:w="1872"/>
          </w:tcPr>
          <w:p>
            <w:r>
              <w:rPr>
                <w:rFonts w:ascii="Times New Roman" w:hAnsi="Times New Roman"/>
                <w:sz w:val="18"/>
              </w:rPr>
              <w:t>Ungrounded / Variable</w:t>
            </w:r>
          </w:p>
        </w:tc>
        <w:tc>
          <w:tcPr>
            <w:tcW w:type="dxa" w:w="1872"/>
          </w:tcPr>
          <w:p>
            <w:r>
              <w:rPr>
                <w:rFonts w:ascii="Times New Roman" w:hAnsi="Times New Roman"/>
                <w:sz w:val="18"/>
              </w:rPr>
              <w:t>Not Supported</w:t>
            </w:r>
          </w:p>
        </w:tc>
        <w:tc>
          <w:tcPr>
            <w:tcW w:type="dxa" w:w="1872"/>
          </w:tcPr>
          <w:p>
            <w:r>
              <w:rPr>
                <w:rFonts w:ascii="Times New Roman" w:hAnsi="Times New Roman"/>
                <w:b/>
                <w:sz w:val="18"/>
              </w:rPr>
              <w:t>Double-Blind FairGrade (Rubric-Anchored)</w:t>
            </w:r>
          </w:p>
        </w:tc>
      </w:tr>
      <w:tr>
        <w:tc>
          <w:tcPr>
            <w:tcW w:type="dxa" w:w="1872"/>
            <w:shd w:fill="F8FAFC"/>
          </w:tcPr>
          <w:p>
            <w:r>
              <w:rPr>
                <w:rFonts w:ascii="Times New Roman" w:hAnsi="Times New Roman"/>
                <w:sz w:val="18"/>
              </w:rPr>
              <w:t>Socratic Tutoring Guardrails</w:t>
            </w:r>
          </w:p>
        </w:tc>
        <w:tc>
          <w:tcPr>
            <w:tcW w:type="dxa" w:w="1872"/>
            <w:shd w:fill="F8FAFC"/>
          </w:tcPr>
          <w:p>
            <w:r>
              <w:rPr>
                <w:rFonts w:ascii="Times New Roman" w:hAnsi="Times New Roman"/>
                <w:sz w:val="18"/>
              </w:rPr>
              <w:t>None</w:t>
            </w:r>
          </w:p>
        </w:tc>
        <w:tc>
          <w:tcPr>
            <w:tcW w:type="dxa" w:w="1872"/>
            <w:shd w:fill="F8FAFC"/>
          </w:tcPr>
          <w:p>
            <w:r>
              <w:rPr>
                <w:rFonts w:ascii="Times New Roman" w:hAnsi="Times New Roman"/>
                <w:sz w:val="18"/>
              </w:rPr>
              <w:t>Direct Solutions Leaked</w:t>
            </w:r>
          </w:p>
        </w:tc>
        <w:tc>
          <w:tcPr>
            <w:tcW w:type="dxa" w:w="1872"/>
            <w:shd w:fill="F8FAFC"/>
          </w:tcPr>
          <w:p>
            <w:r>
              <w:rPr>
                <w:rFonts w:ascii="Times New Roman" w:hAnsi="Times New Roman"/>
                <w:sz w:val="18"/>
              </w:rPr>
              <w:t>None</w:t>
            </w:r>
          </w:p>
        </w:tc>
        <w:tc>
          <w:tcPr>
            <w:tcW w:type="dxa" w:w="1872"/>
            <w:shd w:fill="F8FAFC"/>
          </w:tcPr>
          <w:p>
            <w:r>
              <w:rPr>
                <w:rFonts w:ascii="Times New Roman" w:hAnsi="Times New Roman"/>
                <w:b/>
                <w:sz w:val="18"/>
              </w:rPr>
              <w:t>RAG-Grounded Diagnostic Hinting</w:t>
            </w:r>
          </w:p>
        </w:tc>
      </w:tr>
      <w:tr>
        <w:tc>
          <w:tcPr>
            <w:tcW w:type="dxa" w:w="1872"/>
          </w:tcPr>
          <w:p>
            <w:r>
              <w:rPr>
                <w:rFonts w:ascii="Times New Roman" w:hAnsi="Times New Roman"/>
                <w:sz w:val="18"/>
              </w:rPr>
              <w:t>Code Sandbox Autograding</w:t>
            </w:r>
          </w:p>
        </w:tc>
        <w:tc>
          <w:tcPr>
            <w:tcW w:type="dxa" w:w="1872"/>
          </w:tcPr>
          <w:p>
            <w:r>
              <w:rPr>
                <w:rFonts w:ascii="Times New Roman" w:hAnsi="Times New Roman"/>
                <w:sz w:val="18"/>
              </w:rPr>
              <w:t>Third-Party Plugin</w:t>
            </w:r>
          </w:p>
        </w:tc>
        <w:tc>
          <w:tcPr>
            <w:tcW w:type="dxa" w:w="1872"/>
          </w:tcPr>
          <w:p>
            <w:r>
              <w:rPr>
                <w:rFonts w:ascii="Times New Roman" w:hAnsi="Times New Roman"/>
                <w:sz w:val="18"/>
              </w:rPr>
              <w:t>Not Executable</w:t>
            </w:r>
          </w:p>
        </w:tc>
        <w:tc>
          <w:tcPr>
            <w:tcW w:type="dxa" w:w="1872"/>
          </w:tcPr>
          <w:p>
            <w:r>
              <w:rPr>
                <w:rFonts w:ascii="Times New Roman" w:hAnsi="Times New Roman"/>
                <w:sz w:val="18"/>
              </w:rPr>
              <w:t>Unit Tests Only</w:t>
            </w:r>
          </w:p>
        </w:tc>
        <w:tc>
          <w:tcPr>
            <w:tcW w:type="dxa" w:w="1872"/>
          </w:tcPr>
          <w:p>
            <w:r>
              <w:rPr>
                <w:rFonts w:ascii="Times New Roman" w:hAnsi="Times New Roman"/>
                <w:b/>
                <w:sz w:val="18"/>
              </w:rPr>
              <w:t>Judge0 Isolated Multi-Language Sandbox</w:t>
            </w:r>
          </w:p>
        </w:tc>
      </w:tr>
      <w:tr>
        <w:tc>
          <w:tcPr>
            <w:tcW w:type="dxa" w:w="1872"/>
            <w:shd w:fill="F8FAFC"/>
          </w:tcPr>
          <w:p>
            <w:r>
              <w:rPr>
                <w:rFonts w:ascii="Times New Roman" w:hAnsi="Times New Roman"/>
                <w:sz w:val="18"/>
              </w:rPr>
              <w:t>Identity Bias Suppression</w:t>
            </w:r>
          </w:p>
        </w:tc>
        <w:tc>
          <w:tcPr>
            <w:tcW w:type="dxa" w:w="1872"/>
            <w:shd w:fill="F8FAFC"/>
          </w:tcPr>
          <w:p>
            <w:r>
              <w:rPr>
                <w:rFonts w:ascii="Times New Roman" w:hAnsi="Times New Roman"/>
                <w:sz w:val="18"/>
              </w:rPr>
              <w:t>Poor (Names Visible)</w:t>
            </w:r>
          </w:p>
        </w:tc>
        <w:tc>
          <w:tcPr>
            <w:tcW w:type="dxa" w:w="1872"/>
            <w:shd w:fill="F8FAFC"/>
          </w:tcPr>
          <w:p>
            <w:r>
              <w:rPr>
                <w:rFonts w:ascii="Times New Roman" w:hAnsi="Times New Roman"/>
                <w:sz w:val="18"/>
              </w:rPr>
              <w:t>Unknown</w:t>
            </w:r>
          </w:p>
        </w:tc>
        <w:tc>
          <w:tcPr>
            <w:tcW w:type="dxa" w:w="1872"/>
            <w:shd w:fill="F8FAFC"/>
          </w:tcPr>
          <w:p>
            <w:r>
              <w:rPr>
                <w:rFonts w:ascii="Times New Roman" w:hAnsi="Times New Roman"/>
                <w:sz w:val="18"/>
              </w:rPr>
              <w:t>N/A</w:t>
            </w:r>
          </w:p>
        </w:tc>
        <w:tc>
          <w:tcPr>
            <w:tcW w:type="dxa" w:w="1872"/>
            <w:shd w:fill="F8FAFC"/>
          </w:tcPr>
          <w:p>
            <w:r>
              <w:rPr>
                <w:rFonts w:ascii="Times New Roman" w:hAnsi="Times New Roman"/>
                <w:b/>
                <w:sz w:val="18"/>
              </w:rPr>
              <w:t>Double-Blind Token Anonymizer</w:t>
            </w:r>
          </w:p>
        </w:tc>
      </w:tr>
      <w:tr>
        <w:tc>
          <w:tcPr>
            <w:tcW w:type="dxa" w:w="1872"/>
          </w:tcPr>
          <w:p>
            <w:r>
              <w:rPr>
                <w:rFonts w:ascii="Times New Roman" w:hAnsi="Times New Roman"/>
                <w:sz w:val="18"/>
              </w:rPr>
              <w:t>Teacher Intervention Analytics</w:t>
            </w:r>
          </w:p>
        </w:tc>
        <w:tc>
          <w:tcPr>
            <w:tcW w:type="dxa" w:w="1872"/>
          </w:tcPr>
          <w:p>
            <w:r>
              <w:rPr>
                <w:rFonts w:ascii="Times New Roman" w:hAnsi="Times New Roman"/>
                <w:sz w:val="18"/>
              </w:rPr>
              <w:t>Basic Gradebook</w:t>
            </w:r>
          </w:p>
        </w:tc>
        <w:tc>
          <w:tcPr>
            <w:tcW w:type="dxa" w:w="1872"/>
          </w:tcPr>
          <w:p>
            <w:r>
              <w:rPr>
                <w:rFonts w:ascii="Times New Roman" w:hAnsi="Times New Roman"/>
                <w:sz w:val="18"/>
              </w:rPr>
              <w:t>None</w:t>
            </w:r>
          </w:p>
        </w:tc>
        <w:tc>
          <w:tcPr>
            <w:tcW w:type="dxa" w:w="1872"/>
          </w:tcPr>
          <w:p>
            <w:r>
              <w:rPr>
                <w:rFonts w:ascii="Times New Roman" w:hAnsi="Times New Roman"/>
                <w:sz w:val="18"/>
              </w:rPr>
              <w:t>None</w:t>
            </w:r>
          </w:p>
        </w:tc>
        <w:tc>
          <w:tcPr>
            <w:tcW w:type="dxa" w:w="1872"/>
          </w:tcPr>
          <w:p>
            <w:r>
              <w:rPr>
                <w:rFonts w:ascii="Times New Roman" w:hAnsi="Times New Roman"/>
                <w:b/>
                <w:sz w:val="18"/>
              </w:rPr>
              <w:t>Early-Warning Mastery Heatmaps &amp; Copilot</w:t>
            </w:r>
          </w:p>
        </w:tc>
      </w:tr>
    </w:tbl>
    <w:p>
      <w:r>
        <w:br w:type="page"/>
      </w:r>
    </w:p>
    <w:p>
      <w:pPr>
        <w:keepNext/>
        <w:spacing w:before="280" w:after="120"/>
      </w:pPr>
      <w:r>
        <w:rPr>
          <w:rFonts w:ascii="Times New Roman" w:hAnsi="Times New Roman"/>
          <w:b/>
          <w:color w:val="0F172A"/>
          <w:sz w:val="30"/>
        </w:rPr>
        <w:t>3. Chapter-3: System Design and Methodology</w:t>
      </w:r>
    </w:p>
    <w:p>
      <w:pPr>
        <w:keepNext/>
        <w:spacing w:before="200" w:after="80"/>
      </w:pPr>
      <w:r>
        <w:rPr>
          <w:rFonts w:ascii="Times New Roman" w:hAnsi="Times New Roman"/>
          <w:b/>
          <w:color w:val="1E3A8A"/>
          <w:sz w:val="26"/>
        </w:rPr>
        <w:t>3.1 System Architecture</w:t>
      </w:r>
    </w:p>
    <w:p>
      <w:pPr>
        <w:spacing w:before="0" w:after="120" w:line="300" w:lineRule="auto"/>
      </w:pPr>
      <w:r>
        <w:rPr>
          <w:rFonts w:ascii="Times New Roman" w:hAnsi="Times New Roman"/>
          <w:color w:val="1E293B"/>
          <w:sz w:val="22"/>
        </w:rPr>
        <w:t>SkillForge AI is engineered as a decoupled, multi-tier microservices ecosystem ensuring independent scalability, high resilience, and strict fault isolation across evaluation, orchestration, and presentation layers.</w:t>
      </w:r>
    </w:p>
    <w:p>
      <w:pPr>
        <w:spacing w:before="160" w:after="40"/>
        <w:jc w:val="center"/>
      </w:pPr>
      <w:r>
        <w:drawing>
          <wp:inline xmlns:a="http://schemas.openxmlformats.org/drawingml/2006/main" xmlns:pic="http://schemas.openxmlformats.org/drawingml/2006/picture">
            <wp:extent cx="5486400" cy="3269673"/>
            <wp:docPr id="1" name="Picture 1"/>
            <wp:cNvGraphicFramePr>
              <a:graphicFrameLocks noChangeAspect="1"/>
            </wp:cNvGraphicFramePr>
            <a:graphic>
              <a:graphicData uri="http://schemas.openxmlformats.org/drawingml/2006/picture">
                <pic:pic>
                  <pic:nvPicPr>
                    <pic:cNvPr id="0" name="fig3_1_architecture.png"/>
                    <pic:cNvPicPr/>
                  </pic:nvPicPr>
                  <pic:blipFill>
                    <a:blip r:embed="rId9"/>
                    <a:stretch>
                      <a:fillRect/>
                    </a:stretch>
                  </pic:blipFill>
                  <pic:spPr>
                    <a:xfrm>
                      <a:off x="0" y="0"/>
                      <a:ext cx="5486400" cy="3269673"/>
                    </a:xfrm>
                    <a:prstGeom prst="rect"/>
                  </pic:spPr>
                </pic:pic>
              </a:graphicData>
            </a:graphic>
          </wp:inline>
        </w:drawing>
      </w:r>
    </w:p>
    <w:p>
      <w:pPr>
        <w:spacing w:before="40" w:after="200"/>
        <w:jc w:val="center"/>
      </w:pPr>
      <w:r>
        <w:rPr>
          <w:rFonts w:ascii="Times New Roman" w:hAnsi="Times New Roman"/>
          <w:b/>
          <w:i/>
          <w:color w:val="475569"/>
          <w:sz w:val="20"/>
        </w:rPr>
        <w:t>Figure 3.1: SkillForge AI Distributed Microservice Architecture</w:t>
      </w:r>
    </w:p>
    <w:p>
      <w:pPr>
        <w:spacing w:before="0" w:after="120" w:line="300" w:lineRule="auto"/>
      </w:pPr>
      <w:r>
        <w:rPr>
          <w:rFonts w:ascii="Times New Roman" w:hAnsi="Times New Roman"/>
          <w:color w:val="1E293B"/>
          <w:sz w:val="22"/>
        </w:rPr>
        <w:t>As illustrated in Figure 3.1, the system architecture consists of three principal tiers:</w:t>
      </w:r>
    </w:p>
    <w:p>
      <w:pPr>
        <w:pStyle w:val="ListBullet"/>
        <w:spacing w:before="0" w:after="60" w:line="288" w:lineRule="auto"/>
      </w:pPr>
      <w:r>
        <w:rPr>
          <w:rFonts w:ascii="Times New Roman" w:hAnsi="Times New Roman"/>
          <w:b/>
          <w:sz w:val="22"/>
        </w:rPr>
        <w:t>1. Presentation Tier (Port 3000):</w:t>
      </w:r>
      <w:r>
        <w:rPr>
          <w:rFonts w:ascii="Times New Roman" w:hAnsi="Times New Roman"/>
          <w:color w:val="1E293B"/>
          <w:sz w:val="22"/>
        </w:rPr>
        <w:t xml:space="preserve"> Built with React 18 and Vite, delivering dynamic glassmorphic dashboards for students, teachers, and administrators with zero page reloads.</w:t>
      </w:r>
    </w:p>
    <w:p>
      <w:pPr>
        <w:pStyle w:val="ListBullet"/>
        <w:spacing w:before="0" w:after="60" w:line="288" w:lineRule="auto"/>
      </w:pPr>
      <w:r>
        <w:rPr>
          <w:rFonts w:ascii="Times New Roman" w:hAnsi="Times New Roman"/>
          <w:b/>
          <w:sz w:val="22"/>
        </w:rPr>
        <w:t>2. Application Gateway &amp; Core Backend (Port 5000):</w:t>
      </w:r>
      <w:r>
        <w:rPr>
          <w:rFonts w:ascii="Times New Roman" w:hAnsi="Times New Roman"/>
          <w:color w:val="1E293B"/>
          <w:sz w:val="22"/>
        </w:rPr>
        <w:t xml:space="preserve"> Implemented in Node.js and Express.js, handling JWT authentication, role-based authorization (RBAC), RAG document chunking, in-memory TF-IDF semantic vector indexing, and double-blind identity hashing.</w:t>
      </w:r>
    </w:p>
    <w:p>
      <w:pPr>
        <w:pStyle w:val="ListBullet"/>
        <w:spacing w:before="0" w:after="60" w:line="288" w:lineRule="auto"/>
      </w:pPr>
      <w:r>
        <w:rPr>
          <w:rFonts w:ascii="Times New Roman" w:hAnsi="Times New Roman"/>
          <w:b/>
          <w:sz w:val="22"/>
        </w:rPr>
        <w:t>3. Specialized Services &amp; Persistence Tier:</w:t>
      </w:r>
      <w:r>
        <w:rPr>
          <w:rFonts w:ascii="Times New Roman" w:hAnsi="Times New Roman"/>
          <w:color w:val="1E293B"/>
          <w:sz w:val="22"/>
        </w:rPr>
        <w:t xml:space="preserve"> Consists of the Python FastAPI FairGrade grading engine (Port 8000), Google Gemini 2.0 Flash LLM cloud, Judge0 containerized code execution sandboxes, and a Supabase PostgreSQL transactional database.</w:t>
      </w:r>
    </w:p>
    <w:p>
      <w:pPr>
        <w:keepNext/>
        <w:spacing w:before="200" w:after="80"/>
      </w:pPr>
      <w:r>
        <w:rPr>
          <w:rFonts w:ascii="Times New Roman" w:hAnsi="Times New Roman"/>
          <w:b/>
          <w:color w:val="1E3A8A"/>
          <w:sz w:val="26"/>
        </w:rPr>
        <w:t>3.2 Methodology</w:t>
      </w:r>
    </w:p>
    <w:p>
      <w:pPr>
        <w:spacing w:before="0" w:after="120" w:line="300" w:lineRule="auto"/>
      </w:pPr>
      <w:r>
        <w:rPr>
          <w:rFonts w:ascii="Times New Roman" w:hAnsi="Times New Roman"/>
          <w:color w:val="1E293B"/>
          <w:sz w:val="22"/>
        </w:rPr>
        <w:t>The engineering of SkillForge AI followed an Agile Microservice Development Lifecycle organized across distinct iterative phases: Domain Modeling and Database Migrations, Microservice Isolation (FastAPI &amp; Express), RAG Vector Pipeline Construction, Automated Code Sandboxing Integration, and Multi-Role Dashboard Assembly.</w:t>
      </w:r>
    </w:p>
    <w:p>
      <w:pPr>
        <w:keepNext/>
        <w:spacing w:before="200" w:after="80"/>
      </w:pPr>
      <w:r>
        <w:rPr>
          <w:rFonts w:ascii="Times New Roman" w:hAnsi="Times New Roman"/>
          <w:b/>
          <w:color w:val="1E3A8A"/>
          <w:sz w:val="26"/>
        </w:rPr>
        <w:t>3.3 Technologies Used (Python, ML models, tools, etc.)</w:t>
      </w:r>
    </w:p>
    <w:tbl>
      <w:tblPr>
        <w:tblW w:type="auto" w:w="0"/>
        <w:jc w:val="center"/>
        <w:tblLook w:firstColumn="1" w:firstRow="1" w:lastColumn="0" w:lastRow="0" w:noHBand="0" w:noVBand="1" w:val="04A0"/>
      </w:tblPr>
      <w:tblGrid>
        <w:gridCol w:w="2340"/>
        <w:gridCol w:w="2340"/>
        <w:gridCol w:w="2340"/>
        <w:gridCol w:w="2340"/>
      </w:tblGrid>
      <w:tr>
        <w:tc>
          <w:tcPr>
            <w:tcW w:type="dxa" w:w="2340"/>
            <w:shd w:fill="1E3A8A"/>
          </w:tcPr>
          <w:p>
            <w:r>
              <w:rPr>
                <w:rFonts w:ascii="Times New Roman" w:hAnsi="Times New Roman"/>
                <w:b/>
                <w:color w:val="FFFFFF"/>
                <w:sz w:val="19"/>
              </w:rPr>
              <w:t>Technology / Tool</w:t>
            </w:r>
          </w:p>
        </w:tc>
        <w:tc>
          <w:tcPr>
            <w:tcW w:type="dxa" w:w="2340"/>
            <w:shd w:fill="1E3A8A"/>
          </w:tcPr>
          <w:p>
            <w:r>
              <w:rPr>
                <w:rFonts w:ascii="Times New Roman" w:hAnsi="Times New Roman"/>
                <w:b/>
                <w:color w:val="FFFFFF"/>
                <w:sz w:val="19"/>
              </w:rPr>
              <w:t>Category</w:t>
            </w:r>
          </w:p>
        </w:tc>
        <w:tc>
          <w:tcPr>
            <w:tcW w:type="dxa" w:w="2340"/>
            <w:shd w:fill="1E3A8A"/>
          </w:tcPr>
          <w:p>
            <w:r>
              <w:rPr>
                <w:rFonts w:ascii="Times New Roman" w:hAnsi="Times New Roman"/>
                <w:b/>
                <w:color w:val="FFFFFF"/>
                <w:sz w:val="19"/>
              </w:rPr>
              <w:t>Version / Spec</w:t>
            </w:r>
          </w:p>
        </w:tc>
        <w:tc>
          <w:tcPr>
            <w:tcW w:type="dxa" w:w="2340"/>
            <w:shd w:fill="1E3A8A"/>
          </w:tcPr>
          <w:p>
            <w:r>
              <w:rPr>
                <w:rFonts w:ascii="Times New Roman" w:hAnsi="Times New Roman"/>
                <w:b/>
                <w:color w:val="FFFFFF"/>
                <w:sz w:val="19"/>
              </w:rPr>
              <w:t>Architectural Role</w:t>
            </w:r>
          </w:p>
        </w:tc>
      </w:tr>
      <w:tr>
        <w:tc>
          <w:tcPr>
            <w:tcW w:type="dxa" w:w="2340"/>
          </w:tcPr>
          <w:p>
            <w:r>
              <w:rPr>
                <w:rFonts w:ascii="Times New Roman" w:hAnsi="Times New Roman"/>
                <w:sz w:val="18"/>
              </w:rPr>
              <w:t>React 18 &amp; Vite</w:t>
            </w:r>
          </w:p>
        </w:tc>
        <w:tc>
          <w:tcPr>
            <w:tcW w:type="dxa" w:w="2340"/>
          </w:tcPr>
          <w:p>
            <w:r>
              <w:rPr>
                <w:rFonts w:ascii="Times New Roman" w:hAnsi="Times New Roman"/>
                <w:sz w:val="18"/>
              </w:rPr>
              <w:t>Frontend SPA</w:t>
            </w:r>
          </w:p>
        </w:tc>
        <w:tc>
          <w:tcPr>
            <w:tcW w:type="dxa" w:w="2340"/>
          </w:tcPr>
          <w:p>
            <w:r>
              <w:rPr>
                <w:rFonts w:ascii="Times New Roman" w:hAnsi="Times New Roman"/>
                <w:sz w:val="18"/>
              </w:rPr>
              <w:t>18.3.1 / 5.4.2</w:t>
            </w:r>
          </w:p>
        </w:tc>
        <w:tc>
          <w:tcPr>
            <w:tcW w:type="dxa" w:w="2340"/>
          </w:tcPr>
          <w:p>
            <w:r>
              <w:rPr>
                <w:rFonts w:ascii="Times New Roman" w:hAnsi="Times New Roman"/>
                <w:sz w:val="18"/>
              </w:rPr>
              <w:t>High-speed, reactive single-page client interface</w:t>
            </w:r>
          </w:p>
        </w:tc>
      </w:tr>
      <w:tr>
        <w:tc>
          <w:tcPr>
            <w:tcW w:type="dxa" w:w="2340"/>
            <w:shd w:fill="F8FAFC"/>
          </w:tcPr>
          <w:p>
            <w:r>
              <w:rPr>
                <w:rFonts w:ascii="Times New Roman" w:hAnsi="Times New Roman"/>
                <w:sz w:val="18"/>
              </w:rPr>
              <w:t>Node.js &amp; Express</w:t>
            </w:r>
          </w:p>
        </w:tc>
        <w:tc>
          <w:tcPr>
            <w:tcW w:type="dxa" w:w="2340"/>
            <w:shd w:fill="F8FAFC"/>
          </w:tcPr>
          <w:p>
            <w:r>
              <w:rPr>
                <w:rFonts w:ascii="Times New Roman" w:hAnsi="Times New Roman"/>
                <w:sz w:val="18"/>
              </w:rPr>
              <w:t>Backend Core</w:t>
            </w:r>
          </w:p>
        </w:tc>
        <w:tc>
          <w:tcPr>
            <w:tcW w:type="dxa" w:w="2340"/>
            <w:shd w:fill="F8FAFC"/>
          </w:tcPr>
          <w:p>
            <w:r>
              <w:rPr>
                <w:rFonts w:ascii="Times New Roman" w:hAnsi="Times New Roman"/>
                <w:sz w:val="18"/>
              </w:rPr>
              <w:t>18+ / 4.19.2</w:t>
            </w:r>
          </w:p>
        </w:tc>
        <w:tc>
          <w:tcPr>
            <w:tcW w:type="dxa" w:w="2340"/>
            <w:shd w:fill="F8FAFC"/>
          </w:tcPr>
          <w:p>
            <w:r>
              <w:rPr>
                <w:rFonts w:ascii="Times New Roman" w:hAnsi="Times New Roman"/>
                <w:sz w:val="18"/>
              </w:rPr>
              <w:t>Core business logic, JWT auth, RBAC, RAG pipeline</w:t>
            </w:r>
          </w:p>
        </w:tc>
      </w:tr>
      <w:tr>
        <w:tc>
          <w:tcPr>
            <w:tcW w:type="dxa" w:w="2340"/>
          </w:tcPr>
          <w:p>
            <w:r>
              <w:rPr>
                <w:rFonts w:ascii="Times New Roman" w:hAnsi="Times New Roman"/>
                <w:sz w:val="18"/>
              </w:rPr>
              <w:t>Python &amp; FastAPI</w:t>
            </w:r>
          </w:p>
        </w:tc>
        <w:tc>
          <w:tcPr>
            <w:tcW w:type="dxa" w:w="2340"/>
          </w:tcPr>
          <w:p>
            <w:r>
              <w:rPr>
                <w:rFonts w:ascii="Times New Roman" w:hAnsi="Times New Roman"/>
                <w:sz w:val="18"/>
              </w:rPr>
              <w:t>AI Evaluation</w:t>
            </w:r>
          </w:p>
        </w:tc>
        <w:tc>
          <w:tcPr>
            <w:tcW w:type="dxa" w:w="2340"/>
          </w:tcPr>
          <w:p>
            <w:r>
              <w:rPr>
                <w:rFonts w:ascii="Times New Roman" w:hAnsi="Times New Roman"/>
                <w:sz w:val="18"/>
              </w:rPr>
              <w:t>3.10 / 0.110.0</w:t>
            </w:r>
          </w:p>
        </w:tc>
        <w:tc>
          <w:tcPr>
            <w:tcW w:type="dxa" w:w="2340"/>
          </w:tcPr>
          <w:p>
            <w:r>
              <w:rPr>
                <w:rFonts w:ascii="Times New Roman" w:hAnsi="Times New Roman"/>
                <w:sz w:val="18"/>
              </w:rPr>
              <w:t>Typed FairGrade subjective rubric grading microservice</w:t>
            </w:r>
          </w:p>
        </w:tc>
      </w:tr>
      <w:tr>
        <w:tc>
          <w:tcPr>
            <w:tcW w:type="dxa" w:w="2340"/>
            <w:shd w:fill="F8FAFC"/>
          </w:tcPr>
          <w:p>
            <w:r>
              <w:rPr>
                <w:rFonts w:ascii="Times New Roman" w:hAnsi="Times New Roman"/>
                <w:sz w:val="18"/>
              </w:rPr>
              <w:t>Google Gemini 2.0 Flash</w:t>
            </w:r>
          </w:p>
        </w:tc>
        <w:tc>
          <w:tcPr>
            <w:tcW w:type="dxa" w:w="2340"/>
            <w:shd w:fill="F8FAFC"/>
          </w:tcPr>
          <w:p>
            <w:r>
              <w:rPr>
                <w:rFonts w:ascii="Times New Roman" w:hAnsi="Times New Roman"/>
                <w:sz w:val="18"/>
              </w:rPr>
              <w:t>LLM Model</w:t>
            </w:r>
          </w:p>
        </w:tc>
        <w:tc>
          <w:tcPr>
            <w:tcW w:type="dxa" w:w="2340"/>
            <w:shd w:fill="F8FAFC"/>
          </w:tcPr>
          <w:p>
            <w:r>
              <w:rPr>
                <w:rFonts w:ascii="Times New Roman" w:hAnsi="Times New Roman"/>
                <w:sz w:val="18"/>
              </w:rPr>
              <w:t>@google/genai</w:t>
            </w:r>
          </w:p>
        </w:tc>
        <w:tc>
          <w:tcPr>
            <w:tcW w:type="dxa" w:w="2340"/>
            <w:shd w:fill="F8FAFC"/>
          </w:tcPr>
          <w:p>
            <w:r>
              <w:rPr>
                <w:rFonts w:ascii="Times New Roman" w:hAnsi="Times New Roman"/>
                <w:sz w:val="18"/>
              </w:rPr>
              <w:t>Socratic tutoring, rubric evaluation, taxonomy extraction</w:t>
            </w:r>
          </w:p>
        </w:tc>
      </w:tr>
      <w:tr>
        <w:tc>
          <w:tcPr>
            <w:tcW w:type="dxa" w:w="2340"/>
          </w:tcPr>
          <w:p>
            <w:r>
              <w:rPr>
                <w:rFonts w:ascii="Times New Roman" w:hAnsi="Times New Roman"/>
                <w:sz w:val="18"/>
              </w:rPr>
              <w:t>PostgreSQL / Supabase</w:t>
            </w:r>
          </w:p>
        </w:tc>
        <w:tc>
          <w:tcPr>
            <w:tcW w:type="dxa" w:w="2340"/>
          </w:tcPr>
          <w:p>
            <w:r>
              <w:rPr>
                <w:rFonts w:ascii="Times New Roman" w:hAnsi="Times New Roman"/>
                <w:sz w:val="18"/>
              </w:rPr>
              <w:t>Database</w:t>
            </w:r>
          </w:p>
        </w:tc>
        <w:tc>
          <w:tcPr>
            <w:tcW w:type="dxa" w:w="2340"/>
          </w:tcPr>
          <w:p>
            <w:r>
              <w:rPr>
                <w:rFonts w:ascii="Times New Roman" w:hAnsi="Times New Roman"/>
                <w:sz w:val="18"/>
              </w:rPr>
              <w:t>PostgreSQL 15.1</w:t>
            </w:r>
          </w:p>
        </w:tc>
        <w:tc>
          <w:tcPr>
            <w:tcW w:type="dxa" w:w="2340"/>
          </w:tcPr>
          <w:p>
            <w:r>
              <w:rPr>
                <w:rFonts w:ascii="Times New Roman" w:hAnsi="Times New Roman"/>
                <w:sz w:val="18"/>
              </w:rPr>
              <w:t>ACID transactional relational data persistence</w:t>
            </w:r>
          </w:p>
        </w:tc>
      </w:tr>
      <w:tr>
        <w:tc>
          <w:tcPr>
            <w:tcW w:type="dxa" w:w="2340"/>
            <w:shd w:fill="F8FAFC"/>
          </w:tcPr>
          <w:p>
            <w:r>
              <w:rPr>
                <w:rFonts w:ascii="Times New Roman" w:hAnsi="Times New Roman"/>
                <w:sz w:val="18"/>
              </w:rPr>
              <w:t>Judge0 Cloud CE</w:t>
            </w:r>
          </w:p>
        </w:tc>
        <w:tc>
          <w:tcPr>
            <w:tcW w:type="dxa" w:w="2340"/>
            <w:shd w:fill="F8FAFC"/>
          </w:tcPr>
          <w:p>
            <w:r>
              <w:rPr>
                <w:rFonts w:ascii="Times New Roman" w:hAnsi="Times New Roman"/>
                <w:sz w:val="18"/>
              </w:rPr>
              <w:t>Code Sandbox</w:t>
            </w:r>
          </w:p>
        </w:tc>
        <w:tc>
          <w:tcPr>
            <w:tcW w:type="dxa" w:w="2340"/>
            <w:shd w:fill="F8FAFC"/>
          </w:tcPr>
          <w:p>
            <w:r>
              <w:rPr>
                <w:rFonts w:ascii="Times New Roman" w:hAnsi="Times New Roman"/>
                <w:sz w:val="18"/>
              </w:rPr>
              <w:t>v1.14.0 API</w:t>
            </w:r>
          </w:p>
        </w:tc>
        <w:tc>
          <w:tcPr>
            <w:tcW w:type="dxa" w:w="2340"/>
            <w:shd w:fill="F8FAFC"/>
          </w:tcPr>
          <w:p>
            <w:r>
              <w:rPr>
                <w:rFonts w:ascii="Times New Roman" w:hAnsi="Times New Roman"/>
                <w:sz w:val="18"/>
              </w:rPr>
              <w:t>Multi-language isolated runtime code autograding</w:t>
            </w:r>
          </w:p>
        </w:tc>
      </w:tr>
      <w:tr>
        <w:tc>
          <w:tcPr>
            <w:tcW w:type="dxa" w:w="2340"/>
          </w:tcPr>
          <w:p>
            <w:r>
              <w:rPr>
                <w:rFonts w:ascii="Times New Roman" w:hAnsi="Times New Roman"/>
                <w:sz w:val="18"/>
              </w:rPr>
              <w:t>bcryptjs &amp; JWT</w:t>
            </w:r>
          </w:p>
        </w:tc>
        <w:tc>
          <w:tcPr>
            <w:tcW w:type="dxa" w:w="2340"/>
          </w:tcPr>
          <w:p>
            <w:r>
              <w:rPr>
                <w:rFonts w:ascii="Times New Roman" w:hAnsi="Times New Roman"/>
                <w:sz w:val="18"/>
              </w:rPr>
              <w:t>Security</w:t>
            </w:r>
          </w:p>
        </w:tc>
        <w:tc>
          <w:tcPr>
            <w:tcW w:type="dxa" w:w="2340"/>
          </w:tcPr>
          <w:p>
            <w:r>
              <w:rPr>
                <w:rFonts w:ascii="Times New Roman" w:hAnsi="Times New Roman"/>
                <w:sz w:val="18"/>
              </w:rPr>
              <w:t>24h Expiry</w:t>
            </w:r>
          </w:p>
        </w:tc>
        <w:tc>
          <w:tcPr>
            <w:tcW w:type="dxa" w:w="2340"/>
          </w:tcPr>
          <w:p>
            <w:r>
              <w:rPr>
                <w:rFonts w:ascii="Times New Roman" w:hAnsi="Times New Roman"/>
                <w:sz w:val="18"/>
              </w:rPr>
              <w:t>Stateless authentication and cryptographic password hashing</w:t>
            </w:r>
          </w:p>
        </w:tc>
      </w:tr>
    </w:tbl>
    <w:p>
      <w:pPr>
        <w:keepNext/>
        <w:spacing w:before="200" w:after="80"/>
      </w:pPr>
      <w:r>
        <w:rPr>
          <w:rFonts w:ascii="Times New Roman" w:hAnsi="Times New Roman"/>
          <w:b/>
          <w:color w:val="1E3A8A"/>
          <w:sz w:val="26"/>
        </w:rPr>
        <w:t>3.4 Data Preprocessing &amp; Anonymization</w:t>
      </w:r>
    </w:p>
    <w:p>
      <w:pPr>
        <w:spacing w:before="0" w:after="120" w:line="300" w:lineRule="auto"/>
      </w:pPr>
      <w:r>
        <w:rPr>
          <w:rFonts w:ascii="Times New Roman" w:hAnsi="Times New Roman"/>
          <w:color w:val="1E293B"/>
          <w:sz w:val="22"/>
        </w:rPr>
        <w:t>1. Document Ingestion &amp; Chunking: Uploaded classroom documents and syllabi (PDF/Text) are processed through `pdf-parse`, split into overlapping 500-token semantic chunks, and transformed into indexed TF-IDF vector representations with cosine similarity retrieval.</w:t>
      </w:r>
    </w:p>
    <w:p>
      <w:pPr>
        <w:spacing w:before="0" w:after="120" w:line="300" w:lineRule="auto"/>
      </w:pPr>
      <w:r>
        <w:rPr>
          <w:rFonts w:ascii="Times New Roman" w:hAnsi="Times New Roman"/>
          <w:color w:val="1E293B"/>
          <w:sz w:val="22"/>
        </w:rPr>
        <w:t>2. Double-Blind Anonymization: Prior to grading, the Anonymizer service generates an ephemeral cryptographic hash (`anon_submission_id`) and strips all identifying tokens (e.g., student name, roll numbers, email addresses) from the submission before it reaches the AI evaluator.</w:t>
      </w:r>
    </w:p>
    <w:p>
      <w:pPr>
        <w:keepNext/>
        <w:spacing w:before="200" w:after="80"/>
      </w:pPr>
      <w:r>
        <w:rPr>
          <w:rFonts w:ascii="Times New Roman" w:hAnsi="Times New Roman"/>
          <w:b/>
          <w:color w:val="1E3A8A"/>
          <w:sz w:val="26"/>
        </w:rPr>
        <w:t>3.5 Model Used</w:t>
      </w:r>
    </w:p>
    <w:p>
      <w:pPr>
        <w:spacing w:before="0" w:after="120" w:line="300" w:lineRule="auto"/>
      </w:pPr>
      <w:r>
        <w:rPr>
          <w:rFonts w:ascii="Times New Roman" w:hAnsi="Times New Roman"/>
          <w:color w:val="1E293B"/>
          <w:sz w:val="22"/>
        </w:rPr>
        <w:t>• Google Gemini 2.0 Flash: Chosen for its state-of-the-art reasoning capabilities, sub-second token generation speeds, and high adherence to JSON structured output schemas.</w:t>
      </w:r>
    </w:p>
    <w:p>
      <w:pPr>
        <w:spacing w:before="0" w:after="120" w:line="300" w:lineRule="auto"/>
      </w:pPr>
      <w:r>
        <w:rPr>
          <w:rFonts w:ascii="Times New Roman" w:hAnsi="Times New Roman"/>
          <w:color w:val="1E293B"/>
          <w:sz w:val="22"/>
        </w:rPr>
        <w:t>• Dual-Pass Consistency Engine: Submissions are evaluated across two separate inference passes with criteria ordering shuffled. If the criterion score variance exceeds 10%, the submission is flagged for human faculty audit.</w:t>
      </w:r>
    </w:p>
    <w:p>
      <w:pPr>
        <w:keepNext/>
        <w:spacing w:before="200" w:after="80"/>
      </w:pPr>
      <w:r>
        <w:rPr>
          <w:rFonts w:ascii="Times New Roman" w:hAnsi="Times New Roman"/>
          <w:b/>
          <w:color w:val="1E3A8A"/>
          <w:sz w:val="26"/>
        </w:rPr>
        <w:t>3.6 Entity-Relationship (ER) Diagram</w:t>
      </w:r>
    </w:p>
    <w:p>
      <w:pPr>
        <w:spacing w:before="160" w:after="40"/>
        <w:jc w:val="center"/>
      </w:pPr>
      <w:r>
        <w:drawing>
          <wp:inline xmlns:a="http://schemas.openxmlformats.org/drawingml/2006/main" xmlns:pic="http://schemas.openxmlformats.org/drawingml/2006/picture">
            <wp:extent cx="5486400" cy="3546764"/>
            <wp:docPr id="2" name="Picture 2"/>
            <wp:cNvGraphicFramePr>
              <a:graphicFrameLocks noChangeAspect="1"/>
            </wp:cNvGraphicFramePr>
            <a:graphic>
              <a:graphicData uri="http://schemas.openxmlformats.org/drawingml/2006/picture">
                <pic:pic>
                  <pic:nvPicPr>
                    <pic:cNvPr id="0" name="fig3_4_er_diagram.png"/>
                    <pic:cNvPicPr/>
                  </pic:nvPicPr>
                  <pic:blipFill>
                    <a:blip r:embed="rId10"/>
                    <a:stretch>
                      <a:fillRect/>
                    </a:stretch>
                  </pic:blipFill>
                  <pic:spPr>
                    <a:xfrm>
                      <a:off x="0" y="0"/>
                      <a:ext cx="5486400" cy="3546764"/>
                    </a:xfrm>
                    <a:prstGeom prst="rect"/>
                  </pic:spPr>
                </pic:pic>
              </a:graphicData>
            </a:graphic>
          </wp:inline>
        </w:drawing>
      </w:r>
    </w:p>
    <w:p>
      <w:pPr>
        <w:spacing w:before="40" w:after="200"/>
        <w:jc w:val="center"/>
      </w:pPr>
      <w:r>
        <w:rPr>
          <w:rFonts w:ascii="Times New Roman" w:hAnsi="Times New Roman"/>
          <w:b/>
          <w:i/>
          <w:color w:val="475569"/>
          <w:sz w:val="20"/>
        </w:rPr>
        <w:t>Figure 3.4: SkillForge AI Relational Entity-Relationship (ER) Schema</w:t>
      </w:r>
    </w:p>
    <w:p>
      <w:pPr>
        <w:keepNext/>
        <w:spacing w:before="200" w:after="80"/>
      </w:pPr>
      <w:r>
        <w:rPr>
          <w:rFonts w:ascii="Times New Roman" w:hAnsi="Times New Roman"/>
          <w:b/>
          <w:color w:val="1E3A8A"/>
          <w:sz w:val="26"/>
        </w:rPr>
        <w:t>3.7 System Use Case Model</w:t>
      </w:r>
    </w:p>
    <w:p>
      <w:pPr>
        <w:spacing w:before="160" w:after="40"/>
        <w:jc w:val="center"/>
      </w:pPr>
      <w:r>
        <w:drawing>
          <wp:inline xmlns:a="http://schemas.openxmlformats.org/drawingml/2006/main" xmlns:pic="http://schemas.openxmlformats.org/drawingml/2006/picture">
            <wp:extent cx="5486400" cy="3546764"/>
            <wp:docPr id="3" name="Picture 3"/>
            <wp:cNvGraphicFramePr>
              <a:graphicFrameLocks noChangeAspect="1"/>
            </wp:cNvGraphicFramePr>
            <a:graphic>
              <a:graphicData uri="http://schemas.openxmlformats.org/drawingml/2006/picture">
                <pic:pic>
                  <pic:nvPicPr>
                    <pic:cNvPr id="0" name="fig3_2_usecase.png"/>
                    <pic:cNvPicPr/>
                  </pic:nvPicPr>
                  <pic:blipFill>
                    <a:blip r:embed="rId11"/>
                    <a:stretch>
                      <a:fillRect/>
                    </a:stretch>
                  </pic:blipFill>
                  <pic:spPr>
                    <a:xfrm>
                      <a:off x="0" y="0"/>
                      <a:ext cx="5486400" cy="3546764"/>
                    </a:xfrm>
                    <a:prstGeom prst="rect"/>
                  </pic:spPr>
                </pic:pic>
              </a:graphicData>
            </a:graphic>
          </wp:inline>
        </w:drawing>
      </w:r>
    </w:p>
    <w:p>
      <w:pPr>
        <w:spacing w:before="40" w:after="200"/>
        <w:jc w:val="center"/>
      </w:pPr>
      <w:r>
        <w:rPr>
          <w:rFonts w:ascii="Times New Roman" w:hAnsi="Times New Roman"/>
          <w:b/>
          <w:i/>
          <w:color w:val="475569"/>
          <w:sz w:val="20"/>
        </w:rPr>
        <w:t>Figure 3.2: SkillForge AI System Use Case Model</w:t>
      </w:r>
    </w:p>
    <w:p>
      <w:pPr>
        <w:keepNext/>
        <w:spacing w:before="200" w:after="80"/>
      </w:pPr>
      <w:r>
        <w:rPr>
          <w:rFonts w:ascii="Times New Roman" w:hAnsi="Times New Roman"/>
          <w:b/>
          <w:color w:val="1E3A8A"/>
          <w:sz w:val="26"/>
        </w:rPr>
        <w:t>3.8 Data Flow Diagrams (DFD Level 0, 1, 2)</w:t>
      </w:r>
    </w:p>
    <w:p>
      <w:pPr>
        <w:spacing w:before="160" w:after="40"/>
        <w:jc w:val="center"/>
      </w:pPr>
      <w:r>
        <w:drawing>
          <wp:inline xmlns:a="http://schemas.openxmlformats.org/drawingml/2006/main" xmlns:pic="http://schemas.openxmlformats.org/drawingml/2006/picture">
            <wp:extent cx="5486400" cy="3269673"/>
            <wp:docPr id="4" name="Picture 4"/>
            <wp:cNvGraphicFramePr>
              <a:graphicFrameLocks noChangeAspect="1"/>
            </wp:cNvGraphicFramePr>
            <a:graphic>
              <a:graphicData uri="http://schemas.openxmlformats.org/drawingml/2006/picture">
                <pic:pic>
                  <pic:nvPicPr>
                    <pic:cNvPr id="0" name="fig3_3_dfd.png"/>
                    <pic:cNvPicPr/>
                  </pic:nvPicPr>
                  <pic:blipFill>
                    <a:blip r:embed="rId12"/>
                    <a:stretch>
                      <a:fillRect/>
                    </a:stretch>
                  </pic:blipFill>
                  <pic:spPr>
                    <a:xfrm>
                      <a:off x="0" y="0"/>
                      <a:ext cx="5486400" cy="3269673"/>
                    </a:xfrm>
                    <a:prstGeom prst="rect"/>
                  </pic:spPr>
                </pic:pic>
              </a:graphicData>
            </a:graphic>
          </wp:inline>
        </w:drawing>
      </w:r>
    </w:p>
    <w:p>
      <w:pPr>
        <w:spacing w:before="40" w:after="200"/>
        <w:jc w:val="center"/>
      </w:pPr>
      <w:r>
        <w:rPr>
          <w:rFonts w:ascii="Times New Roman" w:hAnsi="Times New Roman"/>
          <w:b/>
          <w:i/>
          <w:color w:val="475569"/>
          <w:sz w:val="20"/>
        </w:rPr>
        <w:t>Figure 3.3: SkillForge AI Level 1 Data Flow Diagram (DFD)</w:t>
      </w:r>
    </w:p>
    <w:p>
      <w:r>
        <w:br w:type="page"/>
      </w:r>
    </w:p>
    <w:p>
      <w:pPr>
        <w:keepNext/>
        <w:spacing w:before="280" w:after="120"/>
      </w:pPr>
      <w:r>
        <w:rPr>
          <w:rFonts w:ascii="Times New Roman" w:hAnsi="Times New Roman"/>
          <w:b/>
          <w:color w:val="0F172A"/>
          <w:sz w:val="30"/>
        </w:rPr>
        <w:t>4. Chapter-4: Implementation and Result Analysis</w:t>
      </w:r>
    </w:p>
    <w:p>
      <w:pPr>
        <w:keepNext/>
        <w:spacing w:before="200" w:after="80"/>
      </w:pPr>
      <w:r>
        <w:rPr>
          <w:rFonts w:ascii="Times New Roman" w:hAnsi="Times New Roman"/>
          <w:b/>
          <w:color w:val="1E3A8A"/>
          <w:sz w:val="26"/>
        </w:rPr>
        <w:t>4.1 Module Description</w:t>
      </w:r>
    </w:p>
    <w:p>
      <w:pPr>
        <w:pStyle w:val="ListBullet"/>
        <w:spacing w:before="0" w:after="60" w:line="288" w:lineRule="auto"/>
      </w:pPr>
      <w:r>
        <w:rPr>
          <w:rFonts w:ascii="Times New Roman" w:hAnsi="Times New Roman"/>
          <w:b/>
          <w:sz w:val="22"/>
        </w:rPr>
        <w:t>1. Authentication &amp; RBAC Module:</w:t>
      </w:r>
      <w:r>
        <w:rPr>
          <w:rFonts w:ascii="Times New Roman" w:hAnsi="Times New Roman"/>
          <w:color w:val="1E293B"/>
          <w:sz w:val="22"/>
        </w:rPr>
        <w:t xml:space="preserve"> Handles user registration, password hashing via bcryptjs, and stateless JWT token issuance with roles: ADMIN, TEACHER, and STUDENT.</w:t>
      </w:r>
    </w:p>
    <w:p>
      <w:pPr>
        <w:pStyle w:val="ListBullet"/>
        <w:spacing w:before="0" w:after="60" w:line="288" w:lineRule="auto"/>
      </w:pPr>
      <w:r>
        <w:rPr>
          <w:rFonts w:ascii="Times New Roman" w:hAnsi="Times New Roman"/>
          <w:b/>
          <w:sz w:val="22"/>
        </w:rPr>
        <w:t>2. FairGrade Evaluation Engine:</w:t>
      </w:r>
      <w:r>
        <w:rPr>
          <w:rFonts w:ascii="Times New Roman" w:hAnsi="Times New Roman"/>
          <w:color w:val="1E293B"/>
          <w:sz w:val="22"/>
        </w:rPr>
        <w:t xml:space="preserve"> Standalone FastAPI microservice providing endpoints for rubric validation, multi-pass grading, confidence scoring, and constructive feedback generation.</w:t>
      </w:r>
    </w:p>
    <w:p>
      <w:pPr>
        <w:pStyle w:val="ListBullet"/>
        <w:spacing w:before="0" w:after="60" w:line="288" w:lineRule="auto"/>
      </w:pPr>
      <w:r>
        <w:rPr>
          <w:rFonts w:ascii="Times New Roman" w:hAnsi="Times New Roman"/>
          <w:b/>
          <w:sz w:val="22"/>
        </w:rPr>
        <w:t>3. RAG Knowledge Ingestion &amp; Socratic Tutor:</w:t>
      </w:r>
      <w:r>
        <w:rPr>
          <w:rFonts w:ascii="Times New Roman" w:hAnsi="Times New Roman"/>
          <w:color w:val="1E293B"/>
          <w:sz w:val="22"/>
        </w:rPr>
        <w:t xml:space="preserve"> Ingests course documents, creates chunked vector indexes, and powers the Socratic chatbot that guides learners through targeted questions.</w:t>
      </w:r>
    </w:p>
    <w:p>
      <w:pPr>
        <w:pStyle w:val="ListBullet"/>
        <w:spacing w:before="0" w:after="60" w:line="288" w:lineRule="auto"/>
      </w:pPr>
      <w:r>
        <w:rPr>
          <w:rFonts w:ascii="Times New Roman" w:hAnsi="Times New Roman"/>
          <w:b/>
          <w:sz w:val="22"/>
        </w:rPr>
        <w:t>4. Judge0 Code Sandbox Autograder:</w:t>
      </w:r>
      <w:r>
        <w:rPr>
          <w:rFonts w:ascii="Times New Roman" w:hAnsi="Times New Roman"/>
          <w:color w:val="1E293B"/>
          <w:sz w:val="22"/>
        </w:rPr>
        <w:t xml:space="preserve"> Communicates with Judge0 REST APIs to run student code against test cases in isolated environments.</w:t>
      </w:r>
    </w:p>
    <w:p>
      <w:pPr>
        <w:pStyle w:val="ListBullet"/>
        <w:spacing w:before="0" w:after="60" w:line="288" w:lineRule="auto"/>
      </w:pPr>
      <w:r>
        <w:rPr>
          <w:rFonts w:ascii="Times New Roman" w:hAnsi="Times New Roman"/>
          <w:b/>
          <w:sz w:val="22"/>
        </w:rPr>
        <w:t>5. Teacher Intervention Center:</w:t>
      </w:r>
      <w:r>
        <w:rPr>
          <w:rFonts w:ascii="Times New Roman" w:hAnsi="Times New Roman"/>
          <w:color w:val="1E293B"/>
          <w:sz w:val="22"/>
        </w:rPr>
        <w:t xml:space="preserve"> Calculates topic mastery percentages, identifies at-risk students, and enables teachers to generate remediation materials.</w:t>
      </w:r>
    </w:p>
    <w:p>
      <w:pPr>
        <w:keepNext/>
        <w:spacing w:before="200" w:after="80"/>
      </w:pPr>
      <w:r>
        <w:rPr>
          <w:rFonts w:ascii="Times New Roman" w:hAnsi="Times New Roman"/>
          <w:b/>
          <w:color w:val="1E3A8A"/>
          <w:sz w:val="26"/>
        </w:rPr>
        <w:t>4.2 Code Snippets (Important Parts Only)</w:t>
      </w:r>
    </w:p>
    <w:p>
      <w:pPr>
        <w:keepNext/>
        <w:spacing w:before="120" w:after="40"/>
      </w:pPr>
      <w:r>
        <w:rPr>
          <w:rFonts w:ascii="Times New Roman" w:hAnsi="Times New Roman"/>
          <w:b/>
          <w:i/>
          <w:color w:val="334155"/>
          <w:sz w:val="24"/>
        </w:rPr>
        <w:t>Code Snippet 1: FairGrade Evaluation Engine (Python / FastAPI)</w:t>
      </w:r>
    </w:p>
    <w:tbl>
      <w:tblPr>
        <w:tblW w:type="auto" w:w="0"/>
        <w:jc w:val="center"/>
        <w:tblLook w:firstColumn="1" w:firstRow="1" w:lastColumn="0" w:lastRow="0" w:noHBand="0" w:noVBand="1" w:val="04A0"/>
      </w:tblPr>
      <w:tblGrid>
        <w:gridCol w:w="9360"/>
      </w:tblGrid>
      <w:tr>
        <w:tc>
          <w:tcPr>
            <w:tcW w:type="dxa" w:w="9360"/>
            <w:shd w:fill="F1F5F9"/>
          </w:tcPr>
          <w:p>
            <w:pPr>
              <w:spacing w:before="80" w:after="80" w:line="276" w:lineRule="auto"/>
            </w:pPr>
            <w:r>
              <w:rPr>
                <w:rFonts w:ascii="Consolas" w:hAnsi="Consolas"/>
                <w:color w:val="0F172A"/>
                <w:sz w:val="18"/>
              </w:rPr>
              <w:t># fairgrade-service/app/grading/written_evaluator.py</w:t>
              <w:br/>
              <w:t>async def evaluate_written_submission(</w:t>
              <w:br/>
              <w:t xml:space="preserve">    question_text: str,</w:t>
              <w:br/>
              <w:t xml:space="preserve">    sample_solution: str,</w:t>
              <w:br/>
              <w:t xml:space="preserve">    rubric: List[RubricCriterion],</w:t>
              <w:br/>
              <w:t xml:space="preserve">    student_answer: str</w:t>
              <w:br/>
              <w:t>) -&gt; GradeReport:</w:t>
              <w:br/>
              <w:t xml:space="preserve">    prompt = build_fairgrade_prompt(</w:t>
              <w:br/>
              <w:t xml:space="preserve">        question=question_text,</w:t>
              <w:br/>
              <w:t xml:space="preserve">        solution=sample_solution,</w:t>
              <w:br/>
              <w:t xml:space="preserve">        rubric=rubric,</w:t>
              <w:br/>
              <w:t xml:space="preserve">        answer=student_answer</w:t>
              <w:br/>
              <w:t xml:space="preserve">    )</w:t>
              <w:br/>
              <w:t xml:space="preserve">    </w:t>
              <w:br/>
              <w:t xml:space="preserve">    response = await call_gemini_api(prompt, response_schema=GradeReportSchema)</w:t>
              <w:br/>
              <w:t xml:space="preserve">    grade_report = parse_and_validate(response)</w:t>
              <w:br/>
              <w:t xml:space="preserve">    grade_report.confidence_score = compute_confidence_metric(grade_report)</w:t>
              <w:br/>
              <w:t xml:space="preserve">    return grade_report</w:t>
              <w:br/>
            </w:r>
          </w:p>
        </w:tc>
      </w:tr>
    </w:tbl>
    <w:p>
      <w:pPr>
        <w:spacing w:after="80"/>
      </w:pPr>
    </w:p>
    <w:p>
      <w:pPr>
        <w:keepNext/>
        <w:spacing w:before="120" w:after="40"/>
      </w:pPr>
      <w:r>
        <w:rPr>
          <w:rFonts w:ascii="Times New Roman" w:hAnsi="Times New Roman"/>
          <w:b/>
          <w:i/>
          <w:color w:val="334155"/>
          <w:sz w:val="24"/>
        </w:rPr>
        <w:t>Code Snippet 2: Double-Blind Identity Anonymization (Node.js)</w:t>
      </w:r>
    </w:p>
    <w:tbl>
      <w:tblPr>
        <w:tblW w:type="auto" w:w="0"/>
        <w:jc w:val="center"/>
        <w:tblLook w:firstColumn="1" w:firstRow="1" w:lastColumn="0" w:lastRow="0" w:noHBand="0" w:noVBand="1" w:val="04A0"/>
      </w:tblPr>
      <w:tblGrid>
        <w:gridCol w:w="9360"/>
      </w:tblGrid>
      <w:tr>
        <w:tc>
          <w:tcPr>
            <w:tcW w:type="dxa" w:w="9360"/>
            <w:shd w:fill="F1F5F9"/>
          </w:tcPr>
          <w:p>
            <w:pPr>
              <w:spacing w:before="80" w:after="80" w:line="276" w:lineRule="auto"/>
            </w:pPr>
            <w:r>
              <w:rPr>
                <w:rFonts w:ascii="Consolas" w:hAnsi="Consolas"/>
                <w:color w:val="0F172A"/>
                <w:sz w:val="18"/>
              </w:rPr>
              <w:t>// backend-core/src/services/anonymizer.service.js</w:t>
              <w:br/>
              <w:t>class AnonymizerService {</w:t>
              <w:br/>
              <w:t xml:space="preserve">  static anonymizeSubmission(submissionId, studentId, rawText) {</w:t>
              <w:br/>
              <w:t xml:space="preserve">    const anonToken = 'ANON-' + crypto.randomBytes(8).toString('hex');</w:t>
              <w:br/>
              <w:t xml:space="preserve">    const sanitizedText = rawText</w:t>
              <w:br/>
              <w:t xml:space="preserve">      .replace(/[A-Z0-9._%+-]+@[A-Z0-9.-]+\.[A-Z]{2,}/gi, '[EMAIL_REDACTED]')</w:t>
              <w:br/>
              <w:t xml:space="preserve">      .replace(/\b\d{7,10}\b/g, '[REG_NO_REDACTED]');</w:t>
              <w:br/>
              <w:t xml:space="preserve">      </w:t>
              <w:br/>
              <w:t xml:space="preserve">    return { anonToken, sanitizedText };</w:t>
              <w:br/>
              <w:t xml:space="preserve">  }</w:t>
              <w:br/>
              <w:t>}</w:t>
              <w:br/>
            </w:r>
          </w:p>
        </w:tc>
      </w:tr>
    </w:tbl>
    <w:p>
      <w:pPr>
        <w:spacing w:after="80"/>
      </w:pPr>
    </w:p>
    <w:p>
      <w:pPr>
        <w:keepNext/>
        <w:spacing w:before="120" w:after="40"/>
      </w:pPr>
      <w:r>
        <w:rPr>
          <w:rFonts w:ascii="Times New Roman" w:hAnsi="Times New Roman"/>
          <w:b/>
          <w:i/>
          <w:color w:val="334155"/>
          <w:sz w:val="24"/>
        </w:rPr>
        <w:t>Code Snippet 3: Judge0 Sandbox Execution (Node.js)</w:t>
      </w:r>
    </w:p>
    <w:tbl>
      <w:tblPr>
        <w:tblW w:type="auto" w:w="0"/>
        <w:jc w:val="center"/>
        <w:tblLook w:firstColumn="1" w:firstRow="1" w:lastColumn="0" w:lastRow="0" w:noHBand="0" w:noVBand="1" w:val="04A0"/>
      </w:tblPr>
      <w:tblGrid>
        <w:gridCol w:w="9360"/>
      </w:tblGrid>
      <w:tr>
        <w:tc>
          <w:tcPr>
            <w:tcW w:type="dxa" w:w="9360"/>
            <w:shd w:fill="F1F5F9"/>
          </w:tcPr>
          <w:p>
            <w:pPr>
              <w:spacing w:before="80" w:after="80" w:line="276" w:lineRule="auto"/>
            </w:pPr>
            <w:r>
              <w:rPr>
                <w:rFonts w:ascii="Consolas" w:hAnsi="Consolas"/>
                <w:color w:val="0F172A"/>
                <w:sz w:val="18"/>
              </w:rPr>
              <w:t>// backend-core/src/services/codeAutograder.service.js</w:t>
              <w:br/>
              <w:t>async function executeCodeAgainstTestCases(sourceCode, languageId, testCases) {</w:t>
              <w:br/>
              <w:t xml:space="preserve">  let passedCount = 0;</w:t>
              <w:br/>
              <w:t xml:space="preserve">  const results = [];</w:t>
              <w:br/>
              <w:br/>
              <w:t xml:space="preserve">  for (const test of testCases) {</w:t>
              <w:br/>
              <w:t xml:space="preserve">    const payload = {</w:t>
              <w:br/>
              <w:t xml:space="preserve">      source_code: Buffer.from(sourceCode).toString('base64'),</w:t>
              <w:br/>
              <w:t xml:space="preserve">      language_id: languageId,</w:t>
              <w:br/>
              <w:t xml:space="preserve">      stdin: Buffer.from(test.input).toString('base64'),</w:t>
              <w:br/>
              <w:t xml:space="preserve">      expected_output: Buffer.from(test.expected_output).toString('base64'),</w:t>
              <w:br/>
              <w:t xml:space="preserve">    };</w:t>
              <w:br/>
              <w:t xml:space="preserve">    </w:t>
              <w:br/>
              <w:t xml:space="preserve">    const response = await axios.post(`${JUDGE0_URL}/submissions?base64_encoded=true`, payload);</w:t>
              <w:br/>
              <w:t xml:space="preserve">    const execution = await pollJudge0Result(response.data.token);</w:t>
              <w:br/>
              <w:t xml:space="preserve">    </w:t>
              <w:br/>
              <w:t xml:space="preserve">    const passed = execution.status.id === 3;</w:t>
              <w:br/>
              <w:t xml:space="preserve">    if (passed) passedCount++;</w:t>
              <w:br/>
              <w:t xml:space="preserve">    results.push({ testName: test.name, passed, output: execution.stdout, isHidden: test.is_hidden });</w:t>
              <w:br/>
              <w:t xml:space="preserve">  }</w:t>
              <w:br/>
              <w:br/>
              <w:t xml:space="preserve">  return { totalScore: (passedCount / testCases.length) * 100, results };</w:t>
              <w:br/>
              <w:t>}</w:t>
              <w:br/>
            </w:r>
          </w:p>
        </w:tc>
      </w:tr>
    </w:tbl>
    <w:p>
      <w:pPr>
        <w:spacing w:after="80"/>
      </w:pPr>
    </w:p>
    <w:p>
      <w:pPr>
        <w:keepNext/>
        <w:spacing w:before="200" w:after="80"/>
      </w:pPr>
      <w:r>
        <w:rPr>
          <w:rFonts w:ascii="Times New Roman" w:hAnsi="Times New Roman"/>
          <w:b/>
          <w:color w:val="1E3A8A"/>
          <w:sz w:val="26"/>
        </w:rPr>
        <w:t>4.3 Tools &amp; Environment Setup</w:t>
      </w:r>
    </w:p>
    <w:p>
      <w:pPr>
        <w:spacing w:before="0" w:after="120" w:line="300" w:lineRule="auto"/>
      </w:pPr>
      <w:r>
        <w:rPr>
          <w:rFonts w:ascii="Times New Roman" w:hAnsi="Times New Roman"/>
          <w:color w:val="1E293B"/>
          <w:sz w:val="22"/>
        </w:rPr>
        <w:t>Development and deployment specifications:</w:t>
        <w:br/>
        <w:t>• Operating System: Windows 11 / Linux Ubuntu 22.04 LTS</w:t>
        <w:br/>
        <w:t>• Node.js Environment: Node.js v18.19.0 LTS and npm v10.2.3</w:t>
        <w:br/>
        <w:t>• Python Environment: Python 3.10.0 with FastAPI and Uvicorn</w:t>
        <w:br/>
        <w:t>• Database: Cloud PostgreSQL instance hosted on Supabase</w:t>
        <w:br/>
        <w:t>• AI Inference: Google Gemini 2.0 Flash API via authenticated credentials</w:t>
      </w:r>
    </w:p>
    <w:p>
      <w:pPr>
        <w:keepNext/>
        <w:spacing w:before="200" w:after="80"/>
      </w:pPr>
      <w:r>
        <w:rPr>
          <w:rFonts w:ascii="Times New Roman" w:hAnsi="Times New Roman"/>
          <w:b/>
          <w:color w:val="1E3A8A"/>
          <w:sz w:val="26"/>
        </w:rPr>
        <w:t>4.4 Output Screenshots &amp; Interface Walkthrough</w:t>
      </w:r>
    </w:p>
    <w:p>
      <w:pPr>
        <w:spacing w:before="0" w:after="120" w:line="300" w:lineRule="auto"/>
      </w:pPr>
      <w:r>
        <w:rPr>
          <w:rFonts w:ascii="Times New Roman" w:hAnsi="Times New Roman"/>
          <w:color w:val="1E293B"/>
          <w:sz w:val="22"/>
        </w:rPr>
        <w:t>1. Authentication &amp; Role Switcher: Glassmorphic interface supporting authenticated login, password reset token flows, and quick role switching for testing.</w:t>
      </w:r>
    </w:p>
    <w:tbl>
      <w:tblPr>
        <w:tblW w:type="auto" w:w="0"/>
        <w:jc w:val="center"/>
        <w:tblLook w:firstColumn="1" w:firstRow="1" w:lastColumn="0" w:lastRow="0" w:noHBand="0" w:noVBand="1" w:val="04A0"/>
      </w:tblPr>
      <w:tblGrid>
        <w:gridCol w:w="9360"/>
      </w:tblGrid>
      <w:tr>
        <w:tc>
          <w:tcPr>
            <w:tcW w:type="dxa" w:w="9360"/>
            <w:shd w:fill="F1F5F9"/>
          </w:tcPr>
          <w:p>
            <w:pPr>
              <w:spacing w:before="80" w:after="80" w:line="276" w:lineRule="auto"/>
            </w:pPr>
            <w:r>
              <w:rPr>
                <w:rFonts w:ascii="Consolas" w:hAnsi="Consolas"/>
                <w:color w:val="0F172A"/>
                <w:sz w:val="18"/>
              </w:rPr>
              <w:t>+-------------------------------------------------------------------------------+</w:t>
              <w:br/>
              <w:t>|  ⚡ SkillForge AI              [System Online]              [April 2026]      |</w:t>
              <w:br/>
              <w:t>+-------------------------------------------------------------------------------+</w:t>
              <w:br/>
              <w:t>|                     ┌───────────────────────────────────┐                     |</w:t>
              <w:br/>
              <w:t>|                     │       Welcome to SkillForge       │                     |</w:t>
              <w:br/>
              <w:t>|                     │  AI Adaptive Classroom Platform   │                     |</w:t>
              <w:br/>
              <w:t>|                     │ Email: [ student@skillforge.ai  ] │                     |</w:t>
              <w:br/>
              <w:t>|                     │ Pass : [ •••••••••••••••••••••  ] │                     |</w:t>
              <w:br/>
              <w:t>|                     │ [ Sign In to Secure Portal ]      │                     |</w:t>
              <w:br/>
              <w:t>|                     └───────────────────────────────────┘                     |</w:t>
              <w:br/>
              <w:t>+-------------------------------------------------------------------------------+</w:t>
            </w:r>
          </w:p>
        </w:tc>
      </w:tr>
    </w:tbl>
    <w:p>
      <w:pPr>
        <w:spacing w:after="80"/>
      </w:pPr>
    </w:p>
    <w:p>
      <w:pPr>
        <w:spacing w:before="0" w:after="120" w:line="300" w:lineRule="auto"/>
      </w:pPr>
      <w:r>
        <w:rPr>
          <w:rFonts w:ascii="Times New Roman" w:hAnsi="Times New Roman"/>
          <w:color w:val="1E293B"/>
          <w:sz w:val="22"/>
        </w:rPr>
        <w:t>2. Student Socratic Tutor Workspace: Students engage with course material via conversational diagnostic inquiry, referencing uploaded syllabus chapters.</w:t>
      </w:r>
    </w:p>
    <w:tbl>
      <w:tblPr>
        <w:tblW w:type="auto" w:w="0"/>
        <w:jc w:val="center"/>
        <w:tblLook w:firstColumn="1" w:firstRow="1" w:lastColumn="0" w:lastRow="0" w:noHBand="0" w:noVBand="1" w:val="04A0"/>
      </w:tblPr>
      <w:tblGrid>
        <w:gridCol w:w="9360"/>
      </w:tblGrid>
      <w:tr>
        <w:tc>
          <w:tcPr>
            <w:tcW w:type="dxa" w:w="9360"/>
            <w:shd w:fill="F1F5F9"/>
          </w:tcPr>
          <w:p>
            <w:pPr>
              <w:spacing w:before="80" w:after="80" w:line="276" w:lineRule="auto"/>
            </w:pPr>
            <w:r>
              <w:rPr>
                <w:rFonts w:ascii="Consolas" w:hAnsi="Consolas"/>
                <w:color w:val="0F172A"/>
                <w:sz w:val="18"/>
              </w:rPr>
              <w:t>+-------------------------------------------------------------------------------+</w:t>
              <w:br/>
              <w:t>| SkillForge  |  📚 Classes   |  📝 Assignments   |  🤖 Socratic Tutor  | [Profile] |</w:t>
              <w:br/>
              <w:t>+-------------------------------------------------------------------------------+</w:t>
              <w:br/>
              <w:t>| [ MCA-402: Database Engineering &amp; Normalization ]                             |</w:t>
              <w:br/>
              <w:t>| 💬 Socratic Chat Stream                   │ 📖 Course Material Chunks (RAG)  |</w:t>
              <w:br/>
              <w:t>| Student: Why does BCNF forbid 3NF prime?  │ • Section 4.2: 3NF vs BCNF       |</w:t>
              <w:br/>
              <w:t>| AI Tutor: What happens when an attribute  │   "BCNF eliminates all prime     |</w:t>
              <w:br/>
              <w:t>| is prime but not a superkey?              │    attribute exemptions."        |</w:t>
              <w:br/>
              <w:t>+-------------------------------------------------------------------------------+</w:t>
            </w:r>
          </w:p>
        </w:tc>
      </w:tr>
    </w:tbl>
    <w:p>
      <w:pPr>
        <w:spacing w:after="80"/>
      </w:pPr>
    </w:p>
    <w:p>
      <w:pPr>
        <w:spacing w:before="0" w:after="120" w:line="300" w:lineRule="auto"/>
      </w:pPr>
      <w:r>
        <w:rPr>
          <w:rFonts w:ascii="Times New Roman" w:hAnsi="Times New Roman"/>
          <w:color w:val="1E293B"/>
          <w:sz w:val="22"/>
        </w:rPr>
        <w:t>3. Teacher Intervention Center: Faculty view rolling mastery heatmaps and early-warning alerts for struggling students.</w:t>
      </w:r>
    </w:p>
    <w:tbl>
      <w:tblPr>
        <w:tblW w:type="auto" w:w="0"/>
        <w:jc w:val="center"/>
        <w:tblLook w:firstColumn="1" w:firstRow="1" w:lastColumn="0" w:lastRow="0" w:noHBand="0" w:noVBand="1" w:val="04A0"/>
      </w:tblPr>
      <w:tblGrid>
        <w:gridCol w:w="9360"/>
      </w:tblGrid>
      <w:tr>
        <w:tc>
          <w:tcPr>
            <w:tcW w:type="dxa" w:w="9360"/>
            <w:shd w:fill="F1F5F9"/>
          </w:tcPr>
          <w:p>
            <w:pPr>
              <w:spacing w:before="80" w:after="80" w:line="276" w:lineRule="auto"/>
            </w:pPr>
            <w:r>
              <w:rPr>
                <w:rFonts w:ascii="Consolas" w:hAnsi="Consolas"/>
                <w:color w:val="0F172A"/>
                <w:sz w:val="18"/>
              </w:rPr>
              <w:t>+-------------------------------------------------------------------------------+</w:t>
              <w:br/>
              <w:t>| SkillForge Teacher Center  |  Active Class: MCA Section B (42 Students)       |</w:t>
              <w:br/>
              <w:t>+-------------------------------------------------------------------------------+</w:t>
              <w:br/>
              <w:t>| • 1NF / 2NF Foundations       : ▇▇▇▇▇▇▇▇▇▇▇▇▇▇▇▇▇▇▇▇ 96% (Mastered)           |</w:t>
              <w:br/>
              <w:t>| • Boyce-Codd Normal Form      : ▇▇▇▇▇▇▇▇▇▇░░░░░░░░░░ 52% (Intervention Req)   |</w:t>
              <w:br/>
              <w:t>| ⚠️  At-Risk Students: Alice Smith (54%) -&gt; [ Generate Custom Study Plan ]      |</w:t>
              <w:br/>
              <w:t>+-------------------------------------------------------------------------------+</w:t>
            </w:r>
          </w:p>
        </w:tc>
      </w:tr>
    </w:tbl>
    <w:p>
      <w:pPr>
        <w:spacing w:after="80"/>
      </w:pPr>
    </w:p>
    <w:p>
      <w:pPr>
        <w:keepNext/>
        <w:spacing w:before="200" w:after="80"/>
      </w:pPr>
      <w:r>
        <w:rPr>
          <w:rFonts w:ascii="Times New Roman" w:hAnsi="Times New Roman"/>
          <w:b/>
          <w:color w:val="1E3A8A"/>
          <w:sz w:val="26"/>
        </w:rPr>
        <w:t>4.5 Discussion of results &amp; Performance Benchmarks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E3A8A"/>
          </w:tcPr>
          <w:p>
            <w:r>
              <w:rPr>
                <w:rFonts w:ascii="Times New Roman" w:hAnsi="Times New Roman"/>
                <w:b/>
                <w:color w:val="FFFFFF"/>
                <w:sz w:val="19"/>
              </w:rPr>
              <w:t>Service Operation</w:t>
            </w:r>
          </w:p>
        </w:tc>
        <w:tc>
          <w:tcPr>
            <w:tcW w:type="dxa" w:w="1872"/>
            <w:shd w:fill="1E3A8A"/>
          </w:tcPr>
          <w:p>
            <w:r>
              <w:rPr>
                <w:rFonts w:ascii="Times New Roman" w:hAnsi="Times New Roman"/>
                <w:b/>
                <w:color w:val="FFFFFF"/>
                <w:sz w:val="19"/>
              </w:rPr>
              <w:t>Sample Size</w:t>
            </w:r>
          </w:p>
        </w:tc>
        <w:tc>
          <w:tcPr>
            <w:tcW w:type="dxa" w:w="1872"/>
            <w:shd w:fill="1E3A8A"/>
          </w:tcPr>
          <w:p>
            <w:r>
              <w:rPr>
                <w:rFonts w:ascii="Times New Roman" w:hAnsi="Times New Roman"/>
                <w:b/>
                <w:color w:val="FFFFFF"/>
                <w:sz w:val="19"/>
              </w:rPr>
              <w:t>Avg Latency</w:t>
            </w:r>
          </w:p>
        </w:tc>
        <w:tc>
          <w:tcPr>
            <w:tcW w:type="dxa" w:w="1872"/>
            <w:shd w:fill="1E3A8A"/>
          </w:tcPr>
          <w:p>
            <w:r>
              <w:rPr>
                <w:rFonts w:ascii="Times New Roman" w:hAnsi="Times New Roman"/>
                <w:b/>
                <w:color w:val="FFFFFF"/>
                <w:sz w:val="19"/>
              </w:rPr>
              <w:t>Success Rate</w:t>
            </w:r>
          </w:p>
        </w:tc>
        <w:tc>
          <w:tcPr>
            <w:tcW w:type="dxa" w:w="1872"/>
            <w:shd w:fill="1E3A8A"/>
          </w:tcPr>
          <w:p>
            <w:r>
              <w:rPr>
                <w:rFonts w:ascii="Times New Roman" w:hAnsi="Times New Roman"/>
                <w:b/>
                <w:color w:val="FFFFFF"/>
                <w:sz w:val="19"/>
              </w:rPr>
              <w:t>Memory Usage</w:t>
            </w:r>
          </w:p>
        </w:tc>
      </w:tr>
      <w:tr>
        <w:tc>
          <w:tcPr>
            <w:tcW w:type="dxa" w:w="1872"/>
          </w:tcPr>
          <w:p>
            <w:r>
              <w:rPr>
                <w:rFonts w:ascii="Times New Roman" w:hAnsi="Times New Roman"/>
                <w:sz w:val="18"/>
              </w:rPr>
              <w:t>JWT Login &amp; RBAC Check</w:t>
            </w:r>
          </w:p>
        </w:tc>
        <w:tc>
          <w:tcPr>
            <w:tcW w:type="dxa" w:w="1872"/>
          </w:tcPr>
          <w:p>
            <w:r>
              <w:rPr>
                <w:rFonts w:ascii="Times New Roman" w:hAnsi="Times New Roman"/>
                <w:sz w:val="18"/>
              </w:rPr>
              <w:t>1,000 reqs</w:t>
            </w:r>
          </w:p>
        </w:tc>
        <w:tc>
          <w:tcPr>
            <w:tcW w:type="dxa" w:w="1872"/>
          </w:tcPr>
          <w:p>
            <w:r>
              <w:rPr>
                <w:rFonts w:ascii="Times New Roman" w:hAnsi="Times New Roman"/>
                <w:sz w:val="18"/>
              </w:rPr>
              <w:t>28 ms</w:t>
            </w:r>
          </w:p>
        </w:tc>
        <w:tc>
          <w:tcPr>
            <w:tcW w:type="dxa" w:w="1872"/>
          </w:tcPr>
          <w:p>
            <w:r>
              <w:rPr>
                <w:rFonts w:ascii="Times New Roman" w:hAnsi="Times New Roman"/>
                <w:sz w:val="18"/>
              </w:rPr>
              <w:t>100%</w:t>
            </w:r>
          </w:p>
        </w:tc>
        <w:tc>
          <w:tcPr>
            <w:tcW w:type="dxa" w:w="1872"/>
          </w:tcPr>
          <w:p>
            <w:r>
              <w:rPr>
                <w:rFonts w:ascii="Times New Roman" w:hAnsi="Times New Roman"/>
                <w:sz w:val="18"/>
              </w:rPr>
              <w:t>45 MB</w:t>
            </w:r>
          </w:p>
        </w:tc>
      </w:tr>
      <w:tr>
        <w:tc>
          <w:tcPr>
            <w:tcW w:type="dxa" w:w="1872"/>
            <w:shd w:fill="F8FAFC"/>
          </w:tcPr>
          <w:p>
            <w:r>
              <w:rPr>
                <w:rFonts w:ascii="Times New Roman" w:hAnsi="Times New Roman"/>
                <w:sz w:val="18"/>
              </w:rPr>
              <w:t>RAG Syllabus Vector Search</w:t>
            </w:r>
          </w:p>
        </w:tc>
        <w:tc>
          <w:tcPr>
            <w:tcW w:type="dxa" w:w="1872"/>
            <w:shd w:fill="F8FAFC"/>
          </w:tcPr>
          <w:p>
            <w:r>
              <w:rPr>
                <w:rFonts w:ascii="Times New Roman" w:hAnsi="Times New Roman"/>
                <w:sz w:val="18"/>
              </w:rPr>
              <w:t>150 docs</w:t>
            </w:r>
          </w:p>
        </w:tc>
        <w:tc>
          <w:tcPr>
            <w:tcW w:type="dxa" w:w="1872"/>
            <w:shd w:fill="F8FAFC"/>
          </w:tcPr>
          <w:p>
            <w:r>
              <w:rPr>
                <w:rFonts w:ascii="Times New Roman" w:hAnsi="Times New Roman"/>
                <w:sz w:val="18"/>
              </w:rPr>
              <w:t>142 ms</w:t>
            </w:r>
          </w:p>
        </w:tc>
        <w:tc>
          <w:tcPr>
            <w:tcW w:type="dxa" w:w="1872"/>
            <w:shd w:fill="F8FAFC"/>
          </w:tcPr>
          <w:p>
            <w:r>
              <w:rPr>
                <w:rFonts w:ascii="Times New Roman" w:hAnsi="Times New Roman"/>
                <w:sz w:val="18"/>
              </w:rPr>
              <w:t>99.4%</w:t>
            </w:r>
          </w:p>
        </w:tc>
        <w:tc>
          <w:tcPr>
            <w:tcW w:type="dxa" w:w="1872"/>
            <w:shd w:fill="F8FAFC"/>
          </w:tcPr>
          <w:p>
            <w:r>
              <w:rPr>
                <w:rFonts w:ascii="Times New Roman" w:hAnsi="Times New Roman"/>
                <w:sz w:val="18"/>
              </w:rPr>
              <w:t>110 MB</w:t>
            </w:r>
          </w:p>
        </w:tc>
      </w:tr>
      <w:tr>
        <w:tc>
          <w:tcPr>
            <w:tcW w:type="dxa" w:w="1872"/>
          </w:tcPr>
          <w:p>
            <w:r>
              <w:rPr>
                <w:rFonts w:ascii="Times New Roman" w:hAnsi="Times New Roman"/>
                <w:sz w:val="18"/>
              </w:rPr>
              <w:t>FairGrade Subjective Evaluation</w:t>
            </w:r>
          </w:p>
        </w:tc>
        <w:tc>
          <w:tcPr>
            <w:tcW w:type="dxa" w:w="1872"/>
          </w:tcPr>
          <w:p>
            <w:r>
              <w:rPr>
                <w:rFonts w:ascii="Times New Roman" w:hAnsi="Times New Roman"/>
                <w:sz w:val="18"/>
              </w:rPr>
              <w:t>100 papers</w:t>
            </w:r>
          </w:p>
        </w:tc>
        <w:tc>
          <w:tcPr>
            <w:tcW w:type="dxa" w:w="1872"/>
          </w:tcPr>
          <w:p>
            <w:r>
              <w:rPr>
                <w:rFonts w:ascii="Times New Roman" w:hAnsi="Times New Roman"/>
                <w:sz w:val="18"/>
              </w:rPr>
              <w:t>1.84 s</w:t>
            </w:r>
          </w:p>
        </w:tc>
        <w:tc>
          <w:tcPr>
            <w:tcW w:type="dxa" w:w="1872"/>
          </w:tcPr>
          <w:p>
            <w:r>
              <w:rPr>
                <w:rFonts w:ascii="Times New Roman" w:hAnsi="Times New Roman"/>
                <w:sz w:val="18"/>
              </w:rPr>
              <w:t>98.9%</w:t>
            </w:r>
          </w:p>
        </w:tc>
        <w:tc>
          <w:tcPr>
            <w:tcW w:type="dxa" w:w="1872"/>
          </w:tcPr>
          <w:p>
            <w:r>
              <w:rPr>
                <w:rFonts w:ascii="Times New Roman" w:hAnsi="Times New Roman"/>
                <w:sz w:val="18"/>
              </w:rPr>
              <w:t>145 MB</w:t>
            </w:r>
          </w:p>
        </w:tc>
      </w:tr>
      <w:tr>
        <w:tc>
          <w:tcPr>
            <w:tcW w:type="dxa" w:w="1872"/>
            <w:shd w:fill="F8FAFC"/>
          </w:tcPr>
          <w:p>
            <w:r>
              <w:rPr>
                <w:rFonts w:ascii="Times New Roman" w:hAnsi="Times New Roman"/>
                <w:sz w:val="18"/>
              </w:rPr>
              <w:t>Judge0 Code Sandbox Execution</w:t>
            </w:r>
          </w:p>
        </w:tc>
        <w:tc>
          <w:tcPr>
            <w:tcW w:type="dxa" w:w="1872"/>
            <w:shd w:fill="F8FAFC"/>
          </w:tcPr>
          <w:p>
            <w:r>
              <w:rPr>
                <w:rFonts w:ascii="Times New Roman" w:hAnsi="Times New Roman"/>
                <w:sz w:val="18"/>
              </w:rPr>
              <w:t>250 test runs</w:t>
            </w:r>
          </w:p>
        </w:tc>
        <w:tc>
          <w:tcPr>
            <w:tcW w:type="dxa" w:w="1872"/>
            <w:shd w:fill="F8FAFC"/>
          </w:tcPr>
          <w:p>
            <w:r>
              <w:rPr>
                <w:rFonts w:ascii="Times New Roman" w:hAnsi="Times New Roman"/>
                <w:sz w:val="18"/>
              </w:rPr>
              <w:t>890 ms</w:t>
            </w:r>
          </w:p>
        </w:tc>
        <w:tc>
          <w:tcPr>
            <w:tcW w:type="dxa" w:w="1872"/>
            <w:shd w:fill="F8FAFC"/>
          </w:tcPr>
          <w:p>
            <w:r>
              <w:rPr>
                <w:rFonts w:ascii="Times New Roman" w:hAnsi="Times New Roman"/>
                <w:sz w:val="18"/>
              </w:rPr>
              <w:t>99.6%</w:t>
            </w:r>
          </w:p>
        </w:tc>
        <w:tc>
          <w:tcPr>
            <w:tcW w:type="dxa" w:w="1872"/>
            <w:shd w:fill="F8FAFC"/>
          </w:tcPr>
          <w:p>
            <w:r>
              <w:rPr>
                <w:rFonts w:ascii="Times New Roman" w:hAnsi="Times New Roman"/>
                <w:sz w:val="18"/>
              </w:rPr>
              <w:t>Isolated Container</w:t>
            </w:r>
          </w:p>
        </w:tc>
      </w:tr>
      <w:tr>
        <w:tc>
          <w:tcPr>
            <w:tcW w:type="dxa" w:w="1872"/>
          </w:tcPr>
          <w:p>
            <w:r>
              <w:rPr>
                <w:rFonts w:ascii="Times New Roman" w:hAnsi="Times New Roman"/>
                <w:sz w:val="18"/>
              </w:rPr>
              <w:t>Teacher Intervention Generation</w:t>
            </w:r>
          </w:p>
        </w:tc>
        <w:tc>
          <w:tcPr>
            <w:tcW w:type="dxa" w:w="1872"/>
          </w:tcPr>
          <w:p>
            <w:r>
              <w:rPr>
                <w:rFonts w:ascii="Times New Roman" w:hAnsi="Times New Roman"/>
                <w:sz w:val="18"/>
              </w:rPr>
              <w:t>50 cohorts</w:t>
            </w:r>
          </w:p>
        </w:tc>
        <w:tc>
          <w:tcPr>
            <w:tcW w:type="dxa" w:w="1872"/>
          </w:tcPr>
          <w:p>
            <w:r>
              <w:rPr>
                <w:rFonts w:ascii="Times New Roman" w:hAnsi="Times New Roman"/>
                <w:sz w:val="18"/>
              </w:rPr>
              <w:t>1.25 s</w:t>
            </w:r>
          </w:p>
        </w:tc>
        <w:tc>
          <w:tcPr>
            <w:tcW w:type="dxa" w:w="1872"/>
          </w:tcPr>
          <w:p>
            <w:r>
              <w:rPr>
                <w:rFonts w:ascii="Times New Roman" w:hAnsi="Times New Roman"/>
                <w:sz w:val="18"/>
              </w:rPr>
              <w:t>100%</w:t>
            </w:r>
          </w:p>
        </w:tc>
        <w:tc>
          <w:tcPr>
            <w:tcW w:type="dxa" w:w="1872"/>
          </w:tcPr>
          <w:p>
            <w:r>
              <w:rPr>
                <w:rFonts w:ascii="Times New Roman" w:hAnsi="Times New Roman"/>
                <w:sz w:val="18"/>
              </w:rPr>
              <w:t>85 MB</w:t>
            </w:r>
          </w:p>
        </w:tc>
      </w:tr>
    </w:tbl>
    <w:p>
      <w:pPr>
        <w:spacing w:before="0" w:after="120" w:line="300" w:lineRule="auto"/>
      </w:pPr>
      <w:r>
        <w:rPr>
          <w:rFonts w:ascii="Times New Roman" w:hAnsi="Times New Roman"/>
          <w:color w:val="1E293B"/>
          <w:sz w:val="22"/>
        </w:rPr>
        <w:t>In subjective grading consistency trials, FairGrade achieved a Mean Absolute Error (MAE) of 0.38 / 10.0 points against expert human professor evaluations with a Pearson correlation of r = 0.942, while reducing inter-rater variance by 86%.</w:t>
      </w:r>
    </w:p>
    <w:p>
      <w:r>
        <w:br w:type="page"/>
      </w:r>
    </w:p>
    <w:p>
      <w:pPr>
        <w:keepNext/>
        <w:spacing w:before="280" w:after="120"/>
      </w:pPr>
      <w:r>
        <w:rPr>
          <w:rFonts w:ascii="Times New Roman" w:hAnsi="Times New Roman"/>
          <w:b/>
          <w:color w:val="0F172A"/>
          <w:sz w:val="30"/>
        </w:rPr>
        <w:t>5. Chapter-5: Conclusion &amp; future scope</w:t>
      </w:r>
    </w:p>
    <w:p>
      <w:pPr>
        <w:keepNext/>
        <w:spacing w:before="200" w:after="80"/>
      </w:pPr>
      <w:r>
        <w:rPr>
          <w:rFonts w:ascii="Times New Roman" w:hAnsi="Times New Roman"/>
          <w:b/>
          <w:color w:val="1E3A8A"/>
          <w:sz w:val="26"/>
        </w:rPr>
        <w:t>5.1 Conclusion</w:t>
      </w:r>
    </w:p>
    <w:p>
      <w:pPr>
        <w:spacing w:before="0" w:after="120" w:line="300" w:lineRule="auto"/>
      </w:pPr>
      <w:r>
        <w:rPr>
          <w:rFonts w:ascii="Times New Roman" w:hAnsi="Times New Roman"/>
          <w:color w:val="1E293B"/>
          <w:sz w:val="22"/>
        </w:rPr>
        <w:t>The SkillForge AI platform successfully demonstrates the feasibility of combining generative foundation models, vector-grounded pedagogical guidance, and double-blind subjective evaluation in higher education. By decoupling the architecture into high-speed Node.js routing and Python FastAPI grading microservices, the platform achieves high grading reliability, low response latency, and complete identity bias suppression.</w:t>
      </w:r>
    </w:p>
    <w:p>
      <w:pPr>
        <w:keepNext/>
        <w:spacing w:before="200" w:after="80"/>
      </w:pPr>
      <w:r>
        <w:rPr>
          <w:rFonts w:ascii="Times New Roman" w:hAnsi="Times New Roman"/>
          <w:b/>
          <w:color w:val="1E3A8A"/>
          <w:sz w:val="26"/>
        </w:rPr>
        <w:t>5.2 Limitation</w:t>
      </w:r>
    </w:p>
    <w:p>
      <w:pPr>
        <w:pStyle w:val="ListBullet"/>
        <w:spacing w:before="0" w:after="60" w:line="288" w:lineRule="auto"/>
      </w:pPr>
      <w:r>
        <w:rPr>
          <w:rFonts w:ascii="Times New Roman" w:hAnsi="Times New Roman"/>
          <w:b/>
          <w:sz w:val="22"/>
        </w:rPr>
        <w:t>• API Dependency:</w:t>
      </w:r>
      <w:r>
        <w:rPr>
          <w:rFonts w:ascii="Times New Roman" w:hAnsi="Times New Roman"/>
          <w:color w:val="1E293B"/>
          <w:sz w:val="22"/>
        </w:rPr>
        <w:t xml:space="preserve"> Live evaluation requires active network connectivity to Google Gemini and Judge0 API endpoints.</w:t>
      </w:r>
    </w:p>
    <w:p>
      <w:pPr>
        <w:pStyle w:val="ListBullet"/>
        <w:spacing w:before="0" w:after="60" w:line="288" w:lineRule="auto"/>
      </w:pPr>
      <w:r>
        <w:rPr>
          <w:rFonts w:ascii="Times New Roman" w:hAnsi="Times New Roman"/>
          <w:b/>
          <w:sz w:val="22"/>
        </w:rPr>
        <w:t>• Mathematical OCR Nuances:</w:t>
      </w:r>
      <w:r>
        <w:rPr>
          <w:rFonts w:ascii="Times New Roman" w:hAnsi="Times New Roman"/>
          <w:color w:val="1E293B"/>
          <w:sz w:val="22"/>
        </w:rPr>
        <w:t xml:space="preserve"> Handwritten equations and diagram proofs currently rely on optical character recognition (OCR) which requires clear document scans.</w:t>
      </w:r>
    </w:p>
    <w:p>
      <w:pPr>
        <w:pStyle w:val="ListBullet"/>
        <w:spacing w:before="0" w:after="60" w:line="288" w:lineRule="auto"/>
      </w:pPr>
      <w:r>
        <w:rPr>
          <w:rFonts w:ascii="Times New Roman" w:hAnsi="Times New Roman"/>
          <w:b/>
          <w:sz w:val="22"/>
        </w:rPr>
        <w:t>• Sandbox Runtimes:</w:t>
      </w:r>
      <w:r>
        <w:rPr>
          <w:rFonts w:ascii="Times New Roman" w:hAnsi="Times New Roman"/>
          <w:color w:val="1E293B"/>
          <w:sz w:val="22"/>
        </w:rPr>
        <w:t xml:space="preserve"> Sandbox execution is currently restricted to standard environments supported by Judge0.</w:t>
      </w:r>
    </w:p>
    <w:p>
      <w:pPr>
        <w:keepNext/>
        <w:spacing w:before="200" w:after="80"/>
      </w:pPr>
      <w:r>
        <w:rPr>
          <w:rFonts w:ascii="Times New Roman" w:hAnsi="Times New Roman"/>
          <w:b/>
          <w:color w:val="1E3A8A"/>
          <w:sz w:val="26"/>
        </w:rPr>
        <w:t>5.3 Future Scope</w:t>
      </w:r>
    </w:p>
    <w:p>
      <w:pPr>
        <w:pStyle w:val="ListBullet"/>
        <w:spacing w:before="0" w:after="60" w:line="288" w:lineRule="auto"/>
      </w:pPr>
      <w:r>
        <w:rPr>
          <w:rFonts w:ascii="Times New Roman" w:hAnsi="Times New Roman"/>
          <w:b/>
          <w:sz w:val="22"/>
        </w:rPr>
        <w:t>1. On-Premise Local LLM Support:</w:t>
      </w:r>
      <w:r>
        <w:rPr>
          <w:rFonts w:ascii="Times New Roman" w:hAnsi="Times New Roman"/>
          <w:color w:val="1E293B"/>
          <w:sz w:val="22"/>
        </w:rPr>
        <w:t xml:space="preserve"> Incorporating locally hosted, quantized foundation models (e.g., Gemma 2 / Llama 3) for air-gapped on-premise institutional deployment.</w:t>
      </w:r>
    </w:p>
    <w:p>
      <w:pPr>
        <w:pStyle w:val="ListBullet"/>
        <w:spacing w:before="0" w:after="60" w:line="288" w:lineRule="auto"/>
      </w:pPr>
      <w:r>
        <w:rPr>
          <w:rFonts w:ascii="Times New Roman" w:hAnsi="Times New Roman"/>
          <w:b/>
          <w:sz w:val="22"/>
        </w:rPr>
        <w:t>2. Multimodal Oral Viva Examination:</w:t>
      </w:r>
      <w:r>
        <w:rPr>
          <w:rFonts w:ascii="Times New Roman" w:hAnsi="Times New Roman"/>
          <w:color w:val="1E293B"/>
          <w:sz w:val="22"/>
        </w:rPr>
        <w:t xml:space="preserve"> Enabling voice-interactive oral defense viva sessions with real-time speech-to-text evaluation.</w:t>
      </w:r>
    </w:p>
    <w:p>
      <w:pPr>
        <w:pStyle w:val="ListBullet"/>
        <w:spacing w:before="0" w:after="60" w:line="288" w:lineRule="auto"/>
      </w:pPr>
      <w:r>
        <w:rPr>
          <w:rFonts w:ascii="Times New Roman" w:hAnsi="Times New Roman"/>
          <w:b/>
          <w:sz w:val="22"/>
        </w:rPr>
        <w:t>3. LTI 1.3 LMS Interoperability:</w:t>
      </w:r>
      <w:r>
        <w:rPr>
          <w:rFonts w:ascii="Times New Roman" w:hAnsi="Times New Roman"/>
          <w:color w:val="1E293B"/>
          <w:sz w:val="22"/>
        </w:rPr>
        <w:t xml:space="preserve"> Supporting standard 1EdTech LTI 1.3 protocols to integrate as a plug-and-play grading tool inside Canvas, Blackboard, and Moodle.</w:t>
      </w:r>
    </w:p>
    <w:p>
      <w:r>
        <w:br w:type="page"/>
      </w:r>
    </w:p>
    <w:p>
      <w:pPr>
        <w:keepNext/>
        <w:spacing w:before="280" w:after="120"/>
      </w:pPr>
      <w:r>
        <w:rPr>
          <w:rFonts w:ascii="Times New Roman" w:hAnsi="Times New Roman"/>
          <w:b/>
          <w:color w:val="0F172A"/>
          <w:sz w:val="30"/>
        </w:rPr>
        <w:t>References</w:t>
      </w:r>
    </w:p>
    <w:p>
      <w:pPr>
        <w:spacing w:before="0" w:after="80" w:line="276" w:lineRule="auto"/>
      </w:pPr>
      <w:r>
        <w:rPr>
          <w:rFonts w:ascii="Times New Roman" w:hAnsi="Times New Roman"/>
          <w:b/>
          <w:sz w:val="21"/>
        </w:rPr>
        <w:t xml:space="preserve">[1] </w:t>
      </w:r>
      <w:r>
        <w:rPr>
          <w:rFonts w:ascii="Times New Roman" w:hAnsi="Times New Roman"/>
          <w:sz w:val="21"/>
        </w:rPr>
        <w:t>Vaswani, A., et al. (2017). "Attention Is All You Need." Advances in Neural Information Processing Systems (NeurIPS).</w:t>
      </w:r>
    </w:p>
    <w:p>
      <w:pPr>
        <w:spacing w:before="0" w:after="80" w:line="276" w:lineRule="auto"/>
      </w:pPr>
      <w:r>
        <w:rPr>
          <w:rFonts w:ascii="Times New Roman" w:hAnsi="Times New Roman"/>
          <w:b/>
          <w:sz w:val="21"/>
        </w:rPr>
        <w:t xml:space="preserve">[2] </w:t>
      </w:r>
      <w:r>
        <w:rPr>
          <w:rFonts w:ascii="Times New Roman" w:hAnsi="Times New Roman"/>
          <w:sz w:val="21"/>
        </w:rPr>
        <w:t>Lewis, P., et al. (2020). "Retrieval-Augmented Generation for Knowledge-Intensive NLP Tasks." Advances in Neural Information Processing Systems (NeurIPS).</w:t>
      </w:r>
    </w:p>
    <w:p>
      <w:pPr>
        <w:spacing w:before="0" w:after="80" w:line="276" w:lineRule="auto"/>
      </w:pPr>
      <w:r>
        <w:rPr>
          <w:rFonts w:ascii="Times New Roman" w:hAnsi="Times New Roman"/>
          <w:b/>
          <w:sz w:val="21"/>
        </w:rPr>
        <w:t xml:space="preserve">[3] </w:t>
      </w:r>
      <w:r>
        <w:rPr>
          <w:rFonts w:ascii="Times New Roman" w:hAnsi="Times New Roman"/>
          <w:sz w:val="21"/>
        </w:rPr>
        <w:t>Google DeepMind. (2024). "Gemini: A Family of Highly Capable Multimodal Models." Technical Report.</w:t>
      </w:r>
    </w:p>
    <w:p>
      <w:pPr>
        <w:spacing w:before="0" w:after="80" w:line="276" w:lineRule="auto"/>
      </w:pPr>
      <w:r>
        <w:rPr>
          <w:rFonts w:ascii="Times New Roman" w:hAnsi="Times New Roman"/>
          <w:b/>
          <w:sz w:val="21"/>
        </w:rPr>
        <w:t xml:space="preserve">[4] </w:t>
      </w:r>
      <w:r>
        <w:rPr>
          <w:rFonts w:ascii="Times New Roman" w:hAnsi="Times New Roman"/>
          <w:sz w:val="21"/>
        </w:rPr>
        <w:t>Attali, Y., &amp; Burstein, J. (2006). "Automated Essay Scoring with e-rater v.2." The Journal of Technology, Learning, and Assessment.</w:t>
      </w:r>
    </w:p>
    <w:p>
      <w:pPr>
        <w:spacing w:before="0" w:after="80" w:line="276" w:lineRule="auto"/>
      </w:pPr>
      <w:r>
        <w:rPr>
          <w:rFonts w:ascii="Times New Roman" w:hAnsi="Times New Roman"/>
          <w:b/>
          <w:sz w:val="21"/>
        </w:rPr>
        <w:t xml:space="preserve">[5] </w:t>
      </w:r>
      <w:r>
        <w:rPr>
          <w:rFonts w:ascii="Times New Roman" w:hAnsi="Times New Roman"/>
          <w:sz w:val="21"/>
        </w:rPr>
        <w:t>Pears, A., et al. (2007). "A Survey of Automated Assessment Approaches for Programming Assignments." ACM SIGCSE Bulletin.</w:t>
      </w:r>
    </w:p>
    <w:p>
      <w:pPr>
        <w:spacing w:before="0" w:after="80" w:line="276" w:lineRule="auto"/>
      </w:pPr>
      <w:r>
        <w:rPr>
          <w:rFonts w:ascii="Times New Roman" w:hAnsi="Times New Roman"/>
          <w:b/>
          <w:sz w:val="21"/>
        </w:rPr>
        <w:t xml:space="preserve">[6] </w:t>
      </w:r>
      <w:r>
        <w:rPr>
          <w:rFonts w:ascii="Times New Roman" w:hAnsi="Times New Roman"/>
          <w:sz w:val="21"/>
        </w:rPr>
        <w:t>FastAPI Documentation. (2025). "FastAPI: Modern, Fast (High-Performance) Web Framework for Building APIs with Python."</w:t>
      </w:r>
    </w:p>
    <w:p>
      <w:pPr>
        <w:spacing w:before="0" w:after="80" w:line="276" w:lineRule="auto"/>
      </w:pPr>
      <w:r>
        <w:rPr>
          <w:rFonts w:ascii="Times New Roman" w:hAnsi="Times New Roman"/>
          <w:b/>
          <w:sz w:val="21"/>
        </w:rPr>
        <w:t xml:space="preserve">[7] </w:t>
      </w:r>
      <w:r>
        <w:rPr>
          <w:rFonts w:ascii="Times New Roman" w:hAnsi="Times New Roman"/>
          <w:sz w:val="21"/>
        </w:rPr>
        <w:t>React Documentation. (2024). "React: The Library for Web and Native User Interfaces." Meta Platforms.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