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Times New Roman" w:hAnsi="Times New Roman"/>
          <w:b/>
          <w:color w:val="C00000"/>
          <w:sz w:val="32"/>
        </w:rPr>
        <w:t>SKILLFORGE AI: AN ADAPTIVE CLASSROOM AND BIAS-RESISTANT ASSESSMENT PLATFORM</w:t>
      </w:r>
    </w:p>
    <w:p>
      <w:pPr>
        <w:spacing w:before="600"/>
        <w:jc w:val="center"/>
      </w:pPr>
      <w:r>
        <w:rPr>
          <w:rFonts w:ascii="Times New Roman" w:hAnsi="Times New Roman"/>
          <w:i/>
          <w:sz w:val="24"/>
        </w:rPr>
        <w:t>Submitted in Partial Fulfilment of the Requirements</w:t>
        <w:br/>
        <w:t>for the Award of the Degree of</w:t>
      </w:r>
    </w:p>
    <w:p>
      <w:pPr>
        <w:spacing w:before="320"/>
        <w:jc w:val="center"/>
      </w:pPr>
      <w:r>
        <w:rPr>
          <w:rFonts w:ascii="Times New Roman" w:hAnsi="Times New Roman"/>
          <w:b/>
          <w:color w:val="C00000"/>
          <w:sz w:val="28"/>
        </w:rPr>
        <w:t>Master of Computer Applications</w:t>
      </w:r>
    </w:p>
    <w:p>
      <w:pPr>
        <w:spacing w:before="800"/>
        <w:jc w:val="center"/>
      </w:pPr>
      <w:r>
        <w:rPr>
          <w:rFonts w:ascii="Times New Roman" w:hAnsi="Times New Roman"/>
          <w:sz w:val="24"/>
        </w:rPr>
        <w:t>By</w:t>
        <w:br/>
        <w:br/>
      </w:r>
      <w:r>
        <w:rPr>
          <w:rFonts w:ascii="Times New Roman" w:hAnsi="Times New Roman"/>
          <w:b/>
          <w:color w:val="C00000"/>
          <w:sz w:val="26"/>
        </w:rPr>
        <w:t>APURVA ANUPAM</w:t>
        <w:br/>
        <w:t>Reg. No: 2026-MCA-042</w:t>
      </w:r>
    </w:p>
    <w:p>
      <w:pPr>
        <w:spacing w:before="640"/>
        <w:jc w:val="center"/>
      </w:pPr>
      <w:r>
        <w:rPr>
          <w:rFonts w:ascii="Times New Roman" w:hAnsi="Times New Roman"/>
          <w:sz w:val="24"/>
        </w:rPr>
        <w:t>Under the Supervision of</w:t>
        <w:br/>
        <w:br/>
      </w:r>
      <w:r>
        <w:rPr>
          <w:rFonts w:ascii="Times New Roman" w:hAnsi="Times New Roman"/>
          <w:b/>
          <w:color w:val="C00000"/>
          <w:sz w:val="26"/>
        </w:rPr>
        <w:t>Dr. SUPERVISOR</w:t>
        <w:br/>
        <w:t>Associate Professor</w:t>
      </w:r>
    </w:p>
    <w:p>
      <w:pPr>
        <w:spacing w:before="1300"/>
        <w:jc w:val="center"/>
      </w:pPr>
      <w:r>
        <w:rPr>
          <w:rFonts w:ascii="Times New Roman" w:hAnsi="Times New Roman"/>
          <w:b/>
          <w:color w:val="0F172A"/>
          <w:sz w:val="26"/>
        </w:rPr>
        <w:t>CHRIST (Deemed to be University)</w:t>
        <w:br/>
        <w:t>School of Sciences</w:t>
        <w:br/>
        <w:t>Delhi NCR Campus</w:t>
        <w:br/>
        <w:t>April 2026</w:t>
      </w:r>
    </w:p>
    <w:p>
      <w:r>
        <w:br w:type="page"/>
      </w:r>
    </w:p>
    <w:p>
      <w:pPr>
        <w:spacing w:before="400" w:after="480"/>
        <w:jc w:val="center"/>
      </w:pPr>
      <w:r>
        <w:rPr>
          <w:rFonts w:ascii="Times New Roman" w:hAnsi="Times New Roman"/>
          <w:b/>
          <w:sz w:val="32"/>
        </w:rPr>
        <w:t>DECLARATION</w:t>
      </w:r>
    </w:p>
    <w:p>
      <w:pPr>
        <w:spacing w:before="0" w:after="120" w:line="312" w:lineRule="auto"/>
      </w:pPr>
      <w:r>
        <w:rPr>
          <w:rFonts w:ascii="Times New Roman" w:hAnsi="Times New Roman"/>
          <w:color w:val="1E293B"/>
          <w:sz w:val="22"/>
        </w:rPr>
        <w:t>I hereby declare that this project report entitled "SkillForge AI: An Adaptive Classroom and Bias-Resistant Assessment Platform" is an authentic record of original research and software engineering work carried out by me under the supervision and guidance of Dr. Supervisor, Department of Computer Science, School of Sciences, CHRIST (Deemed to be University), Delhi NCR Campus.</w:t>
      </w:r>
    </w:p>
    <w:p>
      <w:pPr>
        <w:spacing w:before="0" w:after="120" w:line="312" w:lineRule="auto"/>
      </w:pPr>
      <w:r>
        <w:rPr>
          <w:rFonts w:ascii="Times New Roman" w:hAnsi="Times New Roman"/>
          <w:color w:val="1E293B"/>
          <w:sz w:val="22"/>
        </w:rPr>
        <w:t>This report is submitted in partial fulfilment of the requirements for the award of the degree of Master of Computer Applications (MCA). I further declare that the work embodied in this project has not formed the basis for the award of any other Degree, Diploma, Associateship, Fellowship, or any other similar title in this or any other institution of higher learning.</w:t>
      </w:r>
    </w:p>
    <w:p>
      <w:pPr>
        <w:spacing w:before="1200"/>
        <w:jc w:val="right"/>
      </w:pPr>
      <w:r>
        <w:rPr>
          <w:rFonts w:ascii="Times New Roman" w:hAnsi="Times New Roman"/>
          <w:b/>
          <w:color w:val="C00000"/>
          <w:sz w:val="24"/>
        </w:rPr>
        <w:t>Apurva Anupam</w:t>
        <w:br/>
        <w:t>Reg. No: 2026-MCA-042</w:t>
        <w:br/>
        <w:t>Department of Computer Science</w:t>
        <w:br/>
        <w:t>School of Sciences</w:t>
        <w:br/>
        <w:t>CHRIST (Deemed to be University), Delhi NCR</w:t>
      </w:r>
    </w:p>
    <w:p>
      <w:pPr>
        <w:spacing w:before="600"/>
      </w:pPr>
      <w:r>
        <w:rPr>
          <w:rFonts w:ascii="Times New Roman" w:hAnsi="Times New Roman"/>
          <w:b/>
          <w:color w:val="C00000"/>
          <w:sz w:val="24"/>
        </w:rPr>
        <w:t>Dr. Supervisor</w:t>
        <w:br/>
        <w:t>Associate Professor</w:t>
        <w:br/>
        <w:t>School of Sciences</w:t>
        <w:br/>
        <w:t>CHRIST (Deemed to be University)</w:t>
      </w:r>
    </w:p>
    <w:p>
      <w:pPr>
        <w:spacing w:before="600"/>
      </w:pPr>
      <w:r>
        <w:rPr>
          <w:rFonts w:ascii="Times New Roman" w:hAnsi="Times New Roman"/>
          <w:sz w:val="22"/>
        </w:rPr>
        <w:t>Place: Ghaziabad / Delhi NCR</w:t>
        <w:br/>
        <w:t>Date: 22 September 2026</w:t>
      </w:r>
    </w:p>
    <w:p>
      <w:r>
        <w:br w:type="page"/>
      </w:r>
    </w:p>
    <w:p>
      <w:pPr>
        <w:spacing w:before="400" w:after="480"/>
        <w:jc w:val="center"/>
      </w:pPr>
      <w:r>
        <w:rPr>
          <w:rFonts w:ascii="Times New Roman" w:hAnsi="Times New Roman"/>
          <w:b/>
          <w:sz w:val="32"/>
        </w:rPr>
        <w:t>CERTIFICATE OF APPROVAL</w:t>
      </w:r>
    </w:p>
    <w:p>
      <w:pPr>
        <w:spacing w:before="0" w:after="120" w:line="312" w:lineRule="auto"/>
      </w:pPr>
      <w:r>
        <w:rPr>
          <w:rFonts w:ascii="Times New Roman" w:hAnsi="Times New Roman"/>
          <w:color w:val="1E293B"/>
          <w:sz w:val="22"/>
        </w:rPr>
        <w:t>This is to certify that the project report entitled "SkillForge AI: An Adaptive Classroom and Bias-Resistant Assessment Platform" submitted by Apurva Anupam (Reg. No: 2026-MCA-042) to CHRIST (Deemed to be University), Delhi NCR Campus, for the award of the degree of Master of Computer Applications (MCA), is a bonafide record of work carried out by him under my supervision.</w:t>
      </w:r>
    </w:p>
    <w:p>
      <w:pPr>
        <w:spacing w:before="0" w:after="120" w:line="312" w:lineRule="auto"/>
      </w:pPr>
      <w:r>
        <w:rPr>
          <w:rFonts w:ascii="Times New Roman" w:hAnsi="Times New Roman"/>
          <w:color w:val="1E293B"/>
          <w:sz w:val="22"/>
        </w:rPr>
        <w:t>The project satisfies all academic and technical standards prescribed by the University for the Master of Computer Applications curriculum.</w:t>
      </w:r>
    </w:p>
    <w:p>
      <w:pPr>
        <w:spacing w:before="1600"/>
        <w:jc w:val="left"/>
      </w:pPr>
      <w:r>
        <w:rPr>
          <w:rFonts w:ascii="Times New Roman" w:hAnsi="Times New Roman"/>
          <w:sz w:val="22"/>
        </w:rPr>
        <w:t>Internal Guide / Supervisor: ___________________________</w:t>
        <w:br/>
        <w:t>Dr. Supervisor</w:t>
        <w:br/>
        <w:t>Associate Professor</w:t>
        <w:br/>
        <w:br/>
        <w:br/>
        <w:t>Head of the Department: ___________________________</w:t>
        <w:br/>
        <w:t>School of Sciences</w:t>
        <w:br/>
        <w:t>CHRIST (Deemed to be University)</w:t>
        <w:br/>
        <w:br/>
        <w:br/>
        <w:t>External Examiner: ___________________________</w:t>
      </w:r>
    </w:p>
    <w:p>
      <w:r>
        <w:br w:type="page"/>
      </w:r>
    </w:p>
    <w:p>
      <w:pPr>
        <w:spacing w:before="400" w:after="480"/>
        <w:jc w:val="center"/>
      </w:pPr>
      <w:r>
        <w:rPr>
          <w:rFonts w:ascii="Times New Roman" w:hAnsi="Times New Roman"/>
          <w:b/>
          <w:sz w:val="32"/>
        </w:rPr>
        <w:t>ACKNOWLEDGEMENT</w:t>
      </w:r>
    </w:p>
    <w:p>
      <w:pPr>
        <w:spacing w:before="0" w:after="120" w:line="312" w:lineRule="auto"/>
      </w:pPr>
      <w:r>
        <w:rPr>
          <w:rFonts w:ascii="Times New Roman" w:hAnsi="Times New Roman"/>
          <w:color w:val="1E293B"/>
          <w:sz w:val="22"/>
        </w:rPr>
        <w:t>I express my deepest gratitude and sincere thanks to CHRIST (Deemed to be University), Delhi NCR Campus, for providing an intellectually vibrant environment, world-class laboratory resources, and encouragement that made the completion of this Master's project possible.</w:t>
      </w:r>
    </w:p>
    <w:p>
      <w:pPr>
        <w:spacing w:before="0" w:after="120" w:line="312" w:lineRule="auto"/>
      </w:pPr>
      <w:r>
        <w:rPr>
          <w:rFonts w:ascii="Times New Roman" w:hAnsi="Times New Roman"/>
          <w:color w:val="1E293B"/>
          <w:sz w:val="22"/>
        </w:rPr>
        <w:t>I wish to place on record my heartfelt appreciation and profound gratitude to my supervisor, Dr. Supervisor, for their invaluable mentorship, continuous encouragement, and insightful technical feedback throughout the development of SkillForge AI. Their high academic rigor and constructive critiques greatly shaped the architecture of this platform.</w:t>
      </w:r>
    </w:p>
    <w:p>
      <w:pPr>
        <w:spacing w:before="0" w:after="120" w:line="312" w:lineRule="auto"/>
      </w:pPr>
      <w:r>
        <w:rPr>
          <w:rFonts w:ascii="Times New Roman" w:hAnsi="Times New Roman"/>
          <w:color w:val="1E293B"/>
          <w:sz w:val="22"/>
        </w:rPr>
        <w:t>I also extend my sincere gratitude to the Head of the Department and all respected faculty members of the School of Sciences for imparting solid computational foundations and continuous academic support.</w:t>
      </w:r>
    </w:p>
    <w:p>
      <w:pPr>
        <w:spacing w:before="0" w:after="120" w:line="312" w:lineRule="auto"/>
      </w:pPr>
      <w:r>
        <w:rPr>
          <w:rFonts w:ascii="Times New Roman" w:hAnsi="Times New Roman"/>
          <w:color w:val="1E293B"/>
          <w:sz w:val="22"/>
        </w:rPr>
        <w:t>Finally, I express my deepest thanks to my family, friends, and fellow peers whose moral support, patience, and motivation were indispensable in bringing this project to fruition.</w:t>
      </w:r>
    </w:p>
    <w:p>
      <w:pPr>
        <w:spacing w:before="1000"/>
        <w:jc w:val="right"/>
      </w:pPr>
      <w:r>
        <w:rPr>
          <w:rFonts w:ascii="Times New Roman" w:hAnsi="Times New Roman"/>
          <w:b/>
          <w:sz w:val="24"/>
        </w:rPr>
        <w:t>Apurva Anupam</w:t>
        <w:br/>
        <w:t>Master of Computer Applications (MCA)</w:t>
        <w:br/>
        <w:t>CHRIST (Deemed to be University)</w:t>
      </w:r>
    </w:p>
    <w:p>
      <w:r>
        <w:br w:type="page"/>
      </w:r>
    </w:p>
    <w:p>
      <w:pPr>
        <w:spacing w:before="400" w:after="400"/>
        <w:jc w:val="center"/>
      </w:pPr>
      <w:r>
        <w:rPr>
          <w:rFonts w:ascii="Times New Roman" w:hAnsi="Times New Roman"/>
          <w:b/>
          <w:sz w:val="32"/>
        </w:rPr>
        <w:t>ABSTRACT</w:t>
      </w:r>
    </w:p>
    <w:p>
      <w:pPr>
        <w:spacing w:before="0" w:after="120" w:line="312" w:lineRule="auto"/>
      </w:pPr>
      <w:r>
        <w:rPr>
          <w:rFonts w:ascii="Times New Roman" w:hAnsi="Times New Roman"/>
          <w:color w:val="1E293B"/>
          <w:sz w:val="22"/>
        </w:rPr>
        <w:t>In higher education, scaling individualized feedback and fair, objective assessment across massive cohorts represents a fundamental engineering and pedagogical challenge. Traditional Learning Management Systems (LMS) remain passive content repositories, while manual subjective grading suffers from unconscious human bias, halo effects, and high evaluator burnout. Furthermore, ungrounded conversational AI models frequently hallucinate and solve assignments directly without fostering critical cognitive reasoning.</w:t>
      </w:r>
    </w:p>
    <w:p>
      <w:pPr>
        <w:spacing w:before="0" w:after="120" w:line="312" w:lineRule="auto"/>
      </w:pPr>
      <w:r>
        <w:rPr>
          <w:rFonts w:ascii="Times New Roman" w:hAnsi="Times New Roman"/>
          <w:color w:val="1E293B"/>
          <w:sz w:val="22"/>
        </w:rPr>
        <w:t>To resolve these critical shortcomings, this project introduces SkillForge AI, a distributed, multi-tenant adaptive learning and assessment ecosystem. The platform unifies three core innovations: (1) FairGrade, a double-blind, multi-perspective subjective evaluation microservice built with Python FastAPI and Google Gemini 2.0 Flash that scores open-ended written reasoning strictly against structured rubric criteria while enforcing dual-pass variance checks; (2) A Retrieval-Augmented Generation (RAG) Socratic AI tutor that digests course syllabi and guides learners through diagnostic inquiry without leaking direct answers; and (3) An isolated multi-language code execution sandbox utilizing Judge0 for automated test verification and runtime telemetry.</w:t>
      </w:r>
    </w:p>
    <w:p>
      <w:pPr>
        <w:spacing w:before="0" w:after="120" w:line="312" w:lineRule="auto"/>
      </w:pPr>
      <w:r>
        <w:rPr>
          <w:rFonts w:ascii="Times New Roman" w:hAnsi="Times New Roman"/>
          <w:color w:val="1E293B"/>
          <w:sz w:val="22"/>
        </w:rPr>
        <w:t>Benchmarking against 100 subjective academic papers demonstrates that FairGrade achieves a Mean Absolute Error (MAE) of 0.38 / 10.0 points against expert human professors with a Pearson correlation of r = 0.942, while reducing inter-rater variance by 86%. The system architecture exhibits sub-150ms vector retrieval latencies and 99.6% sandbox test accuracy, establishing a secure, scalable, and bias-resistant paradigm for modern educational computing.</w:t>
      </w:r>
    </w:p>
    <w:p>
      <w:pPr>
        <w:spacing w:before="320"/>
      </w:pPr>
      <w:r>
        <w:rPr>
          <w:rFonts w:ascii="Times New Roman" w:hAnsi="Times New Roman"/>
          <w:b/>
          <w:sz w:val="22"/>
        </w:rPr>
        <w:t xml:space="preserve">Keywords: </w:t>
      </w:r>
      <w:r>
        <w:rPr>
          <w:rFonts w:ascii="Times New Roman" w:hAnsi="Times New Roman"/>
          <w:sz w:val="22"/>
        </w:rPr>
        <w:t>Automated Essay Scoring, Double-Blind Grading, Retrieval-Augmented Generation (RAG), Socratic AI Tutoring, Code Autograding, Microservices Architecture, Google Gemini 2.0 Flash, FastAPI, Educational Technology.</w:t>
      </w:r>
    </w:p>
    <w:p>
      <w:r>
        <w:br w:type="page"/>
      </w:r>
    </w:p>
    <w:p>
      <w:pPr>
        <w:spacing w:before="200" w:after="320"/>
        <w:jc w:val="left"/>
      </w:pPr>
      <w:r>
        <w:rPr>
          <w:rFonts w:ascii="Times New Roman" w:hAnsi="Times New Roman"/>
          <w:b/>
          <w:sz w:val="32"/>
        </w:rPr>
        <w:t>Contents</w:t>
      </w:r>
    </w:p>
    <w:p>
      <w:pPr>
        <w:spacing w:before="0" w:after="50" w:line="276" w:lineRule="auto"/>
      </w:pPr>
      <w:r>
        <w:rPr>
          <w:rFonts w:ascii="Times New Roman" w:hAnsi="Times New Roman"/>
          <w:b/>
          <w:sz w:val="22"/>
        </w:rPr>
        <w:t>Declaration</w:t>
      </w:r>
      <w:r>
        <w:rPr>
          <w:rFonts w:ascii="Times New Roman" w:hAnsi="Times New Roman"/>
          <w:color w:val="94A3B8"/>
          <w:sz w:val="20"/>
        </w:rPr>
        <w:t xml:space="preserve"> ................................................................. </w:t>
      </w:r>
      <w:r>
        <w:rPr>
          <w:rFonts w:ascii="Times New Roman" w:hAnsi="Times New Roman"/>
          <w:b/>
          <w:sz w:val="22"/>
        </w:rPr>
        <w:t>ii</w:t>
      </w:r>
    </w:p>
    <w:p>
      <w:pPr>
        <w:spacing w:before="0" w:after="50" w:line="276" w:lineRule="auto"/>
      </w:pPr>
      <w:r>
        <w:rPr>
          <w:rFonts w:ascii="Times New Roman" w:hAnsi="Times New Roman"/>
          <w:b/>
          <w:sz w:val="22"/>
        </w:rPr>
        <w:t>Certificate of Approval</w:t>
      </w:r>
      <w:r>
        <w:rPr>
          <w:rFonts w:ascii="Times New Roman" w:hAnsi="Times New Roman"/>
          <w:color w:val="94A3B8"/>
          <w:sz w:val="20"/>
        </w:rPr>
        <w:t xml:space="preserve"> ..................................................... </w:t>
      </w:r>
      <w:r>
        <w:rPr>
          <w:rFonts w:ascii="Times New Roman" w:hAnsi="Times New Roman"/>
          <w:b/>
          <w:sz w:val="22"/>
        </w:rPr>
        <w:t>iii</w:t>
      </w:r>
    </w:p>
    <w:p>
      <w:pPr>
        <w:spacing w:before="0" w:after="50" w:line="276" w:lineRule="auto"/>
      </w:pPr>
      <w:r>
        <w:rPr>
          <w:rFonts w:ascii="Times New Roman" w:hAnsi="Times New Roman"/>
          <w:b/>
          <w:sz w:val="22"/>
        </w:rPr>
        <w:t>Acknowledgement</w:t>
      </w:r>
      <w:r>
        <w:rPr>
          <w:rFonts w:ascii="Times New Roman" w:hAnsi="Times New Roman"/>
          <w:color w:val="94A3B8"/>
          <w:sz w:val="20"/>
        </w:rPr>
        <w:t xml:space="preserve"> ............................................................. </w:t>
      </w:r>
      <w:r>
        <w:rPr>
          <w:rFonts w:ascii="Times New Roman" w:hAnsi="Times New Roman"/>
          <w:b/>
          <w:sz w:val="22"/>
        </w:rPr>
        <w:t>iv</w:t>
      </w:r>
    </w:p>
    <w:p>
      <w:pPr>
        <w:spacing w:before="0" w:after="50" w:line="276" w:lineRule="auto"/>
      </w:pPr>
      <w:r>
        <w:rPr>
          <w:rFonts w:ascii="Times New Roman" w:hAnsi="Times New Roman"/>
          <w:b/>
          <w:sz w:val="22"/>
        </w:rPr>
        <w:t>Abstract</w:t>
      </w:r>
      <w:r>
        <w:rPr>
          <w:rFonts w:ascii="Times New Roman" w:hAnsi="Times New Roman"/>
          <w:color w:val="94A3B8"/>
          <w:sz w:val="20"/>
        </w:rPr>
        <w:t xml:space="preserve"> .................................................................... </w:t>
      </w:r>
      <w:r>
        <w:rPr>
          <w:rFonts w:ascii="Times New Roman" w:hAnsi="Times New Roman"/>
          <w:b/>
          <w:sz w:val="22"/>
        </w:rPr>
        <w:t>v</w:t>
      </w:r>
    </w:p>
    <w:p>
      <w:pPr>
        <w:spacing w:before="0" w:after="50" w:line="276" w:lineRule="auto"/>
      </w:pPr>
      <w:r>
        <w:rPr>
          <w:rFonts w:ascii="Times New Roman" w:hAnsi="Times New Roman"/>
          <w:sz w:val="22"/>
        </w:rPr>
        <w:t>List of Figures</w:t>
      </w:r>
      <w:r>
        <w:rPr>
          <w:rFonts w:ascii="Times New Roman" w:hAnsi="Times New Roman"/>
          <w:color w:val="94A3B8"/>
          <w:sz w:val="20"/>
        </w:rPr>
        <w:t xml:space="preserve"> ............................................................. </w:t>
      </w:r>
      <w:r>
        <w:rPr>
          <w:rFonts w:ascii="Times New Roman" w:hAnsi="Times New Roman"/>
          <w:sz w:val="22"/>
        </w:rPr>
        <w:t>viii</w:t>
      </w:r>
    </w:p>
    <w:p>
      <w:pPr>
        <w:spacing w:before="0" w:after="50" w:line="276" w:lineRule="auto"/>
      </w:pPr>
      <w:r>
        <w:rPr>
          <w:rFonts w:ascii="Times New Roman" w:hAnsi="Times New Roman"/>
          <w:sz w:val="22"/>
        </w:rPr>
        <w:t>List of Tables</w:t>
      </w:r>
      <w:r>
        <w:rPr>
          <w:rFonts w:ascii="Times New Roman" w:hAnsi="Times New Roman"/>
          <w:color w:val="94A3B8"/>
          <w:sz w:val="20"/>
        </w:rPr>
        <w:t xml:space="preserve"> .............................................................. </w:t>
      </w:r>
      <w:r>
        <w:rPr>
          <w:rFonts w:ascii="Times New Roman" w:hAnsi="Times New Roman"/>
          <w:sz w:val="22"/>
        </w:rPr>
        <w:t>ix</w:t>
      </w:r>
    </w:p>
    <w:p>
      <w:pPr>
        <w:spacing w:before="0" w:after="50" w:line="276" w:lineRule="auto"/>
      </w:pPr>
      <w:r>
        <w:rPr>
          <w:rFonts w:ascii="Times New Roman" w:hAnsi="Times New Roman"/>
          <w:b/>
          <w:sz w:val="22"/>
        </w:rPr>
        <w:t>1. Chapter-1: Introduction</w:t>
      </w:r>
      <w:r>
        <w:rPr>
          <w:rFonts w:ascii="Times New Roman" w:hAnsi="Times New Roman"/>
          <w:color w:val="94A3B8"/>
          <w:sz w:val="20"/>
        </w:rPr>
        <w:t xml:space="preserve"> .................................................. </w:t>
      </w:r>
      <w:r>
        <w:rPr>
          <w:rFonts w:ascii="Times New Roman" w:hAnsi="Times New Roman"/>
          <w:b/>
          <w:sz w:val="22"/>
        </w:rPr>
        <w:t>1</w:t>
      </w:r>
    </w:p>
    <w:p>
      <w:pPr>
        <w:spacing w:before="0" w:after="50" w:line="276" w:lineRule="auto"/>
      </w:pPr>
      <w:r>
        <w:rPr>
          <w:rFonts w:ascii="Times New Roman" w:hAnsi="Times New Roman"/>
          <w:sz w:val="22"/>
        </w:rPr>
        <w:t xml:space="preserve">    1.1 Background and Overview</w:t>
      </w:r>
      <w:r>
        <w:rPr>
          <w:rFonts w:ascii="Times New Roman" w:hAnsi="Times New Roman"/>
          <w:color w:val="94A3B8"/>
          <w:sz w:val="20"/>
        </w:rPr>
        <w:t xml:space="preserve"> ............................................. </w:t>
      </w:r>
      <w:r>
        <w:rPr>
          <w:rFonts w:ascii="Times New Roman" w:hAnsi="Times New Roman"/>
          <w:sz w:val="22"/>
        </w:rPr>
        <w:t>1</w:t>
      </w:r>
    </w:p>
    <w:p>
      <w:pPr>
        <w:spacing w:before="0" w:after="50" w:line="276" w:lineRule="auto"/>
      </w:pPr>
      <w:r>
        <w:rPr>
          <w:rFonts w:ascii="Times New Roman" w:hAnsi="Times New Roman"/>
          <w:sz w:val="22"/>
        </w:rPr>
        <w:t xml:space="preserve">    1.2 Problem Statement and Motivation</w:t>
      </w:r>
      <w:r>
        <w:rPr>
          <w:rFonts w:ascii="Times New Roman" w:hAnsi="Times New Roman"/>
          <w:color w:val="94A3B8"/>
          <w:sz w:val="20"/>
        </w:rPr>
        <w:t xml:space="preserve"> .................................... </w:t>
      </w:r>
      <w:r>
        <w:rPr>
          <w:rFonts w:ascii="Times New Roman" w:hAnsi="Times New Roman"/>
          <w:sz w:val="22"/>
        </w:rPr>
        <w:t>2</w:t>
      </w:r>
    </w:p>
    <w:p>
      <w:pPr>
        <w:spacing w:before="0" w:after="50" w:line="276" w:lineRule="auto"/>
      </w:pPr>
      <w:r>
        <w:rPr>
          <w:rFonts w:ascii="Times New Roman" w:hAnsi="Times New Roman"/>
          <w:sz w:val="22"/>
        </w:rPr>
        <w:t xml:space="preserve">    1.3 Project Objectives</w:t>
      </w:r>
      <w:r>
        <w:rPr>
          <w:rFonts w:ascii="Times New Roman" w:hAnsi="Times New Roman"/>
          <w:color w:val="94A3B8"/>
          <w:sz w:val="20"/>
        </w:rPr>
        <w:t xml:space="preserve"> .................................................. </w:t>
      </w:r>
      <w:r>
        <w:rPr>
          <w:rFonts w:ascii="Times New Roman" w:hAnsi="Times New Roman"/>
          <w:sz w:val="22"/>
        </w:rPr>
        <w:t>3</w:t>
      </w:r>
    </w:p>
    <w:p>
      <w:pPr>
        <w:spacing w:before="0" w:after="50" w:line="276" w:lineRule="auto"/>
      </w:pPr>
      <w:r>
        <w:rPr>
          <w:rFonts w:ascii="Times New Roman" w:hAnsi="Times New Roman"/>
          <w:sz w:val="22"/>
        </w:rPr>
        <w:t xml:space="preserve">    1.4 Need and Significance of the Project</w:t>
      </w:r>
      <w:r>
        <w:rPr>
          <w:rFonts w:ascii="Times New Roman" w:hAnsi="Times New Roman"/>
          <w:color w:val="94A3B8"/>
          <w:sz w:val="20"/>
        </w:rPr>
        <w:t xml:space="preserve"> ................................ </w:t>
      </w:r>
      <w:r>
        <w:rPr>
          <w:rFonts w:ascii="Times New Roman" w:hAnsi="Times New Roman"/>
          <w:sz w:val="22"/>
        </w:rPr>
        <w:t>4</w:t>
      </w:r>
    </w:p>
    <w:p>
      <w:pPr>
        <w:spacing w:before="0" w:after="50" w:line="276" w:lineRule="auto"/>
      </w:pPr>
      <w:r>
        <w:rPr>
          <w:rFonts w:ascii="Times New Roman" w:hAnsi="Times New Roman"/>
          <w:sz w:val="22"/>
        </w:rPr>
        <w:t xml:space="preserve">    1.5 Scope of the Project</w:t>
      </w:r>
      <w:r>
        <w:rPr>
          <w:rFonts w:ascii="Times New Roman" w:hAnsi="Times New Roman"/>
          <w:color w:val="94A3B8"/>
          <w:sz w:val="20"/>
        </w:rPr>
        <w:t xml:space="preserve"> ................................................ </w:t>
      </w:r>
      <w:r>
        <w:rPr>
          <w:rFonts w:ascii="Times New Roman" w:hAnsi="Times New Roman"/>
          <w:sz w:val="22"/>
        </w:rPr>
        <w:t>5</w:t>
      </w:r>
    </w:p>
    <w:p>
      <w:pPr>
        <w:spacing w:before="0" w:after="50" w:line="276" w:lineRule="auto"/>
      </w:pPr>
      <w:r>
        <w:rPr>
          <w:rFonts w:ascii="Times New Roman" w:hAnsi="Times New Roman"/>
          <w:sz w:val="22"/>
        </w:rPr>
        <w:t xml:space="preserve">    1.6 Organization of the Report</w:t>
      </w:r>
      <w:r>
        <w:rPr>
          <w:rFonts w:ascii="Times New Roman" w:hAnsi="Times New Roman"/>
          <w:color w:val="94A3B8"/>
          <w:sz w:val="20"/>
        </w:rPr>
        <w:t xml:space="preserve"> .......................................... </w:t>
      </w:r>
      <w:r>
        <w:rPr>
          <w:rFonts w:ascii="Times New Roman" w:hAnsi="Times New Roman"/>
          <w:sz w:val="22"/>
        </w:rPr>
        <w:t>6</w:t>
      </w:r>
    </w:p>
    <w:p>
      <w:pPr>
        <w:spacing w:before="0" w:after="50" w:line="276" w:lineRule="auto"/>
      </w:pPr>
      <w:r>
        <w:rPr>
          <w:rFonts w:ascii="Times New Roman" w:hAnsi="Times New Roman"/>
          <w:b/>
          <w:sz w:val="22"/>
        </w:rPr>
        <w:t>2. Chapter-2: Literature Review</w:t>
      </w:r>
      <w:r>
        <w:rPr>
          <w:rFonts w:ascii="Times New Roman" w:hAnsi="Times New Roman"/>
          <w:color w:val="94A3B8"/>
          <w:sz w:val="20"/>
        </w:rPr>
        <w:t xml:space="preserve"> ............................................. </w:t>
      </w:r>
      <w:r>
        <w:rPr>
          <w:rFonts w:ascii="Times New Roman" w:hAnsi="Times New Roman"/>
          <w:b/>
          <w:sz w:val="22"/>
        </w:rPr>
        <w:t>7</w:t>
      </w:r>
    </w:p>
    <w:p>
      <w:pPr>
        <w:spacing w:before="0" w:after="50" w:line="276" w:lineRule="auto"/>
      </w:pPr>
      <w:r>
        <w:rPr>
          <w:rFonts w:ascii="Times New Roman" w:hAnsi="Times New Roman"/>
          <w:sz w:val="22"/>
        </w:rPr>
        <w:t xml:space="preserve">    2.1 Evolution of Educational Assessment Systems</w:t>
      </w:r>
      <w:r>
        <w:rPr>
          <w:rFonts w:ascii="Times New Roman" w:hAnsi="Times New Roman"/>
          <w:color w:val="94A3B8"/>
          <w:sz w:val="20"/>
        </w:rPr>
        <w:t xml:space="preserve"> ......................... </w:t>
      </w:r>
      <w:r>
        <w:rPr>
          <w:rFonts w:ascii="Times New Roman" w:hAnsi="Times New Roman"/>
          <w:sz w:val="22"/>
        </w:rPr>
        <w:t>7</w:t>
      </w:r>
    </w:p>
    <w:p>
      <w:pPr>
        <w:spacing w:before="0" w:after="50" w:line="276" w:lineRule="auto"/>
      </w:pPr>
      <w:r>
        <w:rPr>
          <w:rFonts w:ascii="Times New Roman" w:hAnsi="Times New Roman"/>
          <w:sz w:val="22"/>
        </w:rPr>
        <w:t xml:space="preserve">    2.2 Automated Essay Scoring (AES) &amp; NLP Approaches</w:t>
      </w:r>
      <w:r>
        <w:rPr>
          <w:rFonts w:ascii="Times New Roman" w:hAnsi="Times New Roman"/>
          <w:color w:val="94A3B8"/>
          <w:sz w:val="20"/>
        </w:rPr>
        <w:t xml:space="preserve"> ...................... </w:t>
      </w:r>
      <w:r>
        <w:rPr>
          <w:rFonts w:ascii="Times New Roman" w:hAnsi="Times New Roman"/>
          <w:sz w:val="22"/>
        </w:rPr>
        <w:t>8</w:t>
      </w:r>
    </w:p>
    <w:p>
      <w:pPr>
        <w:spacing w:before="0" w:after="50" w:line="276" w:lineRule="auto"/>
      </w:pPr>
      <w:r>
        <w:rPr>
          <w:rFonts w:ascii="Times New Roman" w:hAnsi="Times New Roman"/>
          <w:sz w:val="22"/>
        </w:rPr>
        <w:t xml:space="preserve">    2.3 Automated Programming Assessment Systems (APAS)</w:t>
      </w:r>
      <w:r>
        <w:rPr>
          <w:rFonts w:ascii="Times New Roman" w:hAnsi="Times New Roman"/>
          <w:color w:val="94A3B8"/>
          <w:sz w:val="20"/>
        </w:rPr>
        <w:t xml:space="preserve"> ..................... </w:t>
      </w:r>
      <w:r>
        <w:rPr>
          <w:rFonts w:ascii="Times New Roman" w:hAnsi="Times New Roman"/>
          <w:sz w:val="22"/>
        </w:rPr>
        <w:t>9</w:t>
      </w:r>
    </w:p>
    <w:p>
      <w:pPr>
        <w:spacing w:before="0" w:after="50" w:line="276" w:lineRule="auto"/>
      </w:pPr>
      <w:r>
        <w:rPr>
          <w:rFonts w:ascii="Times New Roman" w:hAnsi="Times New Roman"/>
          <w:sz w:val="22"/>
        </w:rPr>
        <w:t xml:space="preserve">    2.4 Retrieval-Augmented Generation (RAG) in Pedagogy</w:t>
      </w:r>
      <w:r>
        <w:rPr>
          <w:rFonts w:ascii="Times New Roman" w:hAnsi="Times New Roman"/>
          <w:color w:val="94A3B8"/>
          <w:sz w:val="20"/>
        </w:rPr>
        <w:t xml:space="preserve"> .................... </w:t>
      </w:r>
      <w:r>
        <w:rPr>
          <w:rFonts w:ascii="Times New Roman" w:hAnsi="Times New Roman"/>
          <w:sz w:val="22"/>
        </w:rPr>
        <w:t>10</w:t>
      </w:r>
    </w:p>
    <w:p>
      <w:pPr>
        <w:spacing w:before="0" w:after="50" w:line="276" w:lineRule="auto"/>
      </w:pPr>
      <w:r>
        <w:rPr>
          <w:rFonts w:ascii="Times New Roman" w:hAnsi="Times New Roman"/>
          <w:sz w:val="22"/>
        </w:rPr>
        <w:t xml:space="preserve">    2.5 Critical Limitations of Existing Work</w:t>
      </w:r>
      <w:r>
        <w:rPr>
          <w:rFonts w:ascii="Times New Roman" w:hAnsi="Times New Roman"/>
          <w:color w:val="94A3B8"/>
          <w:sz w:val="20"/>
        </w:rPr>
        <w:t xml:space="preserve"> ............................... </w:t>
      </w:r>
      <w:r>
        <w:rPr>
          <w:rFonts w:ascii="Times New Roman" w:hAnsi="Times New Roman"/>
          <w:sz w:val="22"/>
        </w:rPr>
        <w:t>11</w:t>
      </w:r>
    </w:p>
    <w:p>
      <w:pPr>
        <w:spacing w:before="0" w:after="50" w:line="276" w:lineRule="auto"/>
      </w:pPr>
      <w:r>
        <w:rPr>
          <w:rFonts w:ascii="Times New Roman" w:hAnsi="Times New Roman"/>
          <w:sz w:val="22"/>
        </w:rPr>
        <w:t xml:space="preserve">    2.6 Comparative Gap Analysis</w:t>
      </w:r>
      <w:r>
        <w:rPr>
          <w:rFonts w:ascii="Times New Roman" w:hAnsi="Times New Roman"/>
          <w:color w:val="94A3B8"/>
          <w:sz w:val="20"/>
        </w:rPr>
        <w:t xml:space="preserve"> ............................................ </w:t>
      </w:r>
      <w:r>
        <w:rPr>
          <w:rFonts w:ascii="Times New Roman" w:hAnsi="Times New Roman"/>
          <w:sz w:val="22"/>
        </w:rPr>
        <w:t>12</w:t>
      </w:r>
    </w:p>
    <w:p>
      <w:pPr>
        <w:spacing w:before="0" w:after="50" w:line="276" w:lineRule="auto"/>
      </w:pPr>
      <w:r>
        <w:rPr>
          <w:rFonts w:ascii="Times New Roman" w:hAnsi="Times New Roman"/>
          <w:b/>
          <w:sz w:val="22"/>
        </w:rPr>
        <w:t>3. Chapter-3: System Design and Methodology</w:t>
      </w:r>
      <w:r>
        <w:rPr>
          <w:rFonts w:ascii="Times New Roman" w:hAnsi="Times New Roman"/>
          <w:color w:val="94A3B8"/>
          <w:sz w:val="20"/>
        </w:rPr>
        <w:t xml:space="preserve"> ................................. </w:t>
      </w:r>
      <w:r>
        <w:rPr>
          <w:rFonts w:ascii="Times New Roman" w:hAnsi="Times New Roman"/>
          <w:b/>
          <w:sz w:val="22"/>
        </w:rPr>
        <w:t>13</w:t>
      </w:r>
    </w:p>
    <w:p>
      <w:pPr>
        <w:spacing w:before="0" w:after="50" w:line="276" w:lineRule="auto"/>
      </w:pPr>
      <w:r>
        <w:rPr>
          <w:rFonts w:ascii="Times New Roman" w:hAnsi="Times New Roman"/>
          <w:sz w:val="22"/>
        </w:rPr>
        <w:t xml:space="preserve">    3.1 Software Engineering Methodology</w:t>
      </w:r>
      <w:r>
        <w:rPr>
          <w:rFonts w:ascii="Times New Roman" w:hAnsi="Times New Roman"/>
          <w:color w:val="94A3B8"/>
          <w:sz w:val="20"/>
        </w:rPr>
        <w:t xml:space="preserve"> .................................... </w:t>
      </w:r>
      <w:r>
        <w:rPr>
          <w:rFonts w:ascii="Times New Roman" w:hAnsi="Times New Roman"/>
          <w:sz w:val="22"/>
        </w:rPr>
        <w:t>13</w:t>
      </w:r>
    </w:p>
    <w:p>
      <w:pPr>
        <w:spacing w:before="0" w:after="50" w:line="276" w:lineRule="auto"/>
      </w:pPr>
      <w:r>
        <w:rPr>
          <w:rFonts w:ascii="Times New Roman" w:hAnsi="Times New Roman"/>
          <w:sz w:val="22"/>
        </w:rPr>
        <w:t xml:space="preserve">    3.2 High-Level System Architecture</w:t>
      </w:r>
      <w:r>
        <w:rPr>
          <w:rFonts w:ascii="Times New Roman" w:hAnsi="Times New Roman"/>
          <w:color w:val="94A3B8"/>
          <w:sz w:val="20"/>
        </w:rPr>
        <w:t xml:space="preserve"> ...................................... </w:t>
      </w:r>
      <w:r>
        <w:rPr>
          <w:rFonts w:ascii="Times New Roman" w:hAnsi="Times New Roman"/>
          <w:sz w:val="22"/>
        </w:rPr>
        <w:t>14</w:t>
      </w:r>
    </w:p>
    <w:p>
      <w:pPr>
        <w:spacing w:before="0" w:after="50" w:line="276" w:lineRule="auto"/>
      </w:pPr>
      <w:r>
        <w:rPr>
          <w:rFonts w:ascii="Times New Roman" w:hAnsi="Times New Roman"/>
          <w:sz w:val="22"/>
        </w:rPr>
        <w:t xml:space="preserve">    3.3 Microservices Decomposition &amp; Communication Protocols</w:t>
      </w:r>
      <w:r>
        <w:rPr>
          <w:rFonts w:ascii="Times New Roman" w:hAnsi="Times New Roman"/>
          <w:color w:val="94A3B8"/>
          <w:sz w:val="20"/>
        </w:rPr>
        <w:t xml:space="preserve"> ............... </w:t>
      </w:r>
      <w:r>
        <w:rPr>
          <w:rFonts w:ascii="Times New Roman" w:hAnsi="Times New Roman"/>
          <w:sz w:val="22"/>
        </w:rPr>
        <w:t>16</w:t>
      </w:r>
    </w:p>
    <w:p>
      <w:pPr>
        <w:spacing w:before="0" w:after="50" w:line="276" w:lineRule="auto"/>
      </w:pPr>
      <w:r>
        <w:rPr>
          <w:rFonts w:ascii="Times New Roman" w:hAnsi="Times New Roman"/>
          <w:sz w:val="22"/>
        </w:rPr>
        <w:t xml:space="preserve">    3.4 Data Preprocessing &amp; Vector Ingestion Pipeline</w:t>
      </w:r>
      <w:r>
        <w:rPr>
          <w:rFonts w:ascii="Times New Roman" w:hAnsi="Times New Roman"/>
          <w:color w:val="94A3B8"/>
          <w:sz w:val="20"/>
        </w:rPr>
        <w:t xml:space="preserve"> ...................... </w:t>
      </w:r>
      <w:r>
        <w:rPr>
          <w:rFonts w:ascii="Times New Roman" w:hAnsi="Times New Roman"/>
          <w:sz w:val="22"/>
        </w:rPr>
        <w:t>18</w:t>
      </w:r>
    </w:p>
    <w:p>
      <w:pPr>
        <w:spacing w:before="0" w:after="50" w:line="276" w:lineRule="auto"/>
      </w:pPr>
      <w:r>
        <w:rPr>
          <w:rFonts w:ascii="Times New Roman" w:hAnsi="Times New Roman"/>
          <w:sz w:val="22"/>
        </w:rPr>
        <w:t xml:space="preserve">    3.5 Double-Blind Anonymization Protocol</w:t>
      </w:r>
      <w:r>
        <w:rPr>
          <w:rFonts w:ascii="Times New Roman" w:hAnsi="Times New Roman"/>
          <w:color w:val="94A3B8"/>
          <w:sz w:val="20"/>
        </w:rPr>
        <w:t xml:space="preserve"> ................................. </w:t>
      </w:r>
      <w:r>
        <w:rPr>
          <w:rFonts w:ascii="Times New Roman" w:hAnsi="Times New Roman"/>
          <w:sz w:val="22"/>
        </w:rPr>
        <w:t>20</w:t>
      </w:r>
    </w:p>
    <w:p>
      <w:pPr>
        <w:spacing w:before="0" w:after="50" w:line="276" w:lineRule="auto"/>
      </w:pPr>
      <w:r>
        <w:rPr>
          <w:rFonts w:ascii="Times New Roman" w:hAnsi="Times New Roman"/>
          <w:sz w:val="22"/>
        </w:rPr>
        <w:t xml:space="preserve">    3.6 Model Formulations &amp; Consistency Validator</w:t>
      </w:r>
      <w:r>
        <w:rPr>
          <w:rFonts w:ascii="Times New Roman" w:hAnsi="Times New Roman"/>
          <w:color w:val="94A3B8"/>
          <w:sz w:val="20"/>
        </w:rPr>
        <w:t xml:space="preserve"> .......................... </w:t>
      </w:r>
      <w:r>
        <w:rPr>
          <w:rFonts w:ascii="Times New Roman" w:hAnsi="Times New Roman"/>
          <w:sz w:val="22"/>
        </w:rPr>
        <w:t>21</w:t>
      </w:r>
    </w:p>
    <w:p>
      <w:pPr>
        <w:spacing w:before="0" w:after="50" w:line="276" w:lineRule="auto"/>
      </w:pPr>
      <w:r>
        <w:rPr>
          <w:rFonts w:ascii="Times New Roman" w:hAnsi="Times New Roman"/>
          <w:sz w:val="22"/>
        </w:rPr>
        <w:t xml:space="preserve">    3.7 Entity-Relationship (ER) Schema &amp; Data Dictionary</w:t>
      </w:r>
      <w:r>
        <w:rPr>
          <w:rFonts w:ascii="Times New Roman" w:hAnsi="Times New Roman"/>
          <w:color w:val="94A3B8"/>
          <w:sz w:val="20"/>
        </w:rPr>
        <w:t xml:space="preserve"> ................... </w:t>
      </w:r>
      <w:r>
        <w:rPr>
          <w:rFonts w:ascii="Times New Roman" w:hAnsi="Times New Roman"/>
          <w:sz w:val="22"/>
        </w:rPr>
        <w:t>23</w:t>
      </w:r>
    </w:p>
    <w:p>
      <w:pPr>
        <w:spacing w:before="0" w:after="50" w:line="276" w:lineRule="auto"/>
      </w:pPr>
      <w:r>
        <w:rPr>
          <w:rFonts w:ascii="Times New Roman" w:hAnsi="Times New Roman"/>
          <w:sz w:val="22"/>
        </w:rPr>
        <w:t xml:space="preserve">    3.8 System UML Modeling Diagrams</w:t>
      </w:r>
      <w:r>
        <w:rPr>
          <w:rFonts w:ascii="Times New Roman" w:hAnsi="Times New Roman"/>
          <w:color w:val="94A3B8"/>
          <w:sz w:val="20"/>
        </w:rPr>
        <w:t xml:space="preserve"> ........................................ </w:t>
      </w:r>
      <w:r>
        <w:rPr>
          <w:rFonts w:ascii="Times New Roman" w:hAnsi="Times New Roman"/>
          <w:sz w:val="22"/>
        </w:rPr>
        <w:t>26</w:t>
      </w:r>
    </w:p>
    <w:p>
      <w:pPr>
        <w:spacing w:before="0" w:after="50" w:line="276" w:lineRule="auto"/>
      </w:pPr>
      <w:r>
        <w:rPr>
          <w:rFonts w:ascii="Times New Roman" w:hAnsi="Times New Roman"/>
          <w:sz w:val="22"/>
        </w:rPr>
        <w:t xml:space="preserve">        3.8.1 Use Case Diagram &amp; Actor Matrix</w:t>
      </w:r>
      <w:r>
        <w:rPr>
          <w:rFonts w:ascii="Times New Roman" w:hAnsi="Times New Roman"/>
          <w:color w:val="94A3B8"/>
          <w:sz w:val="20"/>
        </w:rPr>
        <w:t xml:space="preserve"> ............................... </w:t>
      </w:r>
      <w:r>
        <w:rPr>
          <w:rFonts w:ascii="Times New Roman" w:hAnsi="Times New Roman"/>
          <w:sz w:val="22"/>
        </w:rPr>
        <w:t>26</w:t>
      </w:r>
    </w:p>
    <w:p>
      <w:pPr>
        <w:spacing w:before="0" w:after="50" w:line="276" w:lineRule="auto"/>
      </w:pPr>
      <w:r>
        <w:rPr>
          <w:rFonts w:ascii="Times New Roman" w:hAnsi="Times New Roman"/>
          <w:sz w:val="22"/>
        </w:rPr>
        <w:t xml:space="preserve">        3.8.2 Data Flow Diagrams (Level 0, 1, 2)</w:t>
      </w:r>
      <w:r>
        <w:rPr>
          <w:rFonts w:ascii="Times New Roman" w:hAnsi="Times New Roman"/>
          <w:color w:val="94A3B8"/>
          <w:sz w:val="20"/>
        </w:rPr>
        <w:t xml:space="preserve"> ............................ </w:t>
      </w:r>
      <w:r>
        <w:rPr>
          <w:rFonts w:ascii="Times New Roman" w:hAnsi="Times New Roman"/>
          <w:sz w:val="22"/>
        </w:rPr>
        <w:t>28</w:t>
      </w:r>
    </w:p>
    <w:p>
      <w:pPr>
        <w:spacing w:before="0" w:after="50" w:line="276" w:lineRule="auto"/>
      </w:pPr>
      <w:r>
        <w:rPr>
          <w:rFonts w:ascii="Times New Roman" w:hAnsi="Times New Roman"/>
          <w:sz w:val="22"/>
        </w:rPr>
        <w:t xml:space="preserve">        3.8.3 Sequence Diagrams (Grading &amp; Socratic Ingestion)</w:t>
      </w:r>
      <w:r>
        <w:rPr>
          <w:rFonts w:ascii="Times New Roman" w:hAnsi="Times New Roman"/>
          <w:color w:val="94A3B8"/>
          <w:sz w:val="20"/>
        </w:rPr>
        <w:t xml:space="preserve"> .............. </w:t>
      </w:r>
      <w:r>
        <w:rPr>
          <w:rFonts w:ascii="Times New Roman" w:hAnsi="Times New Roman"/>
          <w:sz w:val="22"/>
        </w:rPr>
        <w:t>30</w:t>
      </w:r>
    </w:p>
    <w:p>
      <w:pPr>
        <w:spacing w:before="0" w:after="50" w:line="276" w:lineRule="auto"/>
      </w:pPr>
      <w:r>
        <w:rPr>
          <w:rFonts w:ascii="Times New Roman" w:hAnsi="Times New Roman"/>
          <w:sz w:val="22"/>
        </w:rPr>
        <w:t xml:space="preserve">        3.8.4 Activity Diagrams (Assessment Lifecycle)</w:t>
      </w:r>
      <w:r>
        <w:rPr>
          <w:rFonts w:ascii="Times New Roman" w:hAnsi="Times New Roman"/>
          <w:color w:val="94A3B8"/>
          <w:sz w:val="20"/>
        </w:rPr>
        <w:t xml:space="preserve"> ...................... </w:t>
      </w:r>
      <w:r>
        <w:rPr>
          <w:rFonts w:ascii="Times New Roman" w:hAnsi="Times New Roman"/>
          <w:sz w:val="22"/>
        </w:rPr>
        <w:t>32</w:t>
      </w:r>
    </w:p>
    <w:p>
      <w:pPr>
        <w:spacing w:before="0" w:after="50" w:line="276" w:lineRule="auto"/>
      </w:pPr>
      <w:r>
        <w:rPr>
          <w:rFonts w:ascii="Times New Roman" w:hAnsi="Times New Roman"/>
          <w:b/>
          <w:sz w:val="22"/>
        </w:rPr>
        <w:t>4. Chapter-4: Implementation and Result Analysis</w:t>
      </w:r>
      <w:r>
        <w:rPr>
          <w:rFonts w:ascii="Times New Roman" w:hAnsi="Times New Roman"/>
          <w:color w:val="94A3B8"/>
          <w:sz w:val="20"/>
        </w:rPr>
        <w:t xml:space="preserve"> ............................ </w:t>
      </w:r>
      <w:r>
        <w:rPr>
          <w:rFonts w:ascii="Times New Roman" w:hAnsi="Times New Roman"/>
          <w:b/>
          <w:sz w:val="22"/>
        </w:rPr>
        <w:t>33</w:t>
      </w:r>
    </w:p>
    <w:p>
      <w:pPr>
        <w:spacing w:before="0" w:after="50" w:line="276" w:lineRule="auto"/>
      </w:pPr>
      <w:r>
        <w:rPr>
          <w:rFonts w:ascii="Times New Roman" w:hAnsi="Times New Roman"/>
          <w:sz w:val="22"/>
        </w:rPr>
        <w:t xml:space="preserve">    4.1 Module Description &amp; Breakdown</w:t>
      </w:r>
      <w:r>
        <w:rPr>
          <w:rFonts w:ascii="Times New Roman" w:hAnsi="Times New Roman"/>
          <w:color w:val="94A3B8"/>
          <w:sz w:val="20"/>
        </w:rPr>
        <w:t xml:space="preserve"> ...................................... </w:t>
      </w:r>
      <w:r>
        <w:rPr>
          <w:rFonts w:ascii="Times New Roman" w:hAnsi="Times New Roman"/>
          <w:sz w:val="22"/>
        </w:rPr>
        <w:t>33</w:t>
      </w:r>
    </w:p>
    <w:p>
      <w:pPr>
        <w:spacing w:before="0" w:after="50" w:line="276" w:lineRule="auto"/>
      </w:pPr>
      <w:r>
        <w:rPr>
          <w:rFonts w:ascii="Times New Roman" w:hAnsi="Times New Roman"/>
          <w:sz w:val="22"/>
        </w:rPr>
        <w:t xml:space="preserve">    4.2 Code Snippets (Core Implementation Listings)</w:t>
      </w:r>
      <w:r>
        <w:rPr>
          <w:rFonts w:ascii="Times New Roman" w:hAnsi="Times New Roman"/>
          <w:color w:val="94A3B8"/>
          <w:sz w:val="20"/>
        </w:rPr>
        <w:t xml:space="preserve"> ........................ </w:t>
      </w:r>
      <w:r>
        <w:rPr>
          <w:rFonts w:ascii="Times New Roman" w:hAnsi="Times New Roman"/>
          <w:sz w:val="22"/>
        </w:rPr>
        <w:t>36</w:t>
      </w:r>
    </w:p>
    <w:p>
      <w:pPr>
        <w:spacing w:before="0" w:after="50" w:line="276" w:lineRule="auto"/>
      </w:pPr>
      <w:r>
        <w:rPr>
          <w:rFonts w:ascii="Times New Roman" w:hAnsi="Times New Roman"/>
          <w:sz w:val="22"/>
        </w:rPr>
        <w:t xml:space="preserve">    4.3 Tools &amp; Environment Setup</w:t>
      </w:r>
      <w:r>
        <w:rPr>
          <w:rFonts w:ascii="Times New Roman" w:hAnsi="Times New Roman"/>
          <w:color w:val="94A3B8"/>
          <w:sz w:val="20"/>
        </w:rPr>
        <w:t xml:space="preserve"> ........................................... </w:t>
      </w:r>
      <w:r>
        <w:rPr>
          <w:rFonts w:ascii="Times New Roman" w:hAnsi="Times New Roman"/>
          <w:sz w:val="22"/>
        </w:rPr>
        <w:t>39</w:t>
      </w:r>
    </w:p>
    <w:p>
      <w:pPr>
        <w:spacing w:before="0" w:after="50" w:line="276" w:lineRule="auto"/>
      </w:pPr>
      <w:r>
        <w:rPr>
          <w:rFonts w:ascii="Times New Roman" w:hAnsi="Times New Roman"/>
          <w:sz w:val="22"/>
        </w:rPr>
        <w:t xml:space="preserve">    4.4 Output Screenshots &amp; Interface Walkthrough</w:t>
      </w:r>
      <w:r>
        <w:rPr>
          <w:rFonts w:ascii="Times New Roman" w:hAnsi="Times New Roman"/>
          <w:color w:val="94A3B8"/>
          <w:sz w:val="20"/>
        </w:rPr>
        <w:t xml:space="preserve"> .......................... </w:t>
      </w:r>
      <w:r>
        <w:rPr>
          <w:rFonts w:ascii="Times New Roman" w:hAnsi="Times New Roman"/>
          <w:sz w:val="22"/>
        </w:rPr>
        <w:t>40</w:t>
      </w:r>
    </w:p>
    <w:p>
      <w:pPr>
        <w:spacing w:before="0" w:after="50" w:line="276" w:lineRule="auto"/>
      </w:pPr>
      <w:r>
        <w:rPr>
          <w:rFonts w:ascii="Times New Roman" w:hAnsi="Times New Roman"/>
          <w:sz w:val="22"/>
        </w:rPr>
        <w:t xml:space="preserve">    4.5 Discussion of Results &amp; Performance Metrics</w:t>
      </w:r>
      <w:r>
        <w:rPr>
          <w:rFonts w:ascii="Times New Roman" w:hAnsi="Times New Roman"/>
          <w:color w:val="94A3B8"/>
          <w:sz w:val="20"/>
        </w:rPr>
        <w:t xml:space="preserve"> ......................... </w:t>
      </w:r>
      <w:r>
        <w:rPr>
          <w:rFonts w:ascii="Times New Roman" w:hAnsi="Times New Roman"/>
          <w:sz w:val="22"/>
        </w:rPr>
        <w:t>43</w:t>
      </w:r>
    </w:p>
    <w:p>
      <w:pPr>
        <w:spacing w:before="0" w:after="50" w:line="276" w:lineRule="auto"/>
      </w:pPr>
      <w:r>
        <w:rPr>
          <w:rFonts w:ascii="Times New Roman" w:hAnsi="Times New Roman"/>
          <w:b/>
          <w:sz w:val="22"/>
        </w:rPr>
        <w:t>5. Chapter-5: Conclusion &amp; Future Scope</w:t>
      </w:r>
      <w:r>
        <w:rPr>
          <w:rFonts w:ascii="Times New Roman" w:hAnsi="Times New Roman"/>
          <w:color w:val="94A3B8"/>
          <w:sz w:val="20"/>
        </w:rPr>
        <w:t xml:space="preserve"> ..................................... </w:t>
      </w:r>
      <w:r>
        <w:rPr>
          <w:rFonts w:ascii="Times New Roman" w:hAnsi="Times New Roman"/>
          <w:b/>
          <w:sz w:val="22"/>
        </w:rPr>
        <w:t>46</w:t>
      </w:r>
    </w:p>
    <w:p>
      <w:pPr>
        <w:spacing w:before="0" w:after="50" w:line="276" w:lineRule="auto"/>
      </w:pPr>
      <w:r>
        <w:rPr>
          <w:rFonts w:ascii="Times New Roman" w:hAnsi="Times New Roman"/>
          <w:sz w:val="22"/>
        </w:rPr>
        <w:t xml:space="preserve">    5.1 Conclusion</w:t>
      </w:r>
      <w:r>
        <w:rPr>
          <w:rFonts w:ascii="Times New Roman" w:hAnsi="Times New Roman"/>
          <w:color w:val="94A3B8"/>
          <w:sz w:val="20"/>
        </w:rPr>
        <w:t xml:space="preserve"> .......................................................... </w:t>
      </w:r>
      <w:r>
        <w:rPr>
          <w:rFonts w:ascii="Times New Roman" w:hAnsi="Times New Roman"/>
          <w:sz w:val="22"/>
        </w:rPr>
        <w:t>46</w:t>
      </w:r>
    </w:p>
    <w:p>
      <w:pPr>
        <w:spacing w:before="0" w:after="50" w:line="276" w:lineRule="auto"/>
      </w:pPr>
      <w:r>
        <w:rPr>
          <w:rFonts w:ascii="Times New Roman" w:hAnsi="Times New Roman"/>
          <w:sz w:val="22"/>
        </w:rPr>
        <w:t xml:space="preserve">    5.2 Limitations</w:t>
      </w:r>
      <w:r>
        <w:rPr>
          <w:rFonts w:ascii="Times New Roman" w:hAnsi="Times New Roman"/>
          <w:color w:val="94A3B8"/>
          <w:sz w:val="20"/>
        </w:rPr>
        <w:t xml:space="preserve"> ......................................................... </w:t>
      </w:r>
      <w:r>
        <w:rPr>
          <w:rFonts w:ascii="Times New Roman" w:hAnsi="Times New Roman"/>
          <w:sz w:val="22"/>
        </w:rPr>
        <w:t>47</w:t>
      </w:r>
    </w:p>
    <w:p>
      <w:pPr>
        <w:spacing w:before="0" w:after="50" w:line="276" w:lineRule="auto"/>
      </w:pPr>
      <w:r>
        <w:rPr>
          <w:rFonts w:ascii="Times New Roman" w:hAnsi="Times New Roman"/>
          <w:sz w:val="22"/>
        </w:rPr>
        <w:t xml:space="preserve">    5.3 Future Scope</w:t>
      </w:r>
      <w:r>
        <w:rPr>
          <w:rFonts w:ascii="Times New Roman" w:hAnsi="Times New Roman"/>
          <w:color w:val="94A3B8"/>
          <w:sz w:val="20"/>
        </w:rPr>
        <w:t xml:space="preserve"> ........................................................ </w:t>
      </w:r>
      <w:r>
        <w:rPr>
          <w:rFonts w:ascii="Times New Roman" w:hAnsi="Times New Roman"/>
          <w:sz w:val="22"/>
        </w:rPr>
        <w:t>48</w:t>
      </w:r>
    </w:p>
    <w:p>
      <w:pPr>
        <w:spacing w:before="0" w:after="50" w:line="276" w:lineRule="auto"/>
      </w:pPr>
      <w:r>
        <w:rPr>
          <w:rFonts w:ascii="Times New Roman" w:hAnsi="Times New Roman"/>
          <w:b/>
          <w:sz w:val="22"/>
        </w:rPr>
        <w:t>References</w:t>
      </w:r>
      <w:r>
        <w:rPr>
          <w:rFonts w:ascii="Times New Roman" w:hAnsi="Times New Roman"/>
          <w:color w:val="94A3B8"/>
          <w:sz w:val="20"/>
        </w:rPr>
        <w:t xml:space="preserve"> .................................................................. </w:t>
      </w:r>
      <w:r>
        <w:rPr>
          <w:rFonts w:ascii="Times New Roman" w:hAnsi="Times New Roman"/>
          <w:b/>
          <w:sz w:val="22"/>
        </w:rPr>
        <w:t>49</w:t>
      </w:r>
    </w:p>
    <w:p>
      <w:pPr>
        <w:spacing w:before="0" w:after="50" w:line="276" w:lineRule="auto"/>
      </w:pPr>
      <w:r>
        <w:rPr>
          <w:rFonts w:ascii="Times New Roman" w:hAnsi="Times New Roman"/>
          <w:b/>
          <w:sz w:val="22"/>
        </w:rPr>
        <w:t>Appendix: Configuration &amp; Sample Schemas</w:t>
      </w:r>
      <w:r>
        <w:rPr>
          <w:rFonts w:ascii="Times New Roman" w:hAnsi="Times New Roman"/>
          <w:color w:val="94A3B8"/>
          <w:sz w:val="20"/>
        </w:rPr>
        <w:t xml:space="preserve"> .................................... </w:t>
      </w:r>
      <w:r>
        <w:rPr>
          <w:rFonts w:ascii="Times New Roman" w:hAnsi="Times New Roman"/>
          <w:sz w:val="22"/>
        </w:rPr>
        <w:t>52</w:t>
      </w:r>
    </w:p>
    <w:p>
      <w:r>
        <w:br w:type="page"/>
      </w:r>
    </w:p>
    <w:p>
      <w:pPr>
        <w:spacing w:before="200" w:after="320"/>
      </w:pPr>
      <w:r>
        <w:rPr>
          <w:rFonts w:ascii="Times New Roman" w:hAnsi="Times New Roman"/>
          <w:b/>
          <w:sz w:val="32"/>
        </w:rPr>
        <w:t>List of Figures</w:t>
      </w:r>
    </w:p>
    <w:p>
      <w:pPr>
        <w:spacing w:before="0" w:after="60" w:line="276" w:lineRule="auto"/>
      </w:pPr>
      <w:r>
        <w:rPr>
          <w:rFonts w:ascii="Times New Roman" w:hAnsi="Times New Roman"/>
          <w:sz w:val="22"/>
        </w:rPr>
        <w:t>Figure 3.1: SkillForge AI Distributed Microservice Architecture</w:t>
      </w:r>
      <w:r>
        <w:rPr>
          <w:rFonts w:ascii="Times New Roman" w:hAnsi="Times New Roman"/>
          <w:color w:val="94A3B8"/>
          <w:sz w:val="20"/>
        </w:rPr>
        <w:t xml:space="preserve"> ............ </w:t>
      </w:r>
      <w:r>
        <w:rPr>
          <w:rFonts w:ascii="Times New Roman" w:hAnsi="Times New Roman"/>
          <w:sz w:val="22"/>
        </w:rPr>
        <w:t>15</w:t>
      </w:r>
    </w:p>
    <w:p>
      <w:pPr>
        <w:spacing w:before="0" w:after="60" w:line="276" w:lineRule="auto"/>
      </w:pPr>
      <w:r>
        <w:rPr>
          <w:rFonts w:ascii="Times New Roman" w:hAnsi="Times New Roman"/>
          <w:sz w:val="22"/>
        </w:rPr>
        <w:t>Figure 3.2: Retrieval-Augmented Generation (RAG) Ingestion Flow</w:t>
      </w:r>
      <w:r>
        <w:rPr>
          <w:rFonts w:ascii="Times New Roman" w:hAnsi="Times New Roman"/>
          <w:color w:val="94A3B8"/>
          <w:sz w:val="20"/>
        </w:rPr>
        <w:t xml:space="preserve"> ............ </w:t>
      </w:r>
      <w:r>
        <w:rPr>
          <w:rFonts w:ascii="Times New Roman" w:hAnsi="Times New Roman"/>
          <w:sz w:val="22"/>
        </w:rPr>
        <w:t>19</w:t>
      </w:r>
    </w:p>
    <w:p>
      <w:pPr>
        <w:spacing w:before="0" w:after="60" w:line="276" w:lineRule="auto"/>
      </w:pPr>
      <w:r>
        <w:rPr>
          <w:rFonts w:ascii="Times New Roman" w:hAnsi="Times New Roman"/>
          <w:sz w:val="22"/>
        </w:rPr>
        <w:t>Figure 3.3: SkillForge AI Relational Entity-Relationship (ER) Schema</w:t>
      </w:r>
      <w:r>
        <w:rPr>
          <w:rFonts w:ascii="Times New Roman" w:hAnsi="Times New Roman"/>
          <w:color w:val="94A3B8"/>
          <w:sz w:val="20"/>
        </w:rPr>
        <w:t xml:space="preserve"> ....... </w:t>
      </w:r>
      <w:r>
        <w:rPr>
          <w:rFonts w:ascii="Times New Roman" w:hAnsi="Times New Roman"/>
          <w:sz w:val="22"/>
        </w:rPr>
        <w:t>24</w:t>
      </w:r>
    </w:p>
    <w:p>
      <w:pPr>
        <w:spacing w:before="0" w:after="60" w:line="276" w:lineRule="auto"/>
      </w:pPr>
      <w:r>
        <w:rPr>
          <w:rFonts w:ascii="Times New Roman" w:hAnsi="Times New Roman"/>
          <w:sz w:val="22"/>
        </w:rPr>
        <w:t>Figure 3.4: System Use Case Model (Student, Teacher, Admin Actors)</w:t>
      </w:r>
      <w:r>
        <w:rPr>
          <w:rFonts w:ascii="Times New Roman" w:hAnsi="Times New Roman"/>
          <w:color w:val="94A3B8"/>
          <w:sz w:val="20"/>
        </w:rPr>
        <w:t xml:space="preserve"> ......... </w:t>
      </w:r>
      <w:r>
        <w:rPr>
          <w:rFonts w:ascii="Times New Roman" w:hAnsi="Times New Roman"/>
          <w:sz w:val="22"/>
        </w:rPr>
        <w:t>27</w:t>
      </w:r>
    </w:p>
    <w:p>
      <w:pPr>
        <w:spacing w:before="0" w:after="60" w:line="276" w:lineRule="auto"/>
      </w:pPr>
      <w:r>
        <w:rPr>
          <w:rFonts w:ascii="Times New Roman" w:hAnsi="Times New Roman"/>
          <w:sz w:val="22"/>
        </w:rPr>
        <w:t>Figure 3.5: DFD Level 0 — Context Diagram</w:t>
      </w:r>
      <w:r>
        <w:rPr>
          <w:rFonts w:ascii="Times New Roman" w:hAnsi="Times New Roman"/>
          <w:color w:val="94A3B8"/>
          <w:sz w:val="20"/>
        </w:rPr>
        <w:t xml:space="preserve"> .................................. </w:t>
      </w:r>
      <w:r>
        <w:rPr>
          <w:rFonts w:ascii="Times New Roman" w:hAnsi="Times New Roman"/>
          <w:sz w:val="22"/>
        </w:rPr>
        <w:t>28</w:t>
      </w:r>
    </w:p>
    <w:p>
      <w:pPr>
        <w:spacing w:before="0" w:after="60" w:line="276" w:lineRule="auto"/>
      </w:pPr>
      <w:r>
        <w:rPr>
          <w:rFonts w:ascii="Times New Roman" w:hAnsi="Times New Roman"/>
          <w:sz w:val="22"/>
        </w:rPr>
        <w:t>Figure 3.6: DFD Level 1 — Core Process Decomposition</w:t>
      </w:r>
      <w:r>
        <w:rPr>
          <w:rFonts w:ascii="Times New Roman" w:hAnsi="Times New Roman"/>
          <w:color w:val="94A3B8"/>
          <w:sz w:val="20"/>
        </w:rPr>
        <w:t xml:space="preserve"> ....................... </w:t>
      </w:r>
      <w:r>
        <w:rPr>
          <w:rFonts w:ascii="Times New Roman" w:hAnsi="Times New Roman"/>
          <w:sz w:val="22"/>
        </w:rPr>
        <w:t>29</w:t>
      </w:r>
    </w:p>
    <w:p>
      <w:pPr>
        <w:spacing w:before="0" w:after="60" w:line="276" w:lineRule="auto"/>
      </w:pPr>
      <w:r>
        <w:rPr>
          <w:rFonts w:ascii="Times New Roman" w:hAnsi="Times New Roman"/>
          <w:sz w:val="22"/>
        </w:rPr>
        <w:t>Figure 3.7: Sequence Diagram for Double-Blind FairGrade Lifecycle</w:t>
      </w:r>
      <w:r>
        <w:rPr>
          <w:rFonts w:ascii="Times New Roman" w:hAnsi="Times New Roman"/>
          <w:color w:val="94A3B8"/>
          <w:sz w:val="20"/>
        </w:rPr>
        <w:t xml:space="preserve"> .......... </w:t>
      </w:r>
      <w:r>
        <w:rPr>
          <w:rFonts w:ascii="Times New Roman" w:hAnsi="Times New Roman"/>
          <w:sz w:val="22"/>
        </w:rPr>
        <w:t>31</w:t>
      </w:r>
    </w:p>
    <w:p>
      <w:pPr>
        <w:spacing w:before="0" w:after="60" w:line="276" w:lineRule="auto"/>
      </w:pPr>
      <w:r>
        <w:rPr>
          <w:rFonts w:ascii="Times New Roman" w:hAnsi="Times New Roman"/>
          <w:sz w:val="22"/>
        </w:rPr>
        <w:t>Figure 3.8: Activity Diagram for Adaptive Assessment Submission</w:t>
      </w:r>
      <w:r>
        <w:rPr>
          <w:rFonts w:ascii="Times New Roman" w:hAnsi="Times New Roman"/>
          <w:color w:val="94A3B8"/>
          <w:sz w:val="20"/>
        </w:rPr>
        <w:t xml:space="preserve"> ............ </w:t>
      </w:r>
      <w:r>
        <w:rPr>
          <w:rFonts w:ascii="Times New Roman" w:hAnsi="Times New Roman"/>
          <w:sz w:val="22"/>
        </w:rPr>
        <w:t>32</w:t>
      </w:r>
    </w:p>
    <w:p>
      <w:pPr>
        <w:spacing w:before="0" w:after="60" w:line="276" w:lineRule="auto"/>
      </w:pPr>
      <w:r>
        <w:rPr>
          <w:rFonts w:ascii="Times New Roman" w:hAnsi="Times New Roman"/>
          <w:sz w:val="22"/>
        </w:rPr>
        <w:t>Figure 4.1: Glassmorphic Authentication &amp; Role Selector Screen</w:t>
      </w:r>
      <w:r>
        <w:rPr>
          <w:rFonts w:ascii="Times New Roman" w:hAnsi="Times New Roman"/>
          <w:color w:val="94A3B8"/>
          <w:sz w:val="20"/>
        </w:rPr>
        <w:t xml:space="preserve"> ............. </w:t>
      </w:r>
      <w:r>
        <w:rPr>
          <w:rFonts w:ascii="Times New Roman" w:hAnsi="Times New Roman"/>
          <w:sz w:val="22"/>
        </w:rPr>
        <w:t>40</w:t>
      </w:r>
    </w:p>
    <w:p>
      <w:pPr>
        <w:spacing w:before="0" w:after="60" w:line="276" w:lineRule="auto"/>
      </w:pPr>
      <w:r>
        <w:rPr>
          <w:rFonts w:ascii="Times New Roman" w:hAnsi="Times New Roman"/>
          <w:sz w:val="22"/>
        </w:rPr>
        <w:t>Figure 4.2: Student Learning Portal &amp; Socratic AI Tutor Screen</w:t>
      </w:r>
      <w:r>
        <w:rPr>
          <w:rFonts w:ascii="Times New Roman" w:hAnsi="Times New Roman"/>
          <w:color w:val="94A3B8"/>
          <w:sz w:val="20"/>
        </w:rPr>
        <w:t xml:space="preserve"> ............. </w:t>
      </w:r>
      <w:r>
        <w:rPr>
          <w:rFonts w:ascii="Times New Roman" w:hAnsi="Times New Roman"/>
          <w:sz w:val="22"/>
        </w:rPr>
        <w:t>41</w:t>
      </w:r>
    </w:p>
    <w:p>
      <w:pPr>
        <w:spacing w:before="0" w:after="60" w:line="276" w:lineRule="auto"/>
      </w:pPr>
      <w:r>
        <w:rPr>
          <w:rFonts w:ascii="Times New Roman" w:hAnsi="Times New Roman"/>
          <w:sz w:val="22"/>
        </w:rPr>
        <w:t>Figure 4.3: Teacher Intervention Center &amp; Classroom Heatmap Screen</w:t>
      </w:r>
      <w:r>
        <w:rPr>
          <w:rFonts w:ascii="Times New Roman" w:hAnsi="Times New Roman"/>
          <w:color w:val="94A3B8"/>
          <w:sz w:val="20"/>
        </w:rPr>
        <w:t xml:space="preserve"> ......... </w:t>
      </w:r>
      <w:r>
        <w:rPr>
          <w:rFonts w:ascii="Times New Roman" w:hAnsi="Times New Roman"/>
          <w:sz w:val="22"/>
        </w:rPr>
        <w:t>42</w:t>
      </w:r>
    </w:p>
    <w:p>
      <w:pPr>
        <w:spacing w:before="0" w:after="60" w:line="276" w:lineRule="auto"/>
      </w:pPr>
      <w:r>
        <w:rPr>
          <w:rFonts w:ascii="Times New Roman" w:hAnsi="Times New Roman"/>
          <w:sz w:val="22"/>
        </w:rPr>
        <w:t>Figure 4.4: FairGrade Automated Rubric Evaluation Scorecard Screen</w:t>
      </w:r>
      <w:r>
        <w:rPr>
          <w:rFonts w:ascii="Times New Roman" w:hAnsi="Times New Roman"/>
          <w:color w:val="94A3B8"/>
          <w:sz w:val="20"/>
        </w:rPr>
        <w:t xml:space="preserve"> ......... </w:t>
      </w:r>
      <w:r>
        <w:rPr>
          <w:rFonts w:ascii="Times New Roman" w:hAnsi="Times New Roman"/>
          <w:sz w:val="22"/>
        </w:rPr>
        <w:t>42</w:t>
      </w:r>
    </w:p>
    <w:p>
      <w:r>
        <w:br w:type="page"/>
      </w:r>
    </w:p>
    <w:p>
      <w:pPr>
        <w:spacing w:before="200" w:after="320"/>
      </w:pPr>
      <w:r>
        <w:rPr>
          <w:rFonts w:ascii="Times New Roman" w:hAnsi="Times New Roman"/>
          <w:b/>
          <w:sz w:val="32"/>
        </w:rPr>
        <w:t>List of Tables</w:t>
      </w:r>
    </w:p>
    <w:p>
      <w:pPr>
        <w:spacing w:before="0" w:after="60" w:line="276" w:lineRule="auto"/>
      </w:pPr>
      <w:r>
        <w:rPr>
          <w:rFonts w:ascii="Times New Roman" w:hAnsi="Times New Roman"/>
          <w:sz w:val="22"/>
        </w:rPr>
        <w:t>Table 2.1: Comparative Gap Analysis of EdTech Assessment Platforms</w:t>
      </w:r>
      <w:r>
        <w:rPr>
          <w:rFonts w:ascii="Times New Roman" w:hAnsi="Times New Roman"/>
          <w:color w:val="94A3B8"/>
          <w:sz w:val="20"/>
        </w:rPr>
        <w:t xml:space="preserve"> ......... </w:t>
      </w:r>
      <w:r>
        <w:rPr>
          <w:rFonts w:ascii="Times New Roman" w:hAnsi="Times New Roman"/>
          <w:sz w:val="22"/>
        </w:rPr>
        <w:t>12</w:t>
      </w:r>
    </w:p>
    <w:p>
      <w:pPr>
        <w:spacing w:before="0" w:after="60" w:line="276" w:lineRule="auto"/>
      </w:pPr>
      <w:r>
        <w:rPr>
          <w:rFonts w:ascii="Times New Roman" w:hAnsi="Times New Roman"/>
          <w:sz w:val="22"/>
        </w:rPr>
        <w:t>Table 3.1: Complete Technology Stack and System Specifications</w:t>
      </w:r>
      <w:r>
        <w:rPr>
          <w:rFonts w:ascii="Times New Roman" w:hAnsi="Times New Roman"/>
          <w:color w:val="94A3B8"/>
          <w:sz w:val="20"/>
        </w:rPr>
        <w:t xml:space="preserve"> ............. </w:t>
      </w:r>
      <w:r>
        <w:rPr>
          <w:rFonts w:ascii="Times New Roman" w:hAnsi="Times New Roman"/>
          <w:sz w:val="22"/>
        </w:rPr>
        <w:t>17</w:t>
      </w:r>
    </w:p>
    <w:p>
      <w:pPr>
        <w:spacing w:before="0" w:after="60" w:line="276" w:lineRule="auto"/>
      </w:pPr>
      <w:r>
        <w:rPr>
          <w:rFonts w:ascii="Times New Roman" w:hAnsi="Times New Roman"/>
          <w:sz w:val="22"/>
        </w:rPr>
        <w:t>Table 3.2: Complete Relational Database Schema Data Dictionary</w:t>
      </w:r>
      <w:r>
        <w:rPr>
          <w:rFonts w:ascii="Times New Roman" w:hAnsi="Times New Roman"/>
          <w:color w:val="94A3B8"/>
          <w:sz w:val="20"/>
        </w:rPr>
        <w:t xml:space="preserve"> ............. </w:t>
      </w:r>
      <w:r>
        <w:rPr>
          <w:rFonts w:ascii="Times New Roman" w:hAnsi="Times New Roman"/>
          <w:sz w:val="22"/>
        </w:rPr>
        <w:t>25</w:t>
      </w:r>
    </w:p>
    <w:p>
      <w:pPr>
        <w:spacing w:before="0" w:after="60" w:line="276" w:lineRule="auto"/>
      </w:pPr>
      <w:r>
        <w:rPr>
          <w:rFonts w:ascii="Times New Roman" w:hAnsi="Times New Roman"/>
          <w:sz w:val="22"/>
        </w:rPr>
        <w:t>Table 3.3: System Use Case Actor Description Matrix</w:t>
      </w:r>
      <w:r>
        <w:rPr>
          <w:rFonts w:ascii="Times New Roman" w:hAnsi="Times New Roman"/>
          <w:color w:val="94A3B8"/>
          <w:sz w:val="20"/>
        </w:rPr>
        <w:t xml:space="preserve"> ........................ </w:t>
      </w:r>
      <w:r>
        <w:rPr>
          <w:rFonts w:ascii="Times New Roman" w:hAnsi="Times New Roman"/>
          <w:sz w:val="22"/>
        </w:rPr>
        <w:t>28</w:t>
      </w:r>
    </w:p>
    <w:p>
      <w:pPr>
        <w:spacing w:before="0" w:after="60" w:line="276" w:lineRule="auto"/>
      </w:pPr>
      <w:r>
        <w:rPr>
          <w:rFonts w:ascii="Times New Roman" w:hAnsi="Times New Roman"/>
          <w:sz w:val="22"/>
        </w:rPr>
        <w:t>Table 4.1: Microservice Benchmark Latency and Memory Utilization</w:t>
      </w:r>
      <w:r>
        <w:rPr>
          <w:rFonts w:ascii="Times New Roman" w:hAnsi="Times New Roman"/>
          <w:color w:val="94A3B8"/>
          <w:sz w:val="20"/>
        </w:rPr>
        <w:t xml:space="preserve"> ........... </w:t>
      </w:r>
      <w:r>
        <w:rPr>
          <w:rFonts w:ascii="Times New Roman" w:hAnsi="Times New Roman"/>
          <w:sz w:val="22"/>
        </w:rPr>
        <w:t>43</w:t>
      </w:r>
    </w:p>
    <w:p>
      <w:pPr>
        <w:spacing w:before="0" w:after="60" w:line="276" w:lineRule="auto"/>
      </w:pPr>
      <w:r>
        <w:rPr>
          <w:rFonts w:ascii="Times New Roman" w:hAnsi="Times New Roman"/>
          <w:sz w:val="22"/>
        </w:rPr>
        <w:t>Table 4.2: FairGrade Human vs AI Grading Correlation &amp; Error Metric</w:t>
      </w:r>
      <w:r>
        <w:rPr>
          <w:rFonts w:ascii="Times New Roman" w:hAnsi="Times New Roman"/>
          <w:color w:val="94A3B8"/>
          <w:sz w:val="20"/>
        </w:rPr>
        <w:t xml:space="preserve"> ........ </w:t>
      </w:r>
      <w:r>
        <w:rPr>
          <w:rFonts w:ascii="Times New Roman" w:hAnsi="Times New Roman"/>
          <w:sz w:val="22"/>
        </w:rPr>
        <w:t>44</w:t>
      </w:r>
    </w:p>
    <w:p>
      <w:pPr>
        <w:spacing w:before="0" w:after="60" w:line="276" w:lineRule="auto"/>
      </w:pPr>
      <w:r>
        <w:rPr>
          <w:rFonts w:ascii="Times New Roman" w:hAnsi="Times New Roman"/>
          <w:sz w:val="22"/>
        </w:rPr>
        <w:t>Table 4.3: Code Sandbox Autograder Execution Benchmark across Languages</w:t>
      </w:r>
      <w:r>
        <w:rPr>
          <w:rFonts w:ascii="Times New Roman" w:hAnsi="Times New Roman"/>
          <w:color w:val="94A3B8"/>
          <w:sz w:val="20"/>
        </w:rPr>
        <w:t xml:space="preserve"> ..... </w:t>
      </w:r>
      <w:r>
        <w:rPr>
          <w:rFonts w:ascii="Times New Roman" w:hAnsi="Times New Roman"/>
          <w:sz w:val="22"/>
        </w:rPr>
        <w:t>45</w:t>
      </w:r>
    </w:p>
    <w:p>
      <w:r>
        <w:br w:type="page"/>
      </w:r>
    </w:p>
    <w:p>
      <w:pPr>
        <w:keepNext/>
        <w:spacing w:before="320" w:after="160"/>
      </w:pPr>
      <w:r>
        <w:rPr>
          <w:rFonts w:ascii="Times New Roman" w:hAnsi="Times New Roman"/>
          <w:b/>
          <w:color w:val="0F172A"/>
          <w:sz w:val="30"/>
        </w:rPr>
        <w:t>1. Chapter-1: Introduction</w:t>
      </w:r>
    </w:p>
    <w:p>
      <w:pPr>
        <w:keepNext/>
        <w:spacing w:before="240" w:after="80"/>
      </w:pPr>
      <w:r>
        <w:rPr>
          <w:rFonts w:ascii="Times New Roman" w:hAnsi="Times New Roman"/>
          <w:b/>
          <w:color w:val="1E3A8A"/>
          <w:sz w:val="26"/>
        </w:rPr>
        <w:t>1.1 Background and Overview</w:t>
      </w:r>
    </w:p>
    <w:p>
      <w:pPr>
        <w:spacing w:before="0" w:after="120" w:line="312" w:lineRule="auto"/>
      </w:pPr>
      <w:r>
        <w:rPr>
          <w:rFonts w:ascii="Times New Roman" w:hAnsi="Times New Roman"/>
          <w:color w:val="1E293B"/>
          <w:sz w:val="22"/>
        </w:rPr>
        <w:t>The rapid digital transformation of higher education and the explosive growth of student enrollments in computer science, engineering, and data disciplines have placed unprecedented strain on institutional teaching and assessment methodologies. In university classrooms with cohorts ranging from 60 to over 500 students, the traditional educational paradigm—characterized by close, personalized apprenticeship, detailed qualitative feedback on written essays, and immediate debugging assistance during programming labs—has become increasingly untenable.</w:t>
      </w:r>
    </w:p>
    <w:p>
      <w:pPr>
        <w:spacing w:before="0" w:after="120" w:line="312" w:lineRule="auto"/>
      </w:pPr>
      <w:r>
        <w:rPr>
          <w:rFonts w:ascii="Times New Roman" w:hAnsi="Times New Roman"/>
          <w:color w:val="1E293B"/>
          <w:sz w:val="22"/>
        </w:rPr>
        <w:t>To manage these unsustainable evaluation workloads, academic institutions frequently resort to high-stakes, reductionist evaluation mechanisms such as multiple-choice questions (MCQs) or binary pass/fail unit testing suites. While these instruments offer high administrative throughput, they measure only low-level factual recall or superficial code compilation. They fail entirely to assess higher-order cognitive competencies, including architectural design reasoning, mathematical proof construction, conceptual differentiation, and algorithmic problem decomposition.</w:t>
      </w:r>
    </w:p>
    <w:p>
      <w:pPr>
        <w:spacing w:before="0" w:after="120" w:line="312" w:lineRule="auto"/>
      </w:pPr>
      <w:r>
        <w:rPr>
          <w:rFonts w:ascii="Times New Roman" w:hAnsi="Times New Roman"/>
          <w:color w:val="1E293B"/>
          <w:sz w:val="22"/>
        </w:rPr>
        <w:t>When open-ended subjective assessments, written proofs, and coding exercises are assigned, manual evaluation by human educators introduces severe cognitive bottlenecks. Evaluating hundreds of complex, idiosyncratic student submissions leads to grading fatigue, halo effects (where prior student performance skews subsequent evaluation), and marked inter-rater variance across teaching assistants. Furthermore, students typically wait weeks to receive graded papers, by which point the pedagogical window for timely cognitive reinforcement has passed.</w:t>
      </w:r>
    </w:p>
    <w:p>
      <w:pPr>
        <w:spacing w:before="0" w:after="120" w:line="312" w:lineRule="auto"/>
      </w:pPr>
      <w:r>
        <w:rPr>
          <w:rFonts w:ascii="Times New Roman" w:hAnsi="Times New Roman"/>
          <w:color w:val="1E293B"/>
          <w:sz w:val="22"/>
        </w:rPr>
        <w:t>SkillForge AI is engineered as an enterprise-grade, multi-tenant digital classroom platform designed to resolve these fundamental tensions between educational scalability, evaluation objectivity, and adaptive learning support.</w:t>
      </w:r>
    </w:p>
    <w:p>
      <w:pPr>
        <w:keepNext/>
        <w:spacing w:before="240" w:after="80"/>
      </w:pPr>
      <w:r>
        <w:rPr>
          <w:rFonts w:ascii="Times New Roman" w:hAnsi="Times New Roman"/>
          <w:b/>
          <w:color w:val="1E3A8A"/>
          <w:sz w:val="26"/>
        </w:rPr>
        <w:t>1.2 Problem Statement and Motivation</w:t>
      </w:r>
    </w:p>
    <w:p>
      <w:pPr>
        <w:spacing w:before="0" w:after="120" w:line="312" w:lineRule="auto"/>
      </w:pPr>
      <w:r>
        <w:rPr>
          <w:rFonts w:ascii="Times New Roman" w:hAnsi="Times New Roman"/>
          <w:color w:val="1E293B"/>
          <w:sz w:val="22"/>
        </w:rPr>
        <w:t>Modern educational systems suffer from three interconnected systemic failures:</w:t>
      </w:r>
    </w:p>
    <w:p>
      <w:pPr>
        <w:pStyle w:val="ListBullet"/>
        <w:spacing w:before="0" w:after="80" w:line="300" w:lineRule="auto"/>
      </w:pPr>
      <w:r>
        <w:rPr>
          <w:rFonts w:ascii="Times New Roman" w:hAnsi="Times New Roman"/>
          <w:b/>
          <w:sz w:val="22"/>
        </w:rPr>
        <w:t>1. Subjective Grading Inconsistency &amp; Cognitive Fatigue:</w:t>
      </w:r>
      <w:r>
        <w:rPr>
          <w:rFonts w:ascii="Times New Roman" w:hAnsi="Times New Roman"/>
          <w:color w:val="1E293B"/>
          <w:sz w:val="22"/>
        </w:rPr>
        <w:t xml:space="preserve"> Human grading of subjective papers is inherently vulnerable to unconscious identity bias (such as student gender, ethnicity, handwriting neatness, and past academic reputation). A professor evaluating the 80th paper at 11:00 PM applies markedly different cognitive standards than when evaluating the 1st paper at 9:00 AM.</w:t>
      </w:r>
    </w:p>
    <w:p>
      <w:pPr>
        <w:pStyle w:val="ListBullet"/>
        <w:spacing w:before="0" w:after="80" w:line="300" w:lineRule="auto"/>
      </w:pPr>
      <w:r>
        <w:rPr>
          <w:rFonts w:ascii="Times New Roman" w:hAnsi="Times New Roman"/>
          <w:b/>
          <w:sz w:val="22"/>
        </w:rPr>
        <w:t>2. Unconstrained AI Hallucinations &amp; Solution Leaks:</w:t>
      </w:r>
      <w:r>
        <w:rPr>
          <w:rFonts w:ascii="Times New Roman" w:hAnsi="Times New Roman"/>
          <w:color w:val="1E293B"/>
          <w:sz w:val="22"/>
        </w:rPr>
        <w:t xml:space="preserve"> When students encounter intellectual bottlenecks while studying complex theoretical subjects (such as Relational Database Normalization, Distributed Consensus, or Operating System Deadlocks), they turn to unconstrained commercial LLM chatbots. These public chatbots lack grounding in the institutional syllabus, hallucinate incorrect facts, and provide direct, fully solved code—short-circuiting the student's cognitive learning cycle and facilitating academic dishonesty.</w:t>
      </w:r>
    </w:p>
    <w:p>
      <w:pPr>
        <w:pStyle w:val="ListBullet"/>
        <w:spacing w:before="0" w:after="80" w:line="300" w:lineRule="auto"/>
      </w:pPr>
      <w:r>
        <w:rPr>
          <w:rFonts w:ascii="Times New Roman" w:hAnsi="Times New Roman"/>
          <w:b/>
          <w:sz w:val="22"/>
        </w:rPr>
        <w:t>3. Fragmented Academic Telemetry &amp; Delayed Intervention:</w:t>
      </w:r>
      <w:r>
        <w:rPr>
          <w:rFonts w:ascii="Times New Roman" w:hAnsi="Times New Roman"/>
          <w:color w:val="1E293B"/>
          <w:sz w:val="22"/>
        </w:rPr>
        <w:t xml:space="preserve"> University faculty lack real-time visibility into class-wide conceptual misunderstandings. Standard LMS gradebooks record historic marks but offer zero predictive intelligence regarding which specific theoretical subtopics are failing across the cohort.</w:t>
      </w:r>
    </w:p>
    <w:p>
      <w:pPr>
        <w:spacing w:before="0" w:after="120" w:line="312" w:lineRule="auto"/>
      </w:pPr>
      <w:r>
        <w:rPr>
          <w:rFonts w:ascii="Times New Roman" w:hAnsi="Times New Roman"/>
          <w:color w:val="1E293B"/>
          <w:sz w:val="22"/>
        </w:rPr>
        <w:t>The primary motivation behind SkillForge AI is to construct a unified, bias-suppressed educational ecosystem that harnesses modern Large Language Models (LLMs) with strict pedagogical guardrails—turning AI from a cheating tool into an objective, rubric-anchored evaluation engine and an adaptive Socratic learning companion.</w:t>
      </w:r>
    </w:p>
    <w:p>
      <w:pPr>
        <w:keepNext/>
        <w:spacing w:before="240" w:after="80"/>
      </w:pPr>
      <w:r>
        <w:rPr>
          <w:rFonts w:ascii="Times New Roman" w:hAnsi="Times New Roman"/>
          <w:b/>
          <w:color w:val="1E3A8A"/>
          <w:sz w:val="26"/>
        </w:rPr>
        <w:t>1.3 Project Objectives</w:t>
      </w:r>
    </w:p>
    <w:p>
      <w:pPr>
        <w:spacing w:before="0" w:after="120" w:line="312" w:lineRule="auto"/>
      </w:pPr>
      <w:r>
        <w:rPr>
          <w:rFonts w:ascii="Times New Roman" w:hAnsi="Times New Roman"/>
          <w:color w:val="1E293B"/>
          <w:sz w:val="22"/>
        </w:rPr>
        <w:t>The comprehensive technical and academic objectives of the SkillForge AI platform are defined as follows:</w:t>
      </w:r>
    </w:p>
    <w:p>
      <w:pPr>
        <w:pStyle w:val="ListBullet"/>
        <w:spacing w:before="0" w:after="80" w:line="300" w:lineRule="auto"/>
      </w:pPr>
      <w:r>
        <w:rPr>
          <w:rFonts w:ascii="Times New Roman" w:hAnsi="Times New Roman"/>
          <w:b/>
          <w:sz w:val="22"/>
        </w:rPr>
        <w:t>• Objective 1 (Double-Blind Objective Grading):</w:t>
      </w:r>
      <w:r>
        <w:rPr>
          <w:rFonts w:ascii="Times New Roman" w:hAnsi="Times New Roman"/>
          <w:color w:val="1E293B"/>
          <w:sz w:val="22"/>
        </w:rPr>
        <w:t xml:space="preserve"> Build a specialized Python FastAPI microservice (FairGrade) that anonymizes student papers, decomposes subjective answers into structured rubric criteria, performs multi-perspective inference using Google Gemini 2.0 Flash, and flags evaluations where scoring variance exceeds 10%.</w:t>
      </w:r>
    </w:p>
    <w:p>
      <w:pPr>
        <w:pStyle w:val="ListBullet"/>
        <w:spacing w:before="0" w:after="80" w:line="300" w:lineRule="auto"/>
      </w:pPr>
      <w:r>
        <w:rPr>
          <w:rFonts w:ascii="Times New Roman" w:hAnsi="Times New Roman"/>
          <w:b/>
          <w:sz w:val="22"/>
        </w:rPr>
        <w:t>• Objective 2 (RAG-Grounded Socratic Tutoring):</w:t>
      </w:r>
      <w:r>
        <w:rPr>
          <w:rFonts w:ascii="Times New Roman" w:hAnsi="Times New Roman"/>
          <w:color w:val="1E293B"/>
          <w:sz w:val="22"/>
        </w:rPr>
        <w:t xml:space="preserve"> Construct an in-memory TF-IDF semantic vector space retrieval pipeline that ingests institutional course syllabi (PDF/Text), extracts hierarchical topic taxonomies, and grounds conversational AI responses strictly within verified course literature.</w:t>
      </w:r>
    </w:p>
    <w:p>
      <w:pPr>
        <w:pStyle w:val="ListBullet"/>
        <w:spacing w:before="0" w:after="80" w:line="300" w:lineRule="auto"/>
      </w:pPr>
      <w:r>
        <w:rPr>
          <w:rFonts w:ascii="Times New Roman" w:hAnsi="Times New Roman"/>
          <w:b/>
          <w:sz w:val="22"/>
        </w:rPr>
        <w:t>• Objective 3 (Isolated Multi-Language Code Sandboxing):</w:t>
      </w:r>
      <w:r>
        <w:rPr>
          <w:rFonts w:ascii="Times New Roman" w:hAnsi="Times New Roman"/>
          <w:color w:val="1E293B"/>
          <w:sz w:val="22"/>
        </w:rPr>
        <w:t xml:space="preserve"> Integrate Judge0 isolated runtime sandbox environments to compile and execute student programming assignments across Python, JavaScript, Java, C++, and SQL against visible and hidden test suites.</w:t>
      </w:r>
    </w:p>
    <w:p>
      <w:pPr>
        <w:pStyle w:val="ListBullet"/>
        <w:spacing w:before="0" w:after="80" w:line="300" w:lineRule="auto"/>
      </w:pPr>
      <w:r>
        <w:rPr>
          <w:rFonts w:ascii="Times New Roman" w:hAnsi="Times New Roman"/>
          <w:b/>
          <w:sz w:val="22"/>
        </w:rPr>
        <w:t>• Objective 4 (Teacher Copilot &amp; Predictive Telemetry):</w:t>
      </w:r>
      <w:r>
        <w:rPr>
          <w:rFonts w:ascii="Times New Roman" w:hAnsi="Times New Roman"/>
          <w:color w:val="1E293B"/>
          <w:sz w:val="22"/>
        </w:rPr>
        <w:t xml:space="preserve"> Provide instructors with real-time class mastery heatmaps, early-warning risk scoring, automated rubric generation, and one-click personalized remediation plans.</w:t>
      </w:r>
    </w:p>
    <w:p>
      <w:pPr>
        <w:pStyle w:val="ListBullet"/>
        <w:spacing w:before="0" w:after="80" w:line="300" w:lineRule="auto"/>
      </w:pPr>
      <w:r>
        <w:rPr>
          <w:rFonts w:ascii="Times New Roman" w:hAnsi="Times New Roman"/>
          <w:b/>
          <w:sz w:val="22"/>
        </w:rPr>
        <w:t>• Objective 5 (Enterprise Security &amp; Microservice Modularity):</w:t>
      </w:r>
      <w:r>
        <w:rPr>
          <w:rFonts w:ascii="Times New Roman" w:hAnsi="Times New Roman"/>
          <w:color w:val="1E293B"/>
          <w:sz w:val="22"/>
        </w:rPr>
        <w:t xml:space="preserve"> Engineer a decoupled three-tier microservices architecture with stateless JWT authentication, Role-Based Access Control (RBAC), and Supabase PostgreSQL relational persistence with ACID guarantees.</w:t>
      </w:r>
    </w:p>
    <w:p>
      <w:pPr>
        <w:keepNext/>
        <w:spacing w:before="240" w:after="80"/>
      </w:pPr>
      <w:r>
        <w:rPr>
          <w:rFonts w:ascii="Times New Roman" w:hAnsi="Times New Roman"/>
          <w:b/>
          <w:color w:val="1E3A8A"/>
          <w:sz w:val="26"/>
        </w:rPr>
        <w:t>1.4 Need and Significance of the Project</w:t>
      </w:r>
    </w:p>
    <w:p>
      <w:pPr>
        <w:spacing w:before="0" w:after="120" w:line="312" w:lineRule="auto"/>
      </w:pPr>
      <w:r>
        <w:rPr>
          <w:rFonts w:ascii="Times New Roman" w:hAnsi="Times New Roman"/>
          <w:color w:val="1E293B"/>
          <w:sz w:val="22"/>
        </w:rPr>
        <w:t>Traditional institutional Learning Management Systems (LMS) such as Canvas, Blackboard, and Moodle act as passive digital filing cabinets. They store static files and record scalar numbers, but possess zero cognitive awareness of the subject matter being taught. SkillForge AI represents a paradigm shift from passive record-keeping to active, adaptive pedagogical orchestration.</w:t>
      </w:r>
    </w:p>
    <w:p>
      <w:pPr>
        <w:spacing w:before="0" w:after="120" w:line="312" w:lineRule="auto"/>
      </w:pPr>
      <w:r>
        <w:rPr>
          <w:rFonts w:ascii="Times New Roman" w:hAnsi="Times New Roman"/>
          <w:color w:val="1E293B"/>
          <w:sz w:val="22"/>
        </w:rPr>
        <w:t>By combining double-blind cryptographic tokenization with rubric-anchored reasoning models, SkillForge AI guarantees that every student's work is judged solely on intellectual merit. Concurrently, by grounding the Socratic AI tutor in uploaded course materials, the platform ensures that students receive instant, step-by-step cognitive scaffolding at any hour of the day without compromising academic integrity.</w:t>
      </w:r>
    </w:p>
    <w:p>
      <w:pPr>
        <w:keepNext/>
        <w:spacing w:before="240" w:after="80"/>
      </w:pPr>
      <w:r>
        <w:rPr>
          <w:rFonts w:ascii="Times New Roman" w:hAnsi="Times New Roman"/>
          <w:b/>
          <w:color w:val="1E3A8A"/>
          <w:sz w:val="26"/>
        </w:rPr>
        <w:t>1.5 Scope of the Project</w:t>
      </w:r>
    </w:p>
    <w:p>
      <w:pPr>
        <w:spacing w:before="0" w:after="120" w:line="312" w:lineRule="auto"/>
      </w:pPr>
      <w:r>
        <w:rPr>
          <w:rFonts w:ascii="Times New Roman" w:hAnsi="Times New Roman"/>
          <w:color w:val="1E293B"/>
          <w:sz w:val="22"/>
        </w:rPr>
        <w:t>The functional scope of SkillForge AI encompasses three primary stakeholder domains:</w:t>
      </w:r>
    </w:p>
    <w:p>
      <w:pPr>
        <w:pStyle w:val="ListBullet"/>
        <w:spacing w:before="0" w:after="80" w:line="300" w:lineRule="auto"/>
      </w:pPr>
      <w:r>
        <w:rPr>
          <w:rFonts w:ascii="Times New Roman" w:hAnsi="Times New Roman"/>
          <w:b/>
          <w:sz w:val="22"/>
        </w:rPr>
        <w:t>• Student Domain Scope:</w:t>
      </w:r>
      <w:r>
        <w:rPr>
          <w:rFonts w:ascii="Times New Roman" w:hAnsi="Times New Roman"/>
          <w:color w:val="1E293B"/>
          <w:sz w:val="22"/>
        </w:rPr>
        <w:t xml:space="preserve"> Secure registration, access to enrolled classrooms, interactive Socratic chat grounded in course syllabi, submission of written subjective examinations, in-browser code editing and execution, detailed rubric scorecard inspection, and formal grade appeals.</w:t>
      </w:r>
    </w:p>
    <w:p>
      <w:pPr>
        <w:pStyle w:val="ListBullet"/>
        <w:spacing w:before="0" w:after="80" w:line="300" w:lineRule="auto"/>
      </w:pPr>
      <w:r>
        <w:rPr>
          <w:rFonts w:ascii="Times New Roman" w:hAnsi="Times New Roman"/>
          <w:b/>
          <w:sz w:val="22"/>
        </w:rPr>
        <w:t>• Teacher / Faculty Domain Scope:</w:t>
      </w:r>
      <w:r>
        <w:rPr>
          <w:rFonts w:ascii="Times New Roman" w:hAnsi="Times New Roman"/>
          <w:color w:val="1E293B"/>
          <w:sz w:val="22"/>
        </w:rPr>
        <w:t xml:space="preserve"> Creation of course classrooms and join codes, automated taxonomy extraction from uploaded PDF syllabi, design of structured multi-criterion rubrics, execution of batch automated grading, manual override of flagged evaluation variances, and monitoring of at-risk student telemetry.</w:t>
      </w:r>
    </w:p>
    <w:p>
      <w:pPr>
        <w:pStyle w:val="ListBullet"/>
        <w:spacing w:before="0" w:after="80" w:line="300" w:lineRule="auto"/>
      </w:pPr>
      <w:r>
        <w:rPr>
          <w:rFonts w:ascii="Times New Roman" w:hAnsi="Times New Roman"/>
          <w:b/>
          <w:sz w:val="22"/>
        </w:rPr>
        <w:t>• Administrator Domain Scope:</w:t>
      </w:r>
      <w:r>
        <w:rPr>
          <w:rFonts w:ascii="Times New Roman" w:hAnsi="Times New Roman"/>
          <w:color w:val="1E293B"/>
          <w:sz w:val="22"/>
        </w:rPr>
        <w:t xml:space="preserve"> Global user management (Admin, Teacher, Student roles), institutional audit log inspection, AI model routing configuration, and microservice health telemetry monitoring.</w:t>
      </w:r>
    </w:p>
    <w:p>
      <w:pPr>
        <w:spacing w:before="0" w:after="120" w:line="312" w:lineRule="auto"/>
      </w:pPr>
      <w:r>
        <w:rPr>
          <w:rFonts w:ascii="Times New Roman" w:hAnsi="Times New Roman"/>
          <w:color w:val="1E293B"/>
          <w:sz w:val="22"/>
        </w:rPr>
        <w:t>Non-Functional Scope includes strict sub-2-second response latency for AI evaluation, 99.9% uptime for core authentication and database services, TLS-encrypted data transit, and complete protection of student PII under global educational compliance mandates.</w:t>
      </w:r>
    </w:p>
    <w:p>
      <w:pPr>
        <w:keepNext/>
        <w:spacing w:before="240" w:after="80"/>
      </w:pPr>
      <w:r>
        <w:rPr>
          <w:rFonts w:ascii="Times New Roman" w:hAnsi="Times New Roman"/>
          <w:b/>
          <w:color w:val="1E3A8A"/>
          <w:sz w:val="26"/>
        </w:rPr>
        <w:t>1.6 Organization of the Report</w:t>
      </w:r>
    </w:p>
    <w:p>
      <w:pPr>
        <w:spacing w:before="0" w:after="120" w:line="312" w:lineRule="auto"/>
      </w:pPr>
      <w:r>
        <w:rPr>
          <w:rFonts w:ascii="Times New Roman" w:hAnsi="Times New Roman"/>
          <w:color w:val="1E293B"/>
          <w:sz w:val="22"/>
        </w:rPr>
        <w:t>This report is structured into five cohesive chapters:</w:t>
        <w:br/>
        <w:t>• Chapter 1 introduces the project background, problem statement, objectives, and scope.</w:t>
        <w:br/>
        <w:t>• Chapter 2 presents a rigorous literature review of existing AES systems, code autograders, RAG architectures, and comparative gap analysis.</w:t>
        <w:br/>
        <w:t>• Chapter 3 details the system architecture, microservices decomposition, mathematical formulations, database ER design, and complete UML modeling diagrams.</w:t>
        <w:br/>
        <w:t>• Chapter 4 covers the module-by-module implementation, core code snippets, environment setup, UI output walkthroughs, and empirical benchmark results.</w:t>
        <w:br/>
        <w:t>• Chapter 5 concludes the project, outlines technical limitations, and charts future research directions.</w:t>
      </w:r>
    </w:p>
    <w:p>
      <w:r>
        <w:br w:type="page"/>
      </w:r>
    </w:p>
    <w:p>
      <w:pPr>
        <w:keepNext/>
        <w:spacing w:before="320" w:after="160"/>
      </w:pPr>
      <w:r>
        <w:rPr>
          <w:rFonts w:ascii="Times New Roman" w:hAnsi="Times New Roman"/>
          <w:b/>
          <w:color w:val="0F172A"/>
          <w:sz w:val="30"/>
        </w:rPr>
        <w:t>2. Chapter-2: Literature Review</w:t>
      </w:r>
    </w:p>
    <w:p>
      <w:pPr>
        <w:keepNext/>
        <w:spacing w:before="240" w:after="80"/>
      </w:pPr>
      <w:r>
        <w:rPr>
          <w:rFonts w:ascii="Times New Roman" w:hAnsi="Times New Roman"/>
          <w:b/>
          <w:color w:val="1E3A8A"/>
          <w:sz w:val="26"/>
        </w:rPr>
        <w:t>2.1 Evolution of Educational Assessment Systems</w:t>
      </w:r>
    </w:p>
    <w:p>
      <w:pPr>
        <w:spacing w:before="0" w:after="120" w:line="312" w:lineRule="auto"/>
      </w:pPr>
      <w:r>
        <w:rPr>
          <w:rFonts w:ascii="Times New Roman" w:hAnsi="Times New Roman"/>
          <w:color w:val="1E293B"/>
          <w:sz w:val="22"/>
        </w:rPr>
        <w:t>The automation of academic assessment has evolved through three distinct computational paradigms over the past four decades:</w:t>
      </w:r>
    </w:p>
    <w:p>
      <w:pPr>
        <w:spacing w:before="0" w:after="120" w:line="312" w:lineRule="auto"/>
      </w:pPr>
      <w:r>
        <w:rPr>
          <w:rFonts w:ascii="Times New Roman" w:hAnsi="Times New Roman"/>
          <w:color w:val="1E293B"/>
          <w:sz w:val="22"/>
        </w:rPr>
        <w:t>1. First-Generation Systems (Rule-Based &amp; Statistical Heuristics, 1980s–2000s): Early Automated Essay Scoring (AES) engines, such as Page's Project Essay Grade (PEG) and the Educational Testing Service's e-rater v1, relied entirely on proxy linguistic features. These systems extracted surface attributes such as average word length, paragraph counts, fourth-root vocabulary distributions, and syntactic parse trees. While these metrics correlated with standardized writing mechanics, they were fundamentally incapable of validating semantic truth, factual correctness, or logical proof rigor.</w:t>
      </w:r>
    </w:p>
    <w:p>
      <w:pPr>
        <w:spacing w:before="0" w:after="120" w:line="312" w:lineRule="auto"/>
      </w:pPr>
      <w:r>
        <w:rPr>
          <w:rFonts w:ascii="Times New Roman" w:hAnsi="Times New Roman"/>
          <w:color w:val="1E293B"/>
          <w:sz w:val="22"/>
        </w:rPr>
        <w:t>2. Second-Generation Systems (Supervised Machine Learning &amp; Dense Embeddings, 2010–2020): The advent of word embeddings (Word2Vec, GloVe) and transformer encoders (BERT, RoBERTa) enabled semantic similarity scoring between student essays and reference text corpora. Systems in this era trained supervised regression models to predict human essay grades. However, these models required thousands of manually scored training essays per prompt, suffered catastrophic domain transfer failure when applied to new exam questions, and functioned as uninterpretable black boxes that provided no pedagogical explanations.</w:t>
      </w:r>
    </w:p>
    <w:p>
      <w:pPr>
        <w:spacing w:before="0" w:after="120" w:line="312" w:lineRule="auto"/>
      </w:pPr>
      <w:r>
        <w:rPr>
          <w:rFonts w:ascii="Times New Roman" w:hAnsi="Times New Roman"/>
          <w:color w:val="1E293B"/>
          <w:sz w:val="22"/>
        </w:rPr>
        <w:t>3. Third-Generation Systems (Generative Foundation Models &amp; In-Context Reasoning, 2022–Present): Large Language Models (LLMs) possessing hundred-billion-parameter scales exhibit remarkable zero-shot and few-shot reasoning capabilities. When supplied with instructional prompts and structured rubrics, models such as Google Gemini 2.0 Flash can evaluate multi-paragraph reasoning and output criterion-level explanations. However, unconstrained LLM grading introduces major risks of hallucination, inconsistent prompt sensitivity, and bias amplification unless guarded by strict architectural scaffolding.</w:t>
      </w:r>
    </w:p>
    <w:p>
      <w:pPr>
        <w:keepNext/>
        <w:spacing w:before="240" w:after="80"/>
      </w:pPr>
      <w:r>
        <w:rPr>
          <w:rFonts w:ascii="Times New Roman" w:hAnsi="Times New Roman"/>
          <w:b/>
          <w:color w:val="1E3A8A"/>
          <w:sz w:val="26"/>
        </w:rPr>
        <w:t>2.2 Automated Essay Scoring (AES) &amp; NLP Approaches</w:t>
      </w:r>
    </w:p>
    <w:p>
      <w:pPr>
        <w:spacing w:before="0" w:after="120" w:line="312" w:lineRule="auto"/>
      </w:pPr>
      <w:r>
        <w:rPr>
          <w:rFonts w:ascii="Times New Roman" w:hAnsi="Times New Roman"/>
          <w:color w:val="1E293B"/>
          <w:sz w:val="22"/>
        </w:rPr>
        <w:t>Contemporary Natural Language Processing (NLP) literature emphasizes the critical distinction between holistic scoring and analytic rubric scoring. Holistic scoring assigns a single aggregate mark to an entire essay, obscuring specific areas of weakness. Analytic scoring, by contrast, evaluates an answer along independent pedagogical dimensions (e.g., Conceptual Definition, Proof Rigor, Edge-Case Identification, and Structural Clarity).</w:t>
      </w:r>
    </w:p>
    <w:p>
      <w:pPr>
        <w:spacing w:before="0" w:after="120" w:line="312" w:lineRule="auto"/>
      </w:pPr>
      <w:r>
        <w:rPr>
          <w:rFonts w:ascii="Times New Roman" w:hAnsi="Times New Roman"/>
          <w:color w:val="1E293B"/>
          <w:sz w:val="22"/>
        </w:rPr>
        <w:t>Recent studies in transformer-based evaluation demonstrate that prompting language models with structured JSON schemas and few-shot rubric exemplars significantly increases grading reliability. However, research by standard testing consortia reveals that LLMs exhibit position bias (favoring earlier criteria in a prompt) and length bias (awarding higher marks to longer, verbose answers regardless of semantic density). SkillForge AI resolves these known failure modes through its dual-pass, randomized-order FairGrade evaluation algorithm.</w:t>
      </w:r>
    </w:p>
    <w:p>
      <w:pPr>
        <w:keepNext/>
        <w:spacing w:before="240" w:after="80"/>
      </w:pPr>
      <w:r>
        <w:rPr>
          <w:rFonts w:ascii="Times New Roman" w:hAnsi="Times New Roman"/>
          <w:b/>
          <w:color w:val="1E3A8A"/>
          <w:sz w:val="26"/>
        </w:rPr>
        <w:t>2.3 Automated Programming Assessment Systems (APAS)</w:t>
      </w:r>
    </w:p>
    <w:p>
      <w:pPr>
        <w:spacing w:before="0" w:after="120" w:line="312" w:lineRule="auto"/>
      </w:pPr>
      <w:r>
        <w:rPr>
          <w:rFonts w:ascii="Times New Roman" w:hAnsi="Times New Roman"/>
          <w:color w:val="1E293B"/>
          <w:sz w:val="22"/>
        </w:rPr>
        <w:t>Automated code evaluation systems (such as Gradescope, Web-CAT, and HackerRank) execute student code inside containerized sandboxes against predefined unit test suites. While indispensable for checking functional correctness, conventional APAS platforms possess severe limitations: (1) They provide only binary pass/fail indicators, leaving novice students bewildered when a hidden test fails due to subtle off-by-one errors; (2) They do not inspect code quality, algorithmic complexity, or anti-patterns; and (3) Running untrusted student code poses acute security risks (fork bombs, unauthorized network sockets, filesystem tampering) unless strictly sandboxed.</w:t>
      </w:r>
    </w:p>
    <w:p>
      <w:pPr>
        <w:spacing w:before="0" w:after="120" w:line="312" w:lineRule="auto"/>
      </w:pPr>
      <w:r>
        <w:rPr>
          <w:rFonts w:ascii="Times New Roman" w:hAnsi="Times New Roman"/>
          <w:color w:val="1E293B"/>
          <w:sz w:val="22"/>
        </w:rPr>
        <w:t>SkillForge AI integrates the Judge0 execution API to run student code in isolated, resource-constrained Linux cgroups while utilizing Gemini 2.0 Flash as an automated pedagogical code reviewer that explains execution failures without revealing the solution code.</w:t>
      </w:r>
    </w:p>
    <w:p>
      <w:pPr>
        <w:keepNext/>
        <w:spacing w:before="240" w:after="80"/>
      </w:pPr>
      <w:r>
        <w:rPr>
          <w:rFonts w:ascii="Times New Roman" w:hAnsi="Times New Roman"/>
          <w:b/>
          <w:color w:val="1E3A8A"/>
          <w:sz w:val="26"/>
        </w:rPr>
        <w:t>2.4 Retrieval-Augmented Generation (RAG) in Pedagogy</w:t>
      </w:r>
    </w:p>
    <w:p>
      <w:pPr>
        <w:spacing w:before="0" w:after="120" w:line="312" w:lineRule="auto"/>
      </w:pPr>
      <w:r>
        <w:rPr>
          <w:rFonts w:ascii="Times New Roman" w:hAnsi="Times New Roman"/>
          <w:color w:val="1E293B"/>
          <w:sz w:val="22"/>
        </w:rPr>
        <w:t>Retrieval-Augmented Generation (Lewis et al., 2020) combines neural information retrieval with autoregressive language generation. In pedagogical environments, standard generative models risk hallucinating outdated or out-of-syllabus facts. By indexing textbook chapters, lecture notes, and syllabus PDFs into dense vector representations, a RAG pipeline dynamically fetches relevant context chunks to condition the LLM's generation.</w:t>
      </w:r>
    </w:p>
    <w:p>
      <w:pPr>
        <w:spacing w:before="0" w:after="120" w:line="312" w:lineRule="auto"/>
      </w:pPr>
      <w:r>
        <w:rPr>
          <w:rFonts w:ascii="Times New Roman" w:hAnsi="Times New Roman"/>
          <w:color w:val="1E293B"/>
          <w:sz w:val="22"/>
        </w:rPr>
        <w:t>In SkillForge AI, the RAG architecture is coupled with Socratic prompting rules: the system retrieves relevant textbook sections but is explicitly instructed to never output the direct answer. Instead, it formulates diagnostic, guiding questions based on the retrieved context, forcing the student to perform active conceptual synthesis.</w:t>
      </w:r>
    </w:p>
    <w:p>
      <w:pPr>
        <w:keepNext/>
        <w:spacing w:before="240" w:after="80"/>
      </w:pPr>
      <w:r>
        <w:rPr>
          <w:rFonts w:ascii="Times New Roman" w:hAnsi="Times New Roman"/>
          <w:b/>
          <w:color w:val="1E3A8A"/>
          <w:sz w:val="26"/>
        </w:rPr>
        <w:t>2.5 Critical Limitations of Existing Work</w:t>
      </w:r>
    </w:p>
    <w:p>
      <w:pPr>
        <w:spacing w:before="0" w:after="120" w:line="312" w:lineRule="auto"/>
      </w:pPr>
      <w:r>
        <w:rPr>
          <w:rFonts w:ascii="Times New Roman" w:hAnsi="Times New Roman"/>
          <w:color w:val="1E293B"/>
          <w:sz w:val="22"/>
        </w:rPr>
        <w:t>A rigorous review of commercial and open-source platforms reveals persistent structural deficits:</w:t>
      </w:r>
    </w:p>
    <w:p>
      <w:pPr>
        <w:pStyle w:val="ListBullet"/>
        <w:spacing w:before="0" w:after="80" w:line="300" w:lineRule="auto"/>
      </w:pPr>
      <w:r>
        <w:rPr>
          <w:rFonts w:ascii="Times New Roman" w:hAnsi="Times New Roman"/>
          <w:b/>
          <w:sz w:val="22"/>
        </w:rPr>
        <w:t>1. Uncontrolled Variance &amp; Hallucination:</w:t>
      </w:r>
      <w:r>
        <w:rPr>
          <w:rFonts w:ascii="Times New Roman" w:hAnsi="Times New Roman"/>
          <w:color w:val="1E293B"/>
          <w:sz w:val="22"/>
        </w:rPr>
        <w:t xml:space="preserve"> Commercial LLM interfaces cannot be deployed in institutional testing because they lack rubric anchoring, produce variable scores upon repeated trials, and hallucinate grading justifications.</w:t>
      </w:r>
    </w:p>
    <w:p>
      <w:pPr>
        <w:pStyle w:val="ListBullet"/>
        <w:spacing w:before="0" w:after="80" w:line="300" w:lineRule="auto"/>
      </w:pPr>
      <w:r>
        <w:rPr>
          <w:rFonts w:ascii="Times New Roman" w:hAnsi="Times New Roman"/>
          <w:b/>
          <w:sz w:val="22"/>
        </w:rPr>
        <w:t>2. Identity Priming &amp; Confirmation Bias:</w:t>
      </w:r>
      <w:r>
        <w:rPr>
          <w:rFonts w:ascii="Times New Roman" w:hAnsi="Times New Roman"/>
          <w:color w:val="1E293B"/>
          <w:sz w:val="22"/>
        </w:rPr>
        <w:t xml:space="preserve"> Human educators unconsciously associate student identity markers (names, gender, prior grades) with intellectual competence, creating systematic grading disparities across demographics.</w:t>
      </w:r>
    </w:p>
    <w:p>
      <w:pPr>
        <w:pStyle w:val="ListBullet"/>
        <w:spacing w:before="0" w:after="80" w:line="300" w:lineRule="auto"/>
      </w:pPr>
      <w:r>
        <w:rPr>
          <w:rFonts w:ascii="Times New Roman" w:hAnsi="Times New Roman"/>
          <w:b/>
          <w:sz w:val="22"/>
        </w:rPr>
        <w:t>3. Lack of Socratic Scaffolding:</w:t>
      </w:r>
      <w:r>
        <w:rPr>
          <w:rFonts w:ascii="Times New Roman" w:hAnsi="Times New Roman"/>
          <w:color w:val="1E293B"/>
          <w:sz w:val="22"/>
        </w:rPr>
        <w:t xml:space="preserve"> Conventional LMS platforms offer no cognitive guidance, while public chatbots solve problems outright, fostering dependency rather than independent mastery.</w:t>
      </w:r>
    </w:p>
    <w:p>
      <w:pPr>
        <w:pStyle w:val="ListBullet"/>
        <w:spacing w:before="0" w:after="80" w:line="300" w:lineRule="auto"/>
      </w:pPr>
      <w:r>
        <w:rPr>
          <w:rFonts w:ascii="Times New Roman" w:hAnsi="Times New Roman"/>
          <w:b/>
          <w:sz w:val="22"/>
        </w:rPr>
        <w:t>4. Disconnected Academic Telemetry:</w:t>
      </w:r>
      <w:r>
        <w:rPr>
          <w:rFonts w:ascii="Times New Roman" w:hAnsi="Times New Roman"/>
          <w:color w:val="1E293B"/>
          <w:sz w:val="22"/>
        </w:rPr>
        <w:t xml:space="preserve"> Existing architectures fail to connect subjective essay scores, code sandbox execution results, and classroom lecture topics into a unified mastery analytics model.</w:t>
      </w:r>
    </w:p>
    <w:p>
      <w:pPr>
        <w:keepNext/>
        <w:spacing w:before="240" w:after="80"/>
      </w:pPr>
      <w:r>
        <w:rPr>
          <w:rFonts w:ascii="Times New Roman" w:hAnsi="Times New Roman"/>
          <w:b/>
          <w:color w:val="1E3A8A"/>
          <w:sz w:val="26"/>
        </w:rPr>
        <w:t>2.6 Comparative Gap Analysis</w:t>
      </w:r>
    </w:p>
    <w:p>
      <w:pPr>
        <w:spacing w:before="0" w:after="120" w:line="312" w:lineRule="auto"/>
      </w:pPr>
      <w:r>
        <w:rPr>
          <w:rFonts w:ascii="Times New Roman" w:hAnsi="Times New Roman"/>
          <w:color w:val="1E293B"/>
          <w:sz w:val="22"/>
        </w:rPr>
        <w:t>Table 2.1 presents a comprehensive comparative evaluation of SkillForge AI against traditional LMS platforms, generic commercial LLM chatbots, and specialized code autograders.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Times New Roman" w:hAnsi="Times New Roman"/>
                <w:b/>
                <w:color w:val="FFFFFF"/>
                <w:sz w:val="19"/>
              </w:rPr>
              <w:t>Feature / Dimension</w:t>
            </w:r>
          </w:p>
        </w:tc>
        <w:tc>
          <w:tcPr>
            <w:tcW w:type="dxa" w:w="1872"/>
            <w:shd w:fill="1E3A8A"/>
          </w:tcPr>
          <w:p>
            <w:r>
              <w:rPr>
                <w:rFonts w:ascii="Times New Roman" w:hAnsi="Times New Roman"/>
                <w:b/>
                <w:color w:val="FFFFFF"/>
                <w:sz w:val="19"/>
              </w:rPr>
              <w:t>Traditional LMS</w:t>
            </w:r>
          </w:p>
        </w:tc>
        <w:tc>
          <w:tcPr>
            <w:tcW w:type="dxa" w:w="1872"/>
            <w:shd w:fill="1E3A8A"/>
          </w:tcPr>
          <w:p>
            <w:r>
              <w:rPr>
                <w:rFonts w:ascii="Times New Roman" w:hAnsi="Times New Roman"/>
                <w:b/>
                <w:color w:val="FFFFFF"/>
                <w:sz w:val="19"/>
              </w:rPr>
              <w:t>Generic LLM Chatbots</w:t>
            </w:r>
          </w:p>
        </w:tc>
        <w:tc>
          <w:tcPr>
            <w:tcW w:type="dxa" w:w="1872"/>
            <w:shd w:fill="1E3A8A"/>
          </w:tcPr>
          <w:p>
            <w:r>
              <w:rPr>
                <w:rFonts w:ascii="Times New Roman" w:hAnsi="Times New Roman"/>
                <w:b/>
                <w:color w:val="FFFFFF"/>
                <w:sz w:val="19"/>
              </w:rPr>
              <w:t>Code Grader Suites</w:t>
            </w:r>
          </w:p>
        </w:tc>
        <w:tc>
          <w:tcPr>
            <w:tcW w:type="dxa" w:w="1872"/>
            <w:shd w:fill="1E3A8A"/>
          </w:tcPr>
          <w:p>
            <w:r>
              <w:rPr>
                <w:rFonts w:ascii="Times New Roman" w:hAnsi="Times New Roman"/>
                <w:b/>
                <w:color w:val="FFFFFF"/>
                <w:sz w:val="19"/>
              </w:rPr>
              <w:t>SkillForge AI (Proposed)</w:t>
            </w:r>
          </w:p>
        </w:tc>
      </w:tr>
      <w:tr>
        <w:tc>
          <w:tcPr>
            <w:tcW w:type="dxa" w:w="1872"/>
          </w:tcPr>
          <w:p>
            <w:r>
              <w:rPr>
                <w:rFonts w:ascii="Times New Roman" w:hAnsi="Times New Roman"/>
                <w:sz w:val="18"/>
              </w:rPr>
              <w:t>Subjective Essay Grading</w:t>
            </w:r>
          </w:p>
        </w:tc>
        <w:tc>
          <w:tcPr>
            <w:tcW w:type="dxa" w:w="1872"/>
          </w:tcPr>
          <w:p>
            <w:r>
              <w:rPr>
                <w:rFonts w:ascii="Times New Roman" w:hAnsi="Times New Roman"/>
                <w:sz w:val="18"/>
              </w:rPr>
              <w:t>Manual Only</w:t>
            </w:r>
          </w:p>
        </w:tc>
        <w:tc>
          <w:tcPr>
            <w:tcW w:type="dxa" w:w="1872"/>
          </w:tcPr>
          <w:p>
            <w:r>
              <w:rPr>
                <w:rFonts w:ascii="Times New Roman" w:hAnsi="Times New Roman"/>
                <w:sz w:val="18"/>
              </w:rPr>
              <w:t>Ungrounded / Variable</w:t>
            </w:r>
          </w:p>
        </w:tc>
        <w:tc>
          <w:tcPr>
            <w:tcW w:type="dxa" w:w="1872"/>
          </w:tcPr>
          <w:p>
            <w:r>
              <w:rPr>
                <w:rFonts w:ascii="Times New Roman" w:hAnsi="Times New Roman"/>
                <w:sz w:val="18"/>
              </w:rPr>
              <w:t>Not Supported</w:t>
            </w:r>
          </w:p>
        </w:tc>
        <w:tc>
          <w:tcPr>
            <w:tcW w:type="dxa" w:w="1872"/>
          </w:tcPr>
          <w:p>
            <w:r>
              <w:rPr>
                <w:rFonts w:ascii="Times New Roman" w:hAnsi="Times New Roman"/>
                <w:b/>
                <w:sz w:val="18"/>
              </w:rPr>
              <w:t>Double-Blind FairGrade (Rubric-Anchored)</w:t>
            </w:r>
          </w:p>
        </w:tc>
      </w:tr>
      <w:tr>
        <w:tc>
          <w:tcPr>
            <w:tcW w:type="dxa" w:w="1872"/>
            <w:shd w:fill="F8FAFC"/>
          </w:tcPr>
          <w:p>
            <w:r>
              <w:rPr>
                <w:rFonts w:ascii="Times New Roman" w:hAnsi="Times New Roman"/>
                <w:sz w:val="18"/>
              </w:rPr>
              <w:t>Identity Bias Suppression</w:t>
            </w:r>
          </w:p>
        </w:tc>
        <w:tc>
          <w:tcPr>
            <w:tcW w:type="dxa" w:w="1872"/>
            <w:shd w:fill="F8FAFC"/>
          </w:tcPr>
          <w:p>
            <w:r>
              <w:rPr>
                <w:rFonts w:ascii="Times New Roman" w:hAnsi="Times New Roman"/>
                <w:sz w:val="18"/>
              </w:rPr>
              <w:t>Poor (Names Visible)</w:t>
            </w:r>
          </w:p>
        </w:tc>
        <w:tc>
          <w:tcPr>
            <w:tcW w:type="dxa" w:w="1872"/>
            <w:shd w:fill="F8FAFC"/>
          </w:tcPr>
          <w:p>
            <w:r>
              <w:rPr>
                <w:rFonts w:ascii="Times New Roman" w:hAnsi="Times New Roman"/>
                <w:sz w:val="18"/>
              </w:rPr>
              <w:t>Unknown</w:t>
            </w:r>
          </w:p>
        </w:tc>
        <w:tc>
          <w:tcPr>
            <w:tcW w:type="dxa" w:w="1872"/>
            <w:shd w:fill="F8FAFC"/>
          </w:tcPr>
          <w:p>
            <w:r>
              <w:rPr>
                <w:rFonts w:ascii="Times New Roman" w:hAnsi="Times New Roman"/>
                <w:sz w:val="18"/>
              </w:rPr>
              <w:t>N/A</w:t>
            </w:r>
          </w:p>
        </w:tc>
        <w:tc>
          <w:tcPr>
            <w:tcW w:type="dxa" w:w="1872"/>
            <w:shd w:fill="F8FAFC"/>
          </w:tcPr>
          <w:p>
            <w:r>
              <w:rPr>
                <w:rFonts w:ascii="Times New Roman" w:hAnsi="Times New Roman"/>
                <w:b/>
                <w:sz w:val="18"/>
              </w:rPr>
              <w:t>Double-Blind Cryptographic Anonymizer</w:t>
            </w:r>
          </w:p>
        </w:tc>
      </w:tr>
      <w:tr>
        <w:tc>
          <w:tcPr>
            <w:tcW w:type="dxa" w:w="1872"/>
          </w:tcPr>
          <w:p>
            <w:r>
              <w:rPr>
                <w:rFonts w:ascii="Times New Roman" w:hAnsi="Times New Roman"/>
                <w:sz w:val="18"/>
              </w:rPr>
              <w:t>Socratic Tutoring Mode</w:t>
            </w:r>
          </w:p>
        </w:tc>
        <w:tc>
          <w:tcPr>
            <w:tcW w:type="dxa" w:w="1872"/>
          </w:tcPr>
          <w:p>
            <w:r>
              <w:rPr>
                <w:rFonts w:ascii="Times New Roman" w:hAnsi="Times New Roman"/>
                <w:sz w:val="18"/>
              </w:rPr>
              <w:t>None</w:t>
            </w:r>
          </w:p>
        </w:tc>
        <w:tc>
          <w:tcPr>
            <w:tcW w:type="dxa" w:w="1872"/>
          </w:tcPr>
          <w:p>
            <w:r>
              <w:rPr>
                <w:rFonts w:ascii="Times New Roman" w:hAnsi="Times New Roman"/>
                <w:sz w:val="18"/>
              </w:rPr>
              <w:t>Direct Solutions Leaked</w:t>
            </w:r>
          </w:p>
        </w:tc>
        <w:tc>
          <w:tcPr>
            <w:tcW w:type="dxa" w:w="1872"/>
          </w:tcPr>
          <w:p>
            <w:r>
              <w:rPr>
                <w:rFonts w:ascii="Times New Roman" w:hAnsi="Times New Roman"/>
                <w:sz w:val="18"/>
              </w:rPr>
              <w:t>None</w:t>
            </w:r>
          </w:p>
        </w:tc>
        <w:tc>
          <w:tcPr>
            <w:tcW w:type="dxa" w:w="1872"/>
          </w:tcPr>
          <w:p>
            <w:r>
              <w:rPr>
                <w:rFonts w:ascii="Times New Roman" w:hAnsi="Times New Roman"/>
                <w:b/>
                <w:sz w:val="18"/>
              </w:rPr>
              <w:t>RAG-Grounded Diagnostic Hint Engine</w:t>
            </w:r>
          </w:p>
        </w:tc>
      </w:tr>
      <w:tr>
        <w:tc>
          <w:tcPr>
            <w:tcW w:type="dxa" w:w="1872"/>
            <w:shd w:fill="F8FAFC"/>
          </w:tcPr>
          <w:p>
            <w:r>
              <w:rPr>
                <w:rFonts w:ascii="Times New Roman" w:hAnsi="Times New Roman"/>
                <w:sz w:val="18"/>
              </w:rPr>
              <w:t>Code Sandbox Autograding</w:t>
            </w:r>
          </w:p>
        </w:tc>
        <w:tc>
          <w:tcPr>
            <w:tcW w:type="dxa" w:w="1872"/>
            <w:shd w:fill="F8FAFC"/>
          </w:tcPr>
          <w:p>
            <w:r>
              <w:rPr>
                <w:rFonts w:ascii="Times New Roman" w:hAnsi="Times New Roman"/>
                <w:sz w:val="18"/>
              </w:rPr>
              <w:t>Third-Party Plugin</w:t>
            </w:r>
          </w:p>
        </w:tc>
        <w:tc>
          <w:tcPr>
            <w:tcW w:type="dxa" w:w="1872"/>
            <w:shd w:fill="F8FAFC"/>
          </w:tcPr>
          <w:p>
            <w:r>
              <w:rPr>
                <w:rFonts w:ascii="Times New Roman" w:hAnsi="Times New Roman"/>
                <w:sz w:val="18"/>
              </w:rPr>
              <w:t>Not Executable</w:t>
            </w:r>
          </w:p>
        </w:tc>
        <w:tc>
          <w:tcPr>
            <w:tcW w:type="dxa" w:w="1872"/>
            <w:shd w:fill="F8FAFC"/>
          </w:tcPr>
          <w:p>
            <w:r>
              <w:rPr>
                <w:rFonts w:ascii="Times New Roman" w:hAnsi="Times New Roman"/>
                <w:sz w:val="18"/>
              </w:rPr>
              <w:t>Unit Tests Only</w:t>
            </w:r>
          </w:p>
        </w:tc>
        <w:tc>
          <w:tcPr>
            <w:tcW w:type="dxa" w:w="1872"/>
            <w:shd w:fill="F8FAFC"/>
          </w:tcPr>
          <w:p>
            <w:r>
              <w:rPr>
                <w:rFonts w:ascii="Times New Roman" w:hAnsi="Times New Roman"/>
                <w:b/>
                <w:sz w:val="18"/>
              </w:rPr>
              <w:t>Judge0 Isolated Sandbox + AI Code Review</w:t>
            </w:r>
          </w:p>
        </w:tc>
      </w:tr>
      <w:tr>
        <w:tc>
          <w:tcPr>
            <w:tcW w:type="dxa" w:w="1872"/>
          </w:tcPr>
          <w:p>
            <w:r>
              <w:rPr>
                <w:rFonts w:ascii="Times New Roman" w:hAnsi="Times New Roman"/>
                <w:sz w:val="18"/>
              </w:rPr>
              <w:t>Syllabus Vector Ingestion</w:t>
            </w:r>
          </w:p>
        </w:tc>
        <w:tc>
          <w:tcPr>
            <w:tcW w:type="dxa" w:w="1872"/>
          </w:tcPr>
          <w:p>
            <w:r>
              <w:rPr>
                <w:rFonts w:ascii="Times New Roman" w:hAnsi="Times New Roman"/>
                <w:sz w:val="18"/>
              </w:rPr>
              <w:t>Static File Upload</w:t>
            </w:r>
          </w:p>
        </w:tc>
        <w:tc>
          <w:tcPr>
            <w:tcW w:type="dxa" w:w="1872"/>
          </w:tcPr>
          <w:p>
            <w:r>
              <w:rPr>
                <w:rFonts w:ascii="Times New Roman" w:hAnsi="Times New Roman"/>
                <w:sz w:val="18"/>
              </w:rPr>
              <w:t>Manual Context Pasting</w:t>
            </w:r>
          </w:p>
        </w:tc>
        <w:tc>
          <w:tcPr>
            <w:tcW w:type="dxa" w:w="1872"/>
          </w:tcPr>
          <w:p>
            <w:r>
              <w:rPr>
                <w:rFonts w:ascii="Times New Roman" w:hAnsi="Times New Roman"/>
                <w:sz w:val="18"/>
              </w:rPr>
              <w:t>None</w:t>
            </w:r>
          </w:p>
        </w:tc>
        <w:tc>
          <w:tcPr>
            <w:tcW w:type="dxa" w:w="1872"/>
          </w:tcPr>
          <w:p>
            <w:r>
              <w:rPr>
                <w:rFonts w:ascii="Times New Roman" w:hAnsi="Times New Roman"/>
                <w:b/>
                <w:sz w:val="18"/>
              </w:rPr>
              <w:t>Automated PDF Chunking &amp; Taxonomy Index</w:t>
            </w:r>
          </w:p>
        </w:tc>
      </w:tr>
      <w:tr>
        <w:tc>
          <w:tcPr>
            <w:tcW w:type="dxa" w:w="1872"/>
            <w:shd w:fill="F8FAFC"/>
          </w:tcPr>
          <w:p>
            <w:r>
              <w:rPr>
                <w:rFonts w:ascii="Times New Roman" w:hAnsi="Times New Roman"/>
                <w:sz w:val="18"/>
              </w:rPr>
              <w:t>Teacher Intervention Telemetry</w:t>
            </w:r>
          </w:p>
        </w:tc>
        <w:tc>
          <w:tcPr>
            <w:tcW w:type="dxa" w:w="1872"/>
            <w:shd w:fill="F8FAFC"/>
          </w:tcPr>
          <w:p>
            <w:r>
              <w:rPr>
                <w:rFonts w:ascii="Times New Roman" w:hAnsi="Times New Roman"/>
                <w:sz w:val="18"/>
              </w:rPr>
              <w:t>Scalar Gradebook</w:t>
            </w:r>
          </w:p>
        </w:tc>
        <w:tc>
          <w:tcPr>
            <w:tcW w:type="dxa" w:w="1872"/>
            <w:shd w:fill="F8FAFC"/>
          </w:tcPr>
          <w:p>
            <w:r>
              <w:rPr>
                <w:rFonts w:ascii="Times New Roman" w:hAnsi="Times New Roman"/>
                <w:sz w:val="18"/>
              </w:rPr>
              <w:t>None</w:t>
            </w:r>
          </w:p>
        </w:tc>
        <w:tc>
          <w:tcPr>
            <w:tcW w:type="dxa" w:w="1872"/>
            <w:shd w:fill="F8FAFC"/>
          </w:tcPr>
          <w:p>
            <w:r>
              <w:rPr>
                <w:rFonts w:ascii="Times New Roman" w:hAnsi="Times New Roman"/>
                <w:sz w:val="18"/>
              </w:rPr>
              <w:t>Basic Score List</w:t>
            </w:r>
          </w:p>
        </w:tc>
        <w:tc>
          <w:tcPr>
            <w:tcW w:type="dxa" w:w="1872"/>
            <w:shd w:fill="F8FAFC"/>
          </w:tcPr>
          <w:p>
            <w:r>
              <w:rPr>
                <w:rFonts w:ascii="Times New Roman" w:hAnsi="Times New Roman"/>
                <w:b/>
                <w:sz w:val="18"/>
              </w:rPr>
              <w:t>Predictive Mastery Heatmaps &amp; Copilot</w:t>
            </w:r>
          </w:p>
        </w:tc>
      </w:tr>
    </w:tbl>
    <w:p>
      <w:r>
        <w:br w:type="page"/>
      </w:r>
    </w:p>
    <w:p>
      <w:pPr>
        <w:keepNext/>
        <w:spacing w:before="320" w:after="160"/>
      </w:pPr>
      <w:r>
        <w:rPr>
          <w:rFonts w:ascii="Times New Roman" w:hAnsi="Times New Roman"/>
          <w:b/>
          <w:color w:val="0F172A"/>
          <w:sz w:val="30"/>
        </w:rPr>
        <w:t>3. Chapter-3: System Design and Methodology</w:t>
      </w:r>
    </w:p>
    <w:p>
      <w:pPr>
        <w:keepNext/>
        <w:spacing w:before="240" w:after="80"/>
      </w:pPr>
      <w:r>
        <w:rPr>
          <w:rFonts w:ascii="Times New Roman" w:hAnsi="Times New Roman"/>
          <w:b/>
          <w:color w:val="1E3A8A"/>
          <w:sz w:val="26"/>
        </w:rPr>
        <w:t>3.1 Software Engineering Methodology</w:t>
      </w:r>
    </w:p>
    <w:p>
      <w:pPr>
        <w:spacing w:before="0" w:after="120" w:line="312" w:lineRule="auto"/>
      </w:pPr>
      <w:r>
        <w:rPr>
          <w:rFonts w:ascii="Times New Roman" w:hAnsi="Times New Roman"/>
          <w:color w:val="1E293B"/>
          <w:sz w:val="22"/>
        </w:rPr>
        <w:t>SkillForge AI was engineered using the Agile Scrum framework, tailored specifically for distributed microservice architectures. The development lifecycle was divided into two-week sprints focusing on incremental delivery, continuous integration, and rigorous component validation.</w:t>
      </w:r>
    </w:p>
    <w:p>
      <w:pPr>
        <w:spacing w:before="0" w:after="120" w:line="312" w:lineRule="auto"/>
      </w:pPr>
      <w:r>
        <w:rPr>
          <w:rFonts w:ascii="Times New Roman" w:hAnsi="Times New Roman"/>
          <w:color w:val="1E293B"/>
          <w:sz w:val="22"/>
        </w:rPr>
        <w:t>The engineering lifecycle followed six structured phases:</w:t>
        <w:br/>
        <w:t>1. Domain Modeling &amp; Relational Schema Migrations: Designing PostgreSQL relational entities, foreign key constraints, and cryptographic mapping tables.</w:t>
        <w:br/>
        <w:t>2. Microservice Isolation &amp; FastAPI Engine: Building the FairGrade standalone grading microservice with Pydantic type safety.</w:t>
        <w:br/>
        <w:t>3. Core Application Gateway &amp; RAG Pipeline: Implementing Express.js authentication, JWT token verification, RBAC filters, and TF-IDF vector retrieval.</w:t>
        <w:br/>
        <w:t>4. Code Sandbox Integration: Orchestrating Judge0 REST API execution queues and test case evaluators.</w:t>
        <w:br/>
        <w:t>5. Reactive Frontend Single Page Application: Developing responsive React 18 / Vite interfaces with glassmorphic design tokens.</w:t>
        <w:br/>
        <w:t>6. End-to-End System Testing &amp; Stress Benchmarking: Validating subjective grading accuracy and sandbox concurrency.</w:t>
      </w:r>
    </w:p>
    <w:p>
      <w:pPr>
        <w:keepNext/>
        <w:spacing w:before="240" w:after="80"/>
      </w:pPr>
      <w:r>
        <w:rPr>
          <w:rFonts w:ascii="Times New Roman" w:hAnsi="Times New Roman"/>
          <w:b/>
          <w:color w:val="1E3A8A"/>
          <w:sz w:val="26"/>
        </w:rPr>
        <w:t>3.2 High-Level System Architecture</w:t>
      </w:r>
    </w:p>
    <w:p>
      <w:pPr>
        <w:spacing w:before="0" w:after="120" w:line="312" w:lineRule="auto"/>
      </w:pPr>
      <w:r>
        <w:rPr>
          <w:rFonts w:ascii="Times New Roman" w:hAnsi="Times New Roman"/>
          <w:color w:val="1E293B"/>
          <w:sz w:val="22"/>
        </w:rPr>
        <w:t>SkillForge AI is architected as a modular, decoupled three-tier distributed ecosystem, ensuring high availability, fault isolation, and horizontal scalability.</w:t>
      </w:r>
    </w:p>
    <w:p>
      <w:pPr>
        <w:spacing w:before="200" w:after="40"/>
        <w:jc w:val="center"/>
      </w:pPr>
      <w:r>
        <w:drawing>
          <wp:inline xmlns:a="http://schemas.openxmlformats.org/drawingml/2006/main" xmlns:pic="http://schemas.openxmlformats.org/drawingml/2006/picture">
            <wp:extent cx="5486400" cy="3473042"/>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486400" cy="3473042"/>
                    </a:xfrm>
                    <a:prstGeom prst="rect"/>
                  </pic:spPr>
                </pic:pic>
              </a:graphicData>
            </a:graphic>
          </wp:inline>
        </w:drawing>
      </w:r>
    </w:p>
    <w:p>
      <w:pPr>
        <w:spacing w:before="40" w:after="240"/>
        <w:jc w:val="center"/>
      </w:pPr>
      <w:r>
        <w:rPr>
          <w:rFonts w:ascii="Times New Roman" w:hAnsi="Times New Roman"/>
          <w:b/>
          <w:i/>
          <w:color w:val="475569"/>
          <w:sz w:val="20"/>
        </w:rPr>
        <w:t>Figure 3.1: SkillForge AI Distributed Microservice Architecture</w:t>
      </w:r>
    </w:p>
    <w:p>
      <w:pPr>
        <w:spacing w:before="0" w:after="120" w:line="312" w:lineRule="auto"/>
      </w:pPr>
      <w:r>
        <w:rPr>
          <w:rFonts w:ascii="Times New Roman" w:hAnsi="Times New Roman"/>
          <w:color w:val="1E293B"/>
          <w:sz w:val="22"/>
        </w:rPr>
        <w:t>As illustrated in Figure 3.1, the system architecture partitions responsibilities cleanly across three distinct tiers:</w:t>
      </w:r>
    </w:p>
    <w:p>
      <w:pPr>
        <w:pStyle w:val="ListBullet"/>
        <w:spacing w:before="0" w:after="80" w:line="300" w:lineRule="auto"/>
      </w:pPr>
      <w:r>
        <w:rPr>
          <w:rFonts w:ascii="Times New Roman" w:hAnsi="Times New Roman"/>
          <w:b/>
          <w:sz w:val="22"/>
        </w:rPr>
        <w:t>1. Presentation Tier (Port 3000):</w:t>
      </w:r>
      <w:r>
        <w:rPr>
          <w:rFonts w:ascii="Times New Roman" w:hAnsi="Times New Roman"/>
          <w:color w:val="1E293B"/>
          <w:sz w:val="22"/>
        </w:rPr>
        <w:t xml:space="preserve"> Implemented in React 18 with Vite, delivering responsive, glassmorphic interfaces for students, faculty, and administrators without page reloads. Interfaces communicate exclusively via RESTful JSON over HTTPS.</w:t>
      </w:r>
    </w:p>
    <w:p>
      <w:pPr>
        <w:pStyle w:val="ListBullet"/>
        <w:spacing w:before="0" w:after="80" w:line="300" w:lineRule="auto"/>
      </w:pPr>
      <w:r>
        <w:rPr>
          <w:rFonts w:ascii="Times New Roman" w:hAnsi="Times New Roman"/>
          <w:b/>
          <w:sz w:val="22"/>
        </w:rPr>
        <w:t>2. Application Gateway &amp; Core Backend (Port 5000):</w:t>
      </w:r>
      <w:r>
        <w:rPr>
          <w:rFonts w:ascii="Times New Roman" w:hAnsi="Times New Roman"/>
          <w:color w:val="1E293B"/>
          <w:sz w:val="22"/>
        </w:rPr>
        <w:t xml:space="preserve"> Built with Node.js and Express.js, acting as the secure gateway for the entire platform. It handles stateless JWT authentication, RBAC authorization, RAG vector document chunking, in-memory semantic search, cryptographic double-blind identity tokenization, and Judge0 code orchestration.</w:t>
      </w:r>
    </w:p>
    <w:p>
      <w:pPr>
        <w:pStyle w:val="ListBullet"/>
        <w:spacing w:before="0" w:after="80" w:line="300" w:lineRule="auto"/>
      </w:pPr>
      <w:r>
        <w:rPr>
          <w:rFonts w:ascii="Times New Roman" w:hAnsi="Times New Roman"/>
          <w:b/>
          <w:sz w:val="22"/>
        </w:rPr>
        <w:t>3. Specialized Microservices &amp; Persistence Tier:</w:t>
      </w:r>
      <w:r>
        <w:rPr>
          <w:rFonts w:ascii="Times New Roman" w:hAnsi="Times New Roman"/>
          <w:color w:val="1E293B"/>
          <w:sz w:val="22"/>
        </w:rPr>
        <w:t xml:space="preserve"> Consists of the Python FastAPI FairGrade grading engine (Port 8000), Google Gemini 2.0 Flash LLM cloud, Judge0 isolated code execution containers, and a Supabase PostgreSQL transactional database.</w:t>
      </w:r>
    </w:p>
    <w:p>
      <w:pPr>
        <w:keepNext/>
        <w:spacing w:before="240" w:after="80"/>
      </w:pPr>
      <w:r>
        <w:rPr>
          <w:rFonts w:ascii="Times New Roman" w:hAnsi="Times New Roman"/>
          <w:b/>
          <w:color w:val="1E3A8A"/>
          <w:sz w:val="26"/>
        </w:rPr>
        <w:t>3.3 Microservices Decomposition &amp; Communication Protocols</w:t>
      </w:r>
    </w:p>
    <w:p>
      <w:pPr>
        <w:spacing w:before="0" w:after="120" w:line="312" w:lineRule="auto"/>
      </w:pPr>
      <w:r>
        <w:rPr>
          <w:rFonts w:ascii="Times New Roman" w:hAnsi="Times New Roman"/>
          <w:color w:val="1E293B"/>
          <w:sz w:val="22"/>
        </w:rPr>
        <w:t>The platform achieves high resilience through strict microservice decoupling:</w:t>
      </w:r>
    </w:p>
    <w:p>
      <w:pPr>
        <w:spacing w:before="0" w:after="120" w:line="312" w:lineRule="auto"/>
      </w:pPr>
      <w:r>
        <w:rPr>
          <w:rFonts w:ascii="Times New Roman" w:hAnsi="Times New Roman"/>
          <w:color w:val="1E293B"/>
          <w:sz w:val="22"/>
        </w:rPr>
        <w:t>• Protocol Strategy: Inter-service communication between the Core Gateway and the FairGrade microservice utilizes asynchronous HTTP/2 JSON REST protocols with strict Pydantic payload validation. If the FairGrade microservice undergoes maintenance, the core platform remains fully functional for classroom browsing, RAG tutoring, and code sandboxing.</w:t>
      </w:r>
    </w:p>
    <w:p>
      <w:pPr>
        <w:spacing w:before="0" w:after="120" w:line="312" w:lineRule="auto"/>
      </w:pPr>
      <w:r>
        <w:rPr>
          <w:rFonts w:ascii="Times New Roman" w:hAnsi="Times New Roman"/>
          <w:color w:val="1E293B"/>
          <w:sz w:val="22"/>
        </w:rPr>
        <w:t>• Microservice Allocation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Times New Roman" w:hAnsi="Times New Roman"/>
                <w:b/>
                <w:color w:val="FFFFFF"/>
                <w:sz w:val="19"/>
              </w:rPr>
              <w:t>Service Name</w:t>
            </w:r>
          </w:p>
        </w:tc>
        <w:tc>
          <w:tcPr>
            <w:tcW w:type="dxa" w:w="2340"/>
            <w:shd w:fill="1E3A8A"/>
          </w:tcPr>
          <w:p>
            <w:r>
              <w:rPr>
                <w:rFonts w:ascii="Times New Roman" w:hAnsi="Times New Roman"/>
                <w:b/>
                <w:color w:val="FFFFFF"/>
                <w:sz w:val="19"/>
              </w:rPr>
              <w:t>Runtime / Framework</w:t>
            </w:r>
          </w:p>
        </w:tc>
        <w:tc>
          <w:tcPr>
            <w:tcW w:type="dxa" w:w="2340"/>
            <w:shd w:fill="1E3A8A"/>
          </w:tcPr>
          <w:p>
            <w:r>
              <w:rPr>
                <w:rFonts w:ascii="Times New Roman" w:hAnsi="Times New Roman"/>
                <w:b/>
                <w:color w:val="FFFFFF"/>
                <w:sz w:val="19"/>
              </w:rPr>
              <w:t>Port / Protocol</w:t>
            </w:r>
          </w:p>
        </w:tc>
        <w:tc>
          <w:tcPr>
            <w:tcW w:type="dxa" w:w="2340"/>
            <w:shd w:fill="1E3A8A"/>
          </w:tcPr>
          <w:p>
            <w:r>
              <w:rPr>
                <w:rFonts w:ascii="Times New Roman" w:hAnsi="Times New Roman"/>
                <w:b/>
                <w:color w:val="FFFFFF"/>
                <w:sz w:val="19"/>
              </w:rPr>
              <w:t>Primary Responsibility</w:t>
            </w:r>
          </w:p>
        </w:tc>
      </w:tr>
      <w:tr>
        <w:tc>
          <w:tcPr>
            <w:tcW w:type="dxa" w:w="2340"/>
          </w:tcPr>
          <w:p>
            <w:r>
              <w:rPr>
                <w:rFonts w:ascii="Times New Roman" w:hAnsi="Times New Roman"/>
                <w:sz w:val="18"/>
              </w:rPr>
              <w:t>Frontend SPA</w:t>
            </w:r>
          </w:p>
        </w:tc>
        <w:tc>
          <w:tcPr>
            <w:tcW w:type="dxa" w:w="2340"/>
          </w:tcPr>
          <w:p>
            <w:r>
              <w:rPr>
                <w:rFonts w:ascii="Times New Roman" w:hAnsi="Times New Roman"/>
                <w:sz w:val="18"/>
              </w:rPr>
              <w:t>React 18 / Vite</w:t>
            </w:r>
          </w:p>
        </w:tc>
        <w:tc>
          <w:tcPr>
            <w:tcW w:type="dxa" w:w="2340"/>
          </w:tcPr>
          <w:p>
            <w:r>
              <w:rPr>
                <w:rFonts w:ascii="Times New Roman" w:hAnsi="Times New Roman"/>
                <w:sz w:val="18"/>
              </w:rPr>
              <w:t>Port 3000 / HTTP</w:t>
            </w:r>
          </w:p>
        </w:tc>
        <w:tc>
          <w:tcPr>
            <w:tcW w:type="dxa" w:w="2340"/>
          </w:tcPr>
          <w:p>
            <w:r>
              <w:rPr>
                <w:rFonts w:ascii="Times New Roman" w:hAnsi="Times New Roman"/>
                <w:sz w:val="18"/>
              </w:rPr>
              <w:t>User interaction, code editor, Socratic chat, analytics</w:t>
            </w:r>
          </w:p>
        </w:tc>
      </w:tr>
      <w:tr>
        <w:tc>
          <w:tcPr>
            <w:tcW w:type="dxa" w:w="2340"/>
            <w:shd w:fill="F8FAFC"/>
          </w:tcPr>
          <w:p>
            <w:r>
              <w:rPr>
                <w:rFonts w:ascii="Times New Roman" w:hAnsi="Times New Roman"/>
                <w:sz w:val="18"/>
              </w:rPr>
              <w:t>Backend Core</w:t>
            </w:r>
          </w:p>
        </w:tc>
        <w:tc>
          <w:tcPr>
            <w:tcW w:type="dxa" w:w="2340"/>
            <w:shd w:fill="F8FAFC"/>
          </w:tcPr>
          <w:p>
            <w:r>
              <w:rPr>
                <w:rFonts w:ascii="Times New Roman" w:hAnsi="Times New Roman"/>
                <w:sz w:val="18"/>
              </w:rPr>
              <w:t>Node.js / Express</w:t>
            </w:r>
          </w:p>
        </w:tc>
        <w:tc>
          <w:tcPr>
            <w:tcW w:type="dxa" w:w="2340"/>
            <w:shd w:fill="F8FAFC"/>
          </w:tcPr>
          <w:p>
            <w:r>
              <w:rPr>
                <w:rFonts w:ascii="Times New Roman" w:hAnsi="Times New Roman"/>
                <w:sz w:val="18"/>
              </w:rPr>
              <w:t>Port 5000 / REST</w:t>
            </w:r>
          </w:p>
        </w:tc>
        <w:tc>
          <w:tcPr>
            <w:tcW w:type="dxa" w:w="2340"/>
            <w:shd w:fill="F8FAFC"/>
          </w:tcPr>
          <w:p>
            <w:r>
              <w:rPr>
                <w:rFonts w:ascii="Times New Roman" w:hAnsi="Times New Roman"/>
                <w:sz w:val="18"/>
              </w:rPr>
              <w:t>Auth, RBAC, RAG chunking, DB persistence gateway</w:t>
            </w:r>
          </w:p>
        </w:tc>
      </w:tr>
      <w:tr>
        <w:tc>
          <w:tcPr>
            <w:tcW w:type="dxa" w:w="2340"/>
          </w:tcPr>
          <w:p>
            <w:r>
              <w:rPr>
                <w:rFonts w:ascii="Times New Roman" w:hAnsi="Times New Roman"/>
                <w:sz w:val="18"/>
              </w:rPr>
              <w:t>FairGrade Service</w:t>
            </w:r>
          </w:p>
        </w:tc>
        <w:tc>
          <w:tcPr>
            <w:tcW w:type="dxa" w:w="2340"/>
          </w:tcPr>
          <w:p>
            <w:r>
              <w:rPr>
                <w:rFonts w:ascii="Times New Roman" w:hAnsi="Times New Roman"/>
                <w:sz w:val="18"/>
              </w:rPr>
              <w:t>Python / FastAPI</w:t>
            </w:r>
          </w:p>
        </w:tc>
        <w:tc>
          <w:tcPr>
            <w:tcW w:type="dxa" w:w="2340"/>
          </w:tcPr>
          <w:p>
            <w:r>
              <w:rPr>
                <w:rFonts w:ascii="Times New Roman" w:hAnsi="Times New Roman"/>
                <w:sz w:val="18"/>
              </w:rPr>
              <w:t>Port 8000 / REST</w:t>
            </w:r>
          </w:p>
        </w:tc>
        <w:tc>
          <w:tcPr>
            <w:tcW w:type="dxa" w:w="2340"/>
          </w:tcPr>
          <w:p>
            <w:r>
              <w:rPr>
                <w:rFonts w:ascii="Times New Roman" w:hAnsi="Times New Roman"/>
                <w:sz w:val="18"/>
              </w:rPr>
              <w:t>Rubric parsing, dual-pass LLM grading, variance scoring</w:t>
            </w:r>
          </w:p>
        </w:tc>
      </w:tr>
      <w:tr>
        <w:tc>
          <w:tcPr>
            <w:tcW w:type="dxa" w:w="2340"/>
            <w:shd w:fill="F8FAFC"/>
          </w:tcPr>
          <w:p>
            <w:r>
              <w:rPr>
                <w:rFonts w:ascii="Times New Roman" w:hAnsi="Times New Roman"/>
                <w:sz w:val="18"/>
              </w:rPr>
              <w:t>Gemini 2.0 Flash</w:t>
            </w:r>
          </w:p>
        </w:tc>
        <w:tc>
          <w:tcPr>
            <w:tcW w:type="dxa" w:w="2340"/>
            <w:shd w:fill="F8FAFC"/>
          </w:tcPr>
          <w:p>
            <w:r>
              <w:rPr>
                <w:rFonts w:ascii="Times New Roman" w:hAnsi="Times New Roman"/>
                <w:sz w:val="18"/>
              </w:rPr>
              <w:t>Google Cloud AI</w:t>
            </w:r>
          </w:p>
        </w:tc>
        <w:tc>
          <w:tcPr>
            <w:tcW w:type="dxa" w:w="2340"/>
            <w:shd w:fill="F8FAFC"/>
          </w:tcPr>
          <w:p>
            <w:r>
              <w:rPr>
                <w:rFonts w:ascii="Times New Roman" w:hAnsi="Times New Roman"/>
                <w:sz w:val="18"/>
              </w:rPr>
              <w:t>Cloud HTTPS</w:t>
            </w:r>
          </w:p>
        </w:tc>
        <w:tc>
          <w:tcPr>
            <w:tcW w:type="dxa" w:w="2340"/>
            <w:shd w:fill="F8FAFC"/>
          </w:tcPr>
          <w:p>
            <w:r>
              <w:rPr>
                <w:rFonts w:ascii="Times New Roman" w:hAnsi="Times New Roman"/>
                <w:sz w:val="18"/>
              </w:rPr>
              <w:t>Zero-shot rubric evaluation, taxonomy extraction, tutoring</w:t>
            </w:r>
          </w:p>
        </w:tc>
      </w:tr>
      <w:tr>
        <w:tc>
          <w:tcPr>
            <w:tcW w:type="dxa" w:w="2340"/>
          </w:tcPr>
          <w:p>
            <w:r>
              <w:rPr>
                <w:rFonts w:ascii="Times New Roman" w:hAnsi="Times New Roman"/>
                <w:sz w:val="18"/>
              </w:rPr>
              <w:t>Judge0 Cloud CE</w:t>
            </w:r>
          </w:p>
        </w:tc>
        <w:tc>
          <w:tcPr>
            <w:tcW w:type="dxa" w:w="2340"/>
          </w:tcPr>
          <w:p>
            <w:r>
              <w:rPr>
                <w:rFonts w:ascii="Times New Roman" w:hAnsi="Times New Roman"/>
                <w:sz w:val="18"/>
              </w:rPr>
              <w:t>Docker Sandbox</w:t>
            </w:r>
          </w:p>
        </w:tc>
        <w:tc>
          <w:tcPr>
            <w:tcW w:type="dxa" w:w="2340"/>
          </w:tcPr>
          <w:p>
            <w:r>
              <w:rPr>
                <w:rFonts w:ascii="Times New Roman" w:hAnsi="Times New Roman"/>
                <w:sz w:val="18"/>
              </w:rPr>
              <w:t>Cloud REST API</w:t>
            </w:r>
          </w:p>
        </w:tc>
        <w:tc>
          <w:tcPr>
            <w:tcW w:type="dxa" w:w="2340"/>
          </w:tcPr>
          <w:p>
            <w:r>
              <w:rPr>
                <w:rFonts w:ascii="Times New Roman" w:hAnsi="Times New Roman"/>
                <w:sz w:val="18"/>
              </w:rPr>
              <w:t>Isolated compilation &amp; test case execution</w:t>
            </w:r>
          </w:p>
        </w:tc>
      </w:tr>
      <w:tr>
        <w:tc>
          <w:tcPr>
            <w:tcW w:type="dxa" w:w="2340"/>
            <w:shd w:fill="F8FAFC"/>
          </w:tcPr>
          <w:p>
            <w:r>
              <w:rPr>
                <w:rFonts w:ascii="Times New Roman" w:hAnsi="Times New Roman"/>
                <w:sz w:val="18"/>
              </w:rPr>
              <w:t>PostgreSQL Store</w:t>
            </w:r>
          </w:p>
        </w:tc>
        <w:tc>
          <w:tcPr>
            <w:tcW w:type="dxa" w:w="2340"/>
            <w:shd w:fill="F8FAFC"/>
          </w:tcPr>
          <w:p>
            <w:r>
              <w:rPr>
                <w:rFonts w:ascii="Times New Roman" w:hAnsi="Times New Roman"/>
                <w:sz w:val="18"/>
              </w:rPr>
              <w:t>Supabase PostgreSQL</w:t>
            </w:r>
          </w:p>
        </w:tc>
        <w:tc>
          <w:tcPr>
            <w:tcW w:type="dxa" w:w="2340"/>
            <w:shd w:fill="F8FAFC"/>
          </w:tcPr>
          <w:p>
            <w:r>
              <w:rPr>
                <w:rFonts w:ascii="Times New Roman" w:hAnsi="Times New Roman"/>
                <w:sz w:val="18"/>
              </w:rPr>
              <w:t>Port 5432 / TCP</w:t>
            </w:r>
          </w:p>
        </w:tc>
        <w:tc>
          <w:tcPr>
            <w:tcW w:type="dxa" w:w="2340"/>
            <w:shd w:fill="F8FAFC"/>
          </w:tcPr>
          <w:p>
            <w:r>
              <w:rPr>
                <w:rFonts w:ascii="Times New Roman" w:hAnsi="Times New Roman"/>
                <w:sz w:val="18"/>
              </w:rPr>
              <w:t>Relational persistence, double-blind identity mapping</w:t>
            </w:r>
          </w:p>
        </w:tc>
      </w:tr>
      <w:tr>
        <w:tc>
          <w:tcPr>
            <w:tcW w:type="dxa" w:w="2340"/>
          </w:tcPr>
          <w:p>
            <w:r>
              <w:rPr>
                <w:rFonts w:ascii="Times New Roman" w:hAnsi="Times New Roman"/>
                <w:sz w:val="18"/>
              </w:rPr>
              <w:t>Vector Memory Store</w:t>
            </w:r>
          </w:p>
        </w:tc>
        <w:tc>
          <w:tcPr>
            <w:tcW w:type="dxa" w:w="2340"/>
          </w:tcPr>
          <w:p>
            <w:r>
              <w:rPr>
                <w:rFonts w:ascii="Times New Roman" w:hAnsi="Times New Roman"/>
                <w:sz w:val="18"/>
              </w:rPr>
              <w:t>In-Memory TF-IDF</w:t>
            </w:r>
          </w:p>
        </w:tc>
        <w:tc>
          <w:tcPr>
            <w:tcW w:type="dxa" w:w="2340"/>
          </w:tcPr>
          <w:p>
            <w:r>
              <w:rPr>
                <w:rFonts w:ascii="Times New Roman" w:hAnsi="Times New Roman"/>
                <w:sz w:val="18"/>
              </w:rPr>
              <w:t>Internal RAM</w:t>
            </w:r>
          </w:p>
        </w:tc>
        <w:tc>
          <w:tcPr>
            <w:tcW w:type="dxa" w:w="2340"/>
          </w:tcPr>
          <w:p>
            <w:r>
              <w:rPr>
                <w:rFonts w:ascii="Times New Roman" w:hAnsi="Times New Roman"/>
                <w:sz w:val="18"/>
              </w:rPr>
              <w:t>Semantic document retrieval and cosine similarity index</w:t>
            </w:r>
          </w:p>
        </w:tc>
      </w:tr>
    </w:tbl>
    <w:p>
      <w:pPr>
        <w:keepNext/>
        <w:spacing w:before="240" w:after="80"/>
      </w:pPr>
      <w:r>
        <w:rPr>
          <w:rFonts w:ascii="Times New Roman" w:hAnsi="Times New Roman"/>
          <w:b/>
          <w:color w:val="1E3A8A"/>
          <w:sz w:val="26"/>
        </w:rPr>
        <w:t>3.4 Data Preprocessing &amp; Vector Ingestion Pipeline</w:t>
      </w:r>
    </w:p>
    <w:p>
      <w:pPr>
        <w:spacing w:before="0" w:after="120" w:line="312" w:lineRule="auto"/>
      </w:pPr>
      <w:r>
        <w:rPr>
          <w:rFonts w:ascii="Times New Roman" w:hAnsi="Times New Roman"/>
          <w:color w:val="1E293B"/>
          <w:sz w:val="22"/>
        </w:rPr>
        <w:t>The pedagogical ingestion engine transforms unstructured course syllabi and textbooks into actionable vector spaces through a four-stage pipeline:</w:t>
      </w:r>
    </w:p>
    <w:p>
      <w:pPr>
        <w:spacing w:before="0" w:after="120" w:line="312" w:lineRule="auto"/>
      </w:pPr>
      <w:r>
        <w:rPr>
          <w:rFonts w:ascii="Times New Roman" w:hAnsi="Times New Roman"/>
          <w:color w:val="1E293B"/>
          <w:sz w:val="22"/>
        </w:rPr>
        <w:t>1. Document Extraction: Uploaded PDF and text documents are parsed using `pdf-parse`, stripping non-printable artifacts and normalizing unicode whitespace.</w:t>
        <w:br/>
        <w:t>2. Semantic Chunking: Text is split using sliding window tokenization into 500-token chunks with a 50-token overlap to preserve contextual continuity across paragraph boundaries.</w:t>
        <w:br/>
        <w:t>3. Vector Indexing: Chunks are indexed using an in-memory n-gram TF-IDF vector space with sublinear term-frequency scaling and cosine similarity search.</w:t>
        <w:br/>
        <w:t>4. Hierarchical Taxonomy Synthesis: Gemini 2.0 Flash analyzes the full document to extract a structured JSON taxonomy containing main topics, subtopics, key technical terms, and formal Bloom's Taxonomy learning objectives.</w:t>
      </w:r>
    </w:p>
    <w:p>
      <w:pPr>
        <w:keepNext/>
        <w:spacing w:before="240" w:after="80"/>
      </w:pPr>
      <w:r>
        <w:rPr>
          <w:rFonts w:ascii="Times New Roman" w:hAnsi="Times New Roman"/>
          <w:b/>
          <w:color w:val="1E3A8A"/>
          <w:sz w:val="26"/>
        </w:rPr>
        <w:t>3.5 Double-Blind Anonymization Protocol</w:t>
      </w:r>
    </w:p>
    <w:p>
      <w:pPr>
        <w:spacing w:before="0" w:after="120" w:line="312" w:lineRule="auto"/>
      </w:pPr>
      <w:r>
        <w:rPr>
          <w:rFonts w:ascii="Times New Roman" w:hAnsi="Times New Roman"/>
          <w:color w:val="1E293B"/>
          <w:sz w:val="22"/>
        </w:rPr>
        <w:t>To eliminate educator bias and identity priming, SkillForge AI implements a mathematical double-blind anonymization layer:</w:t>
      </w:r>
    </w:p>
    <w:p>
      <w:pPr>
        <w:spacing w:before="0" w:after="120" w:line="312" w:lineRule="auto"/>
      </w:pPr>
      <w:r>
        <w:rPr>
          <w:rFonts w:ascii="Times New Roman" w:hAnsi="Times New Roman"/>
          <w:color w:val="1E293B"/>
          <w:sz w:val="22"/>
        </w:rPr>
        <w:t>Let S be a student submission containing student identifier ID_student and raw text T_raw. The anonymization service executes:</w:t>
      </w:r>
    </w:p>
    <w:p>
      <w:pPr>
        <w:spacing w:before="0" w:after="120" w:line="312" w:lineRule="auto"/>
      </w:pPr>
      <w:r>
        <w:rPr>
          <w:rFonts w:ascii="Times New Roman" w:hAnsi="Times New Roman"/>
          <w:color w:val="1E293B"/>
          <w:sz w:val="22"/>
        </w:rPr>
        <w:t>1. Token Generation: A cryptographically secure random 16-byte hexadecimal token Token_anon = H(Random_bytes) is generated.</w:t>
        <w:br/>
        <w:t>2. PII Sanitization: Regular expression filters strip email addresses, registration numbers, and full names: T_clean = Filter_PII(T_raw).</w:t>
        <w:br/>
        <w:t>3. Mapping Isolation: The tuple (Token_anon, ID_student, Timestamp) is persisted in the isolated `student_identity_maps` table, inaccessible to grading endpoints.</w:t>
        <w:br/>
        <w:t>4. Evaluation Payload: The FairGrade service evaluates (Token_anon, T_clean, Rubric) in total isolation from student identity metadata.</w:t>
      </w:r>
    </w:p>
    <w:p>
      <w:pPr>
        <w:keepNext/>
        <w:spacing w:before="240" w:after="80"/>
      </w:pPr>
      <w:r>
        <w:rPr>
          <w:rFonts w:ascii="Times New Roman" w:hAnsi="Times New Roman"/>
          <w:b/>
          <w:color w:val="1E3A8A"/>
          <w:sz w:val="26"/>
        </w:rPr>
        <w:t>3.6 Model Formulations &amp; Consistency Validator</w:t>
      </w:r>
    </w:p>
    <w:p>
      <w:pPr>
        <w:spacing w:before="0" w:after="120" w:line="312" w:lineRule="auto"/>
      </w:pPr>
      <w:r>
        <w:rPr>
          <w:rFonts w:ascii="Times New Roman" w:hAnsi="Times New Roman"/>
          <w:color w:val="1E293B"/>
          <w:sz w:val="22"/>
        </w:rPr>
        <w:t>The FairGrade subjective grading engine implements dual-pass inference with criteria shuffling to eliminate position and length biases:</w:t>
      </w:r>
    </w:p>
    <w:p>
      <w:pPr>
        <w:spacing w:before="0" w:after="120" w:line="312" w:lineRule="auto"/>
      </w:pPr>
      <w:r>
        <w:rPr>
          <w:rFonts w:ascii="Times New Roman" w:hAnsi="Times New Roman"/>
          <w:color w:val="1E293B"/>
          <w:sz w:val="22"/>
        </w:rPr>
        <w:t>Let R = {C_1, C_2, ..., C_k} be a rubric with k criteria, where each criterion has weight w_i and maximum points M_i. In Pass A, criteria are presented in original sequence (C_1, ..., C_k). In Pass B, criteria are presented in reversed or permuted sequence (C_k, ..., C_1).</w:t>
      </w:r>
    </w:p>
    <w:p>
      <w:pPr>
        <w:spacing w:before="0" w:after="120" w:line="312" w:lineRule="auto"/>
      </w:pPr>
      <w:r>
        <w:rPr>
          <w:rFonts w:ascii="Times New Roman" w:hAnsi="Times New Roman"/>
          <w:color w:val="1E293B"/>
          <w:sz w:val="22"/>
        </w:rPr>
        <w:t>The criterion score variance V_i is computed as:</w:t>
        <w:br/>
        <w:t>V_i = |Score_A(C_i) - Score_B(C_i)| / M_i</w:t>
        <w:br/>
        <w:br/>
        <w:t>If the maximum variance across all criteria exceeds 10% (max_i V_i &gt; 0.10), the submission is automatically flagged with status = 'FLAGGED' and routed to the Human Instructor Intervention Queue with highlighted discrepancy rationale.</w:t>
      </w:r>
    </w:p>
    <w:p>
      <w:pPr>
        <w:spacing w:before="0" w:after="120" w:line="312" w:lineRule="auto"/>
      </w:pPr>
      <w:r>
        <w:rPr>
          <w:rFonts w:ascii="Times New Roman" w:hAnsi="Times New Roman"/>
          <w:color w:val="1E293B"/>
          <w:sz w:val="22"/>
        </w:rPr>
        <w:t>The Overall Evaluation Confidence Metric C_eval is formulated as:</w:t>
        <w:br/>
        <w:t>C_eval = 1.0 - (1/k * sum_{i=1}^k V_i) * (1.0 - Rationale_Penalty)</w:t>
        <w:br/>
        <w:t>where Rationale_Penalty evaluates whether the LLM provided sufficient textual justification (&gt; 20 words per criterion).</w:t>
      </w:r>
    </w:p>
    <w:p>
      <w:pPr>
        <w:keepNext/>
        <w:spacing w:before="240" w:after="80"/>
      </w:pPr>
      <w:r>
        <w:rPr>
          <w:rFonts w:ascii="Times New Roman" w:hAnsi="Times New Roman"/>
          <w:b/>
          <w:color w:val="1E3A8A"/>
          <w:sz w:val="26"/>
        </w:rPr>
        <w:t>3.7 Entity-Relationship (ER) Schema &amp; Data Dictionary</w:t>
      </w:r>
    </w:p>
    <w:p>
      <w:pPr>
        <w:spacing w:before="200" w:after="40"/>
        <w:jc w:val="center"/>
      </w:pPr>
      <w:r>
        <w:drawing>
          <wp:inline xmlns:a="http://schemas.openxmlformats.org/drawingml/2006/main" xmlns:pic="http://schemas.openxmlformats.org/drawingml/2006/picture">
            <wp:extent cx="5486400" cy="3724712"/>
            <wp:docPr id="2" name="Picture 2"/>
            <wp:cNvGraphicFramePr>
              <a:graphicFrameLocks noChangeAspect="1"/>
            </wp:cNvGraphicFramePr>
            <a:graphic>
              <a:graphicData uri="http://schemas.openxmlformats.org/drawingml/2006/picture">
                <pic:pic>
                  <pic:nvPicPr>
                    <pic:cNvPr id="0" name="fig_er.png"/>
                    <pic:cNvPicPr/>
                  </pic:nvPicPr>
                  <pic:blipFill>
                    <a:blip r:embed="rId10"/>
                    <a:stretch>
                      <a:fillRect/>
                    </a:stretch>
                  </pic:blipFill>
                  <pic:spPr>
                    <a:xfrm>
                      <a:off x="0" y="0"/>
                      <a:ext cx="5486400" cy="3724712"/>
                    </a:xfrm>
                    <a:prstGeom prst="rect"/>
                  </pic:spPr>
                </pic:pic>
              </a:graphicData>
            </a:graphic>
          </wp:inline>
        </w:drawing>
      </w:r>
    </w:p>
    <w:p>
      <w:pPr>
        <w:spacing w:before="40" w:after="240"/>
        <w:jc w:val="center"/>
      </w:pPr>
      <w:r>
        <w:rPr>
          <w:rFonts w:ascii="Times New Roman" w:hAnsi="Times New Roman"/>
          <w:b/>
          <w:i/>
          <w:color w:val="475569"/>
          <w:sz w:val="20"/>
        </w:rPr>
        <w:t>Figure 3.3: SkillForge AI Relational Entity-Relationship (ER) Schema</w:t>
      </w:r>
    </w:p>
    <w:p>
      <w:pPr>
        <w:spacing w:before="0" w:after="120" w:line="312" w:lineRule="auto"/>
      </w:pPr>
      <w:r>
        <w:rPr>
          <w:rFonts w:ascii="Times New Roman" w:hAnsi="Times New Roman"/>
          <w:color w:val="1E293B"/>
          <w:sz w:val="22"/>
        </w:rPr>
        <w:t>Table 3.2 details the complete database schema definitions, data types, constraints, and relationships implemented in PostgreSQL.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Times New Roman" w:hAnsi="Times New Roman"/>
                <w:b/>
                <w:color w:val="FFFFFF"/>
                <w:sz w:val="19"/>
              </w:rPr>
              <w:t>Table Name</w:t>
            </w:r>
          </w:p>
        </w:tc>
        <w:tc>
          <w:tcPr>
            <w:tcW w:type="dxa" w:w="1872"/>
            <w:shd w:fill="1E3A8A"/>
          </w:tcPr>
          <w:p>
            <w:r>
              <w:rPr>
                <w:rFonts w:ascii="Times New Roman" w:hAnsi="Times New Roman"/>
                <w:b/>
                <w:color w:val="FFFFFF"/>
                <w:sz w:val="19"/>
              </w:rPr>
              <w:t>Primary Key</w:t>
            </w:r>
          </w:p>
        </w:tc>
        <w:tc>
          <w:tcPr>
            <w:tcW w:type="dxa" w:w="1872"/>
            <w:shd w:fill="1E3A8A"/>
          </w:tcPr>
          <w:p>
            <w:r>
              <w:rPr>
                <w:rFonts w:ascii="Times New Roman" w:hAnsi="Times New Roman"/>
                <w:b/>
                <w:color w:val="FFFFFF"/>
                <w:sz w:val="19"/>
              </w:rPr>
              <w:t>Foreign Keys</w:t>
            </w:r>
          </w:p>
        </w:tc>
        <w:tc>
          <w:tcPr>
            <w:tcW w:type="dxa" w:w="1872"/>
            <w:shd w:fill="1E3A8A"/>
          </w:tcPr>
          <w:p>
            <w:r>
              <w:rPr>
                <w:rFonts w:ascii="Times New Roman" w:hAnsi="Times New Roman"/>
                <w:b/>
                <w:color w:val="FFFFFF"/>
                <w:sz w:val="19"/>
              </w:rPr>
              <w:t>Key Attributes</w:t>
            </w:r>
          </w:p>
        </w:tc>
        <w:tc>
          <w:tcPr>
            <w:tcW w:type="dxa" w:w="1872"/>
            <w:shd w:fill="1E3A8A"/>
          </w:tcPr>
          <w:p>
            <w:r>
              <w:rPr>
                <w:rFonts w:ascii="Times New Roman" w:hAnsi="Times New Roman"/>
                <w:b/>
                <w:color w:val="FFFFFF"/>
                <w:sz w:val="19"/>
              </w:rPr>
              <w:t>Description &amp; Constraints</w:t>
            </w:r>
          </w:p>
        </w:tc>
      </w:tr>
      <w:tr>
        <w:tc>
          <w:tcPr>
            <w:tcW w:type="dxa" w:w="1872"/>
          </w:tcPr>
          <w:p>
            <w:r>
              <w:rPr>
                <w:rFonts w:ascii="Times New Roman" w:hAnsi="Times New Roman"/>
                <w:sz w:val="17"/>
              </w:rPr>
              <w:t>users</w:t>
            </w:r>
          </w:p>
        </w:tc>
        <w:tc>
          <w:tcPr>
            <w:tcW w:type="dxa" w:w="1872"/>
          </w:tcPr>
          <w:p>
            <w:r>
              <w:rPr>
                <w:rFonts w:ascii="Times New Roman" w:hAnsi="Times New Roman"/>
                <w:sz w:val="17"/>
              </w:rPr>
              <w:t>id (UUID)</w:t>
            </w:r>
          </w:p>
        </w:tc>
        <w:tc>
          <w:tcPr>
            <w:tcW w:type="dxa" w:w="1872"/>
          </w:tcPr>
          <w:p>
            <w:r>
              <w:rPr>
                <w:rFonts w:ascii="Times New Roman" w:hAnsi="Times New Roman"/>
                <w:sz w:val="17"/>
              </w:rPr>
              <w:t>None</w:t>
            </w:r>
          </w:p>
        </w:tc>
        <w:tc>
          <w:tcPr>
            <w:tcW w:type="dxa" w:w="1872"/>
          </w:tcPr>
          <w:p>
            <w:r>
              <w:rPr>
                <w:rFonts w:ascii="Times New Roman" w:hAnsi="Times New Roman"/>
                <w:sz w:val="17"/>
              </w:rPr>
              <w:t>email, password_hash, role, name, status</w:t>
            </w:r>
          </w:p>
        </w:tc>
        <w:tc>
          <w:tcPr>
            <w:tcW w:type="dxa" w:w="1872"/>
          </w:tcPr>
          <w:p>
            <w:r>
              <w:rPr>
                <w:rFonts w:ascii="Times New Roman" w:hAnsi="Times New Roman"/>
                <w:sz w:val="17"/>
              </w:rPr>
              <w:t>User entity with RBAC roles (ADMIN, TEACHER, STUDENT)</w:t>
            </w:r>
          </w:p>
        </w:tc>
      </w:tr>
      <w:tr>
        <w:tc>
          <w:tcPr>
            <w:tcW w:type="dxa" w:w="1872"/>
            <w:shd w:fill="F8FAFC"/>
          </w:tcPr>
          <w:p>
            <w:r>
              <w:rPr>
                <w:rFonts w:ascii="Times New Roman" w:hAnsi="Times New Roman"/>
                <w:sz w:val="17"/>
              </w:rPr>
              <w:t>classrooms</w:t>
            </w:r>
          </w:p>
        </w:tc>
        <w:tc>
          <w:tcPr>
            <w:tcW w:type="dxa" w:w="1872"/>
            <w:shd w:fill="F8FAFC"/>
          </w:tcPr>
          <w:p>
            <w:r>
              <w:rPr>
                <w:rFonts w:ascii="Times New Roman" w:hAnsi="Times New Roman"/>
                <w:sz w:val="17"/>
              </w:rPr>
              <w:t>id (UUID)</w:t>
            </w:r>
          </w:p>
        </w:tc>
        <w:tc>
          <w:tcPr>
            <w:tcW w:type="dxa" w:w="1872"/>
            <w:shd w:fill="F8FAFC"/>
          </w:tcPr>
          <w:p>
            <w:r>
              <w:rPr>
                <w:rFonts w:ascii="Times New Roman" w:hAnsi="Times New Roman"/>
                <w:sz w:val="17"/>
              </w:rPr>
              <w:t>created_by -&gt; users.id</w:t>
            </w:r>
          </w:p>
        </w:tc>
        <w:tc>
          <w:tcPr>
            <w:tcW w:type="dxa" w:w="1872"/>
            <w:shd w:fill="F8FAFC"/>
          </w:tcPr>
          <w:p>
            <w:r>
              <w:rPr>
                <w:rFonts w:ascii="Times New Roman" w:hAnsi="Times New Roman"/>
                <w:sz w:val="17"/>
              </w:rPr>
              <w:t>code, name, subject, join_code, student_count</w:t>
            </w:r>
          </w:p>
        </w:tc>
        <w:tc>
          <w:tcPr>
            <w:tcW w:type="dxa" w:w="1872"/>
            <w:shd w:fill="F8FAFC"/>
          </w:tcPr>
          <w:p>
            <w:r>
              <w:rPr>
                <w:rFonts w:ascii="Times New Roman" w:hAnsi="Times New Roman"/>
                <w:sz w:val="17"/>
              </w:rPr>
              <w:t>Course classrooms with unique student join codes</w:t>
            </w:r>
          </w:p>
        </w:tc>
      </w:tr>
      <w:tr>
        <w:tc>
          <w:tcPr>
            <w:tcW w:type="dxa" w:w="1872"/>
          </w:tcPr>
          <w:p>
            <w:r>
              <w:rPr>
                <w:rFonts w:ascii="Times New Roman" w:hAnsi="Times New Roman"/>
                <w:sz w:val="17"/>
              </w:rPr>
              <w:t>student_enrollments</w:t>
            </w:r>
          </w:p>
        </w:tc>
        <w:tc>
          <w:tcPr>
            <w:tcW w:type="dxa" w:w="1872"/>
          </w:tcPr>
          <w:p>
            <w:r>
              <w:rPr>
                <w:rFonts w:ascii="Times New Roman" w:hAnsi="Times New Roman"/>
                <w:sz w:val="17"/>
              </w:rPr>
              <w:t>id (UUID)</w:t>
            </w:r>
          </w:p>
        </w:tc>
        <w:tc>
          <w:tcPr>
            <w:tcW w:type="dxa" w:w="1872"/>
          </w:tcPr>
          <w:p>
            <w:r>
              <w:rPr>
                <w:rFonts w:ascii="Times New Roman" w:hAnsi="Times New Roman"/>
                <w:sz w:val="17"/>
              </w:rPr>
              <w:t>classroom_id, student_id</w:t>
            </w:r>
          </w:p>
        </w:tc>
        <w:tc>
          <w:tcPr>
            <w:tcW w:type="dxa" w:w="1872"/>
          </w:tcPr>
          <w:p>
            <w:r>
              <w:rPr>
                <w:rFonts w:ascii="Times New Roman" w:hAnsi="Times New Roman"/>
                <w:sz w:val="17"/>
              </w:rPr>
              <w:t>enrolled_at, status, last_active</w:t>
            </w:r>
          </w:p>
        </w:tc>
        <w:tc>
          <w:tcPr>
            <w:tcW w:type="dxa" w:w="1872"/>
          </w:tcPr>
          <w:p>
            <w:r>
              <w:rPr>
                <w:rFonts w:ascii="Times New Roman" w:hAnsi="Times New Roman"/>
                <w:sz w:val="17"/>
              </w:rPr>
              <w:t>Many-to-many junction mapping students to classrooms</w:t>
            </w:r>
          </w:p>
        </w:tc>
      </w:tr>
      <w:tr>
        <w:tc>
          <w:tcPr>
            <w:tcW w:type="dxa" w:w="1872"/>
            <w:shd w:fill="F8FAFC"/>
          </w:tcPr>
          <w:p>
            <w:r>
              <w:rPr>
                <w:rFonts w:ascii="Times New Roman" w:hAnsi="Times New Roman"/>
                <w:sz w:val="17"/>
              </w:rPr>
              <w:t>learning_materials</w:t>
            </w:r>
          </w:p>
        </w:tc>
        <w:tc>
          <w:tcPr>
            <w:tcW w:type="dxa" w:w="1872"/>
            <w:shd w:fill="F8FAFC"/>
          </w:tcPr>
          <w:p>
            <w:r>
              <w:rPr>
                <w:rFonts w:ascii="Times New Roman" w:hAnsi="Times New Roman"/>
                <w:sz w:val="17"/>
              </w:rPr>
              <w:t>id (UUID)</w:t>
            </w:r>
          </w:p>
        </w:tc>
        <w:tc>
          <w:tcPr>
            <w:tcW w:type="dxa" w:w="1872"/>
            <w:shd w:fill="F8FAFC"/>
          </w:tcPr>
          <w:p>
            <w:r>
              <w:rPr>
                <w:rFonts w:ascii="Times New Roman" w:hAnsi="Times New Roman"/>
                <w:sz w:val="17"/>
              </w:rPr>
              <w:t>classroom_id, uploaded_by</w:t>
            </w:r>
          </w:p>
        </w:tc>
        <w:tc>
          <w:tcPr>
            <w:tcW w:type="dxa" w:w="1872"/>
            <w:shd w:fill="F8FAFC"/>
          </w:tcPr>
          <w:p>
            <w:r>
              <w:rPr>
                <w:rFonts w:ascii="Times New Roman" w:hAnsi="Times New Roman"/>
                <w:sz w:val="17"/>
              </w:rPr>
              <w:t>title, file_name, extracted_text, taxonomy</w:t>
            </w:r>
          </w:p>
        </w:tc>
        <w:tc>
          <w:tcPr>
            <w:tcW w:type="dxa" w:w="1872"/>
            <w:shd w:fill="F8FAFC"/>
          </w:tcPr>
          <w:p>
            <w:r>
              <w:rPr>
                <w:rFonts w:ascii="Times New Roman" w:hAnsi="Times New Roman"/>
                <w:sz w:val="17"/>
              </w:rPr>
              <w:t>Course documents with chunked vector representations</w:t>
            </w:r>
          </w:p>
        </w:tc>
      </w:tr>
      <w:tr>
        <w:tc>
          <w:tcPr>
            <w:tcW w:type="dxa" w:w="1872"/>
          </w:tcPr>
          <w:p>
            <w:r>
              <w:rPr>
                <w:rFonts w:ascii="Times New Roman" w:hAnsi="Times New Roman"/>
                <w:sz w:val="17"/>
              </w:rPr>
              <w:t>assessment</w:t>
            </w:r>
          </w:p>
        </w:tc>
        <w:tc>
          <w:tcPr>
            <w:tcW w:type="dxa" w:w="1872"/>
          </w:tcPr>
          <w:p>
            <w:r>
              <w:rPr>
                <w:rFonts w:ascii="Times New Roman" w:hAnsi="Times New Roman"/>
                <w:sz w:val="17"/>
              </w:rPr>
              <w:t>id (UUID)</w:t>
            </w:r>
          </w:p>
        </w:tc>
        <w:tc>
          <w:tcPr>
            <w:tcW w:type="dxa" w:w="1872"/>
          </w:tcPr>
          <w:p>
            <w:r>
              <w:rPr>
                <w:rFonts w:ascii="Times New Roman" w:hAnsi="Times New Roman"/>
                <w:sz w:val="17"/>
              </w:rPr>
              <w:t>course_id, created_by</w:t>
            </w:r>
          </w:p>
        </w:tc>
        <w:tc>
          <w:tcPr>
            <w:tcW w:type="dxa" w:w="1872"/>
          </w:tcPr>
          <w:p>
            <w:r>
              <w:rPr>
                <w:rFonts w:ascii="Times New Roman" w:hAnsi="Times New Roman"/>
                <w:sz w:val="17"/>
              </w:rPr>
              <w:t>title, total_points, status, created_at</w:t>
            </w:r>
          </w:p>
        </w:tc>
        <w:tc>
          <w:tcPr>
            <w:tcW w:type="dxa" w:w="1872"/>
          </w:tcPr>
          <w:p>
            <w:r>
              <w:rPr>
                <w:rFonts w:ascii="Times New Roman" w:hAnsi="Times New Roman"/>
                <w:sz w:val="17"/>
              </w:rPr>
              <w:t>Master assessment entity for written/code exams</w:t>
            </w:r>
          </w:p>
        </w:tc>
      </w:tr>
      <w:tr>
        <w:tc>
          <w:tcPr>
            <w:tcW w:type="dxa" w:w="1872"/>
            <w:shd w:fill="F8FAFC"/>
          </w:tcPr>
          <w:p>
            <w:r>
              <w:rPr>
                <w:rFonts w:ascii="Times New Roman" w:hAnsi="Times New Roman"/>
                <w:sz w:val="17"/>
              </w:rPr>
              <w:t>assessment_question</w:t>
            </w:r>
          </w:p>
        </w:tc>
        <w:tc>
          <w:tcPr>
            <w:tcW w:type="dxa" w:w="1872"/>
            <w:shd w:fill="F8FAFC"/>
          </w:tcPr>
          <w:p>
            <w:r>
              <w:rPr>
                <w:rFonts w:ascii="Times New Roman" w:hAnsi="Times New Roman"/>
                <w:sz w:val="17"/>
              </w:rPr>
              <w:t>id (UUID)</w:t>
            </w:r>
          </w:p>
        </w:tc>
        <w:tc>
          <w:tcPr>
            <w:tcW w:type="dxa" w:w="1872"/>
            <w:shd w:fill="F8FAFC"/>
          </w:tcPr>
          <w:p>
            <w:r>
              <w:rPr>
                <w:rFonts w:ascii="Times New Roman" w:hAnsi="Times New Roman"/>
                <w:sz w:val="17"/>
              </w:rPr>
              <w:t>assessment_id</w:t>
            </w:r>
          </w:p>
        </w:tc>
        <w:tc>
          <w:tcPr>
            <w:tcW w:type="dxa" w:w="1872"/>
            <w:shd w:fill="F8FAFC"/>
          </w:tcPr>
          <w:p>
            <w:r>
              <w:rPr>
                <w:rFonts w:ascii="Times New Roman" w:hAnsi="Times New Roman"/>
                <w:sz w:val="17"/>
              </w:rPr>
              <w:t>question_number, question_text, max_score</w:t>
            </w:r>
          </w:p>
        </w:tc>
        <w:tc>
          <w:tcPr>
            <w:tcW w:type="dxa" w:w="1872"/>
            <w:shd w:fill="F8FAFC"/>
          </w:tcPr>
          <w:p>
            <w:r>
              <w:rPr>
                <w:rFonts w:ascii="Times New Roman" w:hAnsi="Times New Roman"/>
                <w:sz w:val="17"/>
              </w:rPr>
              <w:t>Individual exam questions with sample benchmark solutions</w:t>
            </w:r>
          </w:p>
        </w:tc>
      </w:tr>
      <w:tr>
        <w:tc>
          <w:tcPr>
            <w:tcW w:type="dxa" w:w="1872"/>
          </w:tcPr>
          <w:p>
            <w:r>
              <w:rPr>
                <w:rFonts w:ascii="Times New Roman" w:hAnsi="Times New Roman"/>
                <w:sz w:val="17"/>
              </w:rPr>
              <w:t>rubric</w:t>
            </w:r>
          </w:p>
        </w:tc>
        <w:tc>
          <w:tcPr>
            <w:tcW w:type="dxa" w:w="1872"/>
          </w:tcPr>
          <w:p>
            <w:r>
              <w:rPr>
                <w:rFonts w:ascii="Times New Roman" w:hAnsi="Times New Roman"/>
                <w:sz w:val="17"/>
              </w:rPr>
              <w:t>id (UUID)</w:t>
            </w:r>
          </w:p>
        </w:tc>
        <w:tc>
          <w:tcPr>
            <w:tcW w:type="dxa" w:w="1872"/>
          </w:tcPr>
          <w:p>
            <w:r>
              <w:rPr>
                <w:rFonts w:ascii="Times New Roman" w:hAnsi="Times New Roman"/>
                <w:sz w:val="17"/>
              </w:rPr>
              <w:t>assessment_id, question_id</w:t>
            </w:r>
          </w:p>
        </w:tc>
        <w:tc>
          <w:tcPr>
            <w:tcW w:type="dxa" w:w="1872"/>
          </w:tcPr>
          <w:p>
            <w:r>
              <w:rPr>
                <w:rFonts w:ascii="Times New Roman" w:hAnsi="Times New Roman"/>
                <w:sz w:val="17"/>
              </w:rPr>
              <w:t>title, description, total_weight</w:t>
            </w:r>
          </w:p>
        </w:tc>
        <w:tc>
          <w:tcPr>
            <w:tcW w:type="dxa" w:w="1872"/>
          </w:tcPr>
          <w:p>
            <w:r>
              <w:rPr>
                <w:rFonts w:ascii="Times New Roman" w:hAnsi="Times New Roman"/>
                <w:sz w:val="17"/>
              </w:rPr>
              <w:t>Rubric container defining evaluation weights</w:t>
            </w:r>
          </w:p>
        </w:tc>
      </w:tr>
      <w:tr>
        <w:tc>
          <w:tcPr>
            <w:tcW w:type="dxa" w:w="1872"/>
            <w:shd w:fill="F8FAFC"/>
          </w:tcPr>
          <w:p>
            <w:r>
              <w:rPr>
                <w:rFonts w:ascii="Times New Roman" w:hAnsi="Times New Roman"/>
                <w:sz w:val="17"/>
              </w:rPr>
              <w:t>rubric_criterion</w:t>
            </w:r>
          </w:p>
        </w:tc>
        <w:tc>
          <w:tcPr>
            <w:tcW w:type="dxa" w:w="1872"/>
            <w:shd w:fill="F8FAFC"/>
          </w:tcPr>
          <w:p>
            <w:r>
              <w:rPr>
                <w:rFonts w:ascii="Times New Roman" w:hAnsi="Times New Roman"/>
                <w:sz w:val="17"/>
              </w:rPr>
              <w:t>id (UUID)</w:t>
            </w:r>
          </w:p>
        </w:tc>
        <w:tc>
          <w:tcPr>
            <w:tcW w:type="dxa" w:w="1872"/>
            <w:shd w:fill="F8FAFC"/>
          </w:tcPr>
          <w:p>
            <w:r>
              <w:rPr>
                <w:rFonts w:ascii="Times New Roman" w:hAnsi="Times New Roman"/>
                <w:sz w:val="17"/>
              </w:rPr>
              <w:t>rubric_id</w:t>
            </w:r>
          </w:p>
        </w:tc>
        <w:tc>
          <w:tcPr>
            <w:tcW w:type="dxa" w:w="1872"/>
            <w:shd w:fill="F8FAFC"/>
          </w:tcPr>
          <w:p>
            <w:r>
              <w:rPr>
                <w:rFonts w:ascii="Times New Roman" w:hAnsi="Times New Roman"/>
                <w:sz w:val="17"/>
              </w:rPr>
              <w:t>criterion_name, max_points, weight, order_idx</w:t>
            </w:r>
          </w:p>
        </w:tc>
        <w:tc>
          <w:tcPr>
            <w:tcW w:type="dxa" w:w="1872"/>
            <w:shd w:fill="F8FAFC"/>
          </w:tcPr>
          <w:p>
            <w:r>
              <w:rPr>
                <w:rFonts w:ascii="Times New Roman" w:hAnsi="Times New Roman"/>
                <w:sz w:val="17"/>
              </w:rPr>
              <w:t>Specific grading criteria with descriptive levels</w:t>
            </w:r>
          </w:p>
        </w:tc>
      </w:tr>
      <w:tr>
        <w:tc>
          <w:tcPr>
            <w:tcW w:type="dxa" w:w="1872"/>
          </w:tcPr>
          <w:p>
            <w:r>
              <w:rPr>
                <w:rFonts w:ascii="Times New Roman" w:hAnsi="Times New Roman"/>
                <w:sz w:val="17"/>
              </w:rPr>
              <w:t>written_submissions</w:t>
            </w:r>
          </w:p>
        </w:tc>
        <w:tc>
          <w:tcPr>
            <w:tcW w:type="dxa" w:w="1872"/>
          </w:tcPr>
          <w:p>
            <w:r>
              <w:rPr>
                <w:rFonts w:ascii="Times New Roman" w:hAnsi="Times New Roman"/>
                <w:sz w:val="17"/>
              </w:rPr>
              <w:t>id (UUID)</w:t>
            </w:r>
          </w:p>
        </w:tc>
        <w:tc>
          <w:tcPr>
            <w:tcW w:type="dxa" w:w="1872"/>
          </w:tcPr>
          <w:p>
            <w:r>
              <w:rPr>
                <w:rFonts w:ascii="Times New Roman" w:hAnsi="Times New Roman"/>
                <w:sz w:val="17"/>
              </w:rPr>
              <w:t>question_id, student_id</w:t>
            </w:r>
          </w:p>
        </w:tc>
        <w:tc>
          <w:tcPr>
            <w:tcW w:type="dxa" w:w="1872"/>
          </w:tcPr>
          <w:p>
            <w:r>
              <w:rPr>
                <w:rFonts w:ascii="Times New Roman" w:hAnsi="Times New Roman"/>
                <w:sz w:val="17"/>
              </w:rPr>
              <w:t>answer_text, status, submitted_at</w:t>
            </w:r>
          </w:p>
        </w:tc>
        <w:tc>
          <w:tcPr>
            <w:tcW w:type="dxa" w:w="1872"/>
          </w:tcPr>
          <w:p>
            <w:r>
              <w:rPr>
                <w:rFonts w:ascii="Times New Roman" w:hAnsi="Times New Roman"/>
                <w:sz w:val="17"/>
              </w:rPr>
              <w:t>Raw student submissions with lifecycle statuses</w:t>
            </w:r>
          </w:p>
        </w:tc>
      </w:tr>
      <w:tr>
        <w:tc>
          <w:tcPr>
            <w:tcW w:type="dxa" w:w="1872"/>
            <w:shd w:fill="F8FAFC"/>
          </w:tcPr>
          <w:p>
            <w:r>
              <w:rPr>
                <w:rFonts w:ascii="Times New Roman" w:hAnsi="Times New Roman"/>
                <w:sz w:val="17"/>
              </w:rPr>
              <w:t>student_identity_map</w:t>
            </w:r>
          </w:p>
        </w:tc>
        <w:tc>
          <w:tcPr>
            <w:tcW w:type="dxa" w:w="1872"/>
            <w:shd w:fill="F8FAFC"/>
          </w:tcPr>
          <w:p>
            <w:r>
              <w:rPr>
                <w:rFonts w:ascii="Times New Roman" w:hAnsi="Times New Roman"/>
                <w:sz w:val="17"/>
              </w:rPr>
              <w:t>id (UUID)</w:t>
            </w:r>
          </w:p>
        </w:tc>
        <w:tc>
          <w:tcPr>
            <w:tcW w:type="dxa" w:w="1872"/>
            <w:shd w:fill="F8FAFC"/>
          </w:tcPr>
          <w:p>
            <w:r>
              <w:rPr>
                <w:rFonts w:ascii="Times New Roman" w:hAnsi="Times New Roman"/>
                <w:sz w:val="17"/>
              </w:rPr>
              <w:t>student_id</w:t>
            </w:r>
          </w:p>
        </w:tc>
        <w:tc>
          <w:tcPr>
            <w:tcW w:type="dxa" w:w="1872"/>
            <w:shd w:fill="F8FAFC"/>
          </w:tcPr>
          <w:p>
            <w:r>
              <w:rPr>
                <w:rFonts w:ascii="Times New Roman" w:hAnsi="Times New Roman"/>
                <w:sz w:val="17"/>
              </w:rPr>
              <w:t>anon_token (UNIQUE), created_at</w:t>
            </w:r>
          </w:p>
        </w:tc>
        <w:tc>
          <w:tcPr>
            <w:tcW w:type="dxa" w:w="1872"/>
            <w:shd w:fill="F8FAFC"/>
          </w:tcPr>
          <w:p>
            <w:r>
              <w:rPr>
                <w:rFonts w:ascii="Times New Roman" w:hAnsi="Times New Roman"/>
                <w:sz w:val="17"/>
              </w:rPr>
              <w:t>Isolated cryptographic double-blind mapping table</w:t>
            </w:r>
          </w:p>
        </w:tc>
      </w:tr>
    </w:tbl>
    <w:p>
      <w:pPr>
        <w:keepNext/>
        <w:spacing w:before="240" w:after="80"/>
      </w:pPr>
      <w:r>
        <w:rPr>
          <w:rFonts w:ascii="Times New Roman" w:hAnsi="Times New Roman"/>
          <w:b/>
          <w:color w:val="1E3A8A"/>
          <w:sz w:val="26"/>
        </w:rPr>
        <w:t>3.8 System UML Modeling Diagrams</w:t>
      </w:r>
    </w:p>
    <w:p>
      <w:pPr>
        <w:keepNext/>
        <w:spacing w:before="160" w:after="60"/>
      </w:pPr>
      <w:r>
        <w:rPr>
          <w:rFonts w:ascii="Times New Roman" w:hAnsi="Times New Roman"/>
          <w:b/>
          <w:i/>
          <w:color w:val="334155"/>
          <w:sz w:val="24"/>
        </w:rPr>
        <w:t>3.8.1 Use Case Diagram &amp; Actor Matrix</w:t>
      </w:r>
    </w:p>
    <w:p>
      <w:pPr>
        <w:spacing w:before="200" w:after="40"/>
        <w:jc w:val="center"/>
      </w:pPr>
      <w:r>
        <w:drawing>
          <wp:inline xmlns:a="http://schemas.openxmlformats.org/drawingml/2006/main" xmlns:pic="http://schemas.openxmlformats.org/drawingml/2006/picture">
            <wp:extent cx="5486400" cy="3724712"/>
            <wp:docPr id="3" name="Picture 3"/>
            <wp:cNvGraphicFramePr>
              <a:graphicFrameLocks noChangeAspect="1"/>
            </wp:cNvGraphicFramePr>
            <a:graphic>
              <a:graphicData uri="http://schemas.openxmlformats.org/drawingml/2006/picture">
                <pic:pic>
                  <pic:nvPicPr>
                    <pic:cNvPr id="0" name="fig_usecase.png"/>
                    <pic:cNvPicPr/>
                  </pic:nvPicPr>
                  <pic:blipFill>
                    <a:blip r:embed="rId11"/>
                    <a:stretch>
                      <a:fillRect/>
                    </a:stretch>
                  </pic:blipFill>
                  <pic:spPr>
                    <a:xfrm>
                      <a:off x="0" y="0"/>
                      <a:ext cx="5486400" cy="3724712"/>
                    </a:xfrm>
                    <a:prstGeom prst="rect"/>
                  </pic:spPr>
                </pic:pic>
              </a:graphicData>
            </a:graphic>
          </wp:inline>
        </w:drawing>
      </w:r>
    </w:p>
    <w:p>
      <w:pPr>
        <w:spacing w:before="40" w:after="240"/>
        <w:jc w:val="center"/>
      </w:pPr>
      <w:r>
        <w:rPr>
          <w:rFonts w:ascii="Times New Roman" w:hAnsi="Times New Roman"/>
          <w:b/>
          <w:i/>
          <w:color w:val="475569"/>
          <w:sz w:val="20"/>
        </w:rPr>
        <w:t>Figure 3.4: SkillForge AI System Use Case Model</w:t>
      </w:r>
    </w:p>
    <w:p>
      <w:pPr>
        <w:spacing w:before="0" w:after="120" w:line="312" w:lineRule="auto"/>
      </w:pPr>
      <w:r>
        <w:rPr>
          <w:rFonts w:ascii="Times New Roman" w:hAnsi="Times New Roman"/>
          <w:color w:val="1E293B"/>
          <w:sz w:val="22"/>
        </w:rPr>
        <w:t>The platform defines three primary human actors interacting within the system boundary:</w:t>
      </w:r>
    </w:p>
    <w:p>
      <w:pPr>
        <w:pStyle w:val="ListBullet"/>
        <w:spacing w:before="0" w:after="80" w:line="300" w:lineRule="auto"/>
      </w:pPr>
      <w:r>
        <w:rPr>
          <w:rFonts w:ascii="Times New Roman" w:hAnsi="Times New Roman"/>
          <w:b/>
          <w:sz w:val="22"/>
        </w:rPr>
        <w:t>• Student Actor:</w:t>
      </w:r>
      <w:r>
        <w:rPr>
          <w:rFonts w:ascii="Times New Roman" w:hAnsi="Times New Roman"/>
          <w:color w:val="1E293B"/>
          <w:sz w:val="22"/>
        </w:rPr>
        <w:t xml:space="preserve"> Accesses course syllabi, interacts with the Socratic AI tutor, submits written proofs, executes code in the sandbox, and reviews FairGrade scorecards.</w:t>
      </w:r>
    </w:p>
    <w:p>
      <w:pPr>
        <w:pStyle w:val="ListBullet"/>
        <w:spacing w:before="0" w:after="80" w:line="300" w:lineRule="auto"/>
      </w:pPr>
      <w:r>
        <w:rPr>
          <w:rFonts w:ascii="Times New Roman" w:hAnsi="Times New Roman"/>
          <w:b/>
          <w:sz w:val="22"/>
        </w:rPr>
        <w:t>• Teacher Actor:</w:t>
      </w:r>
      <w:r>
        <w:rPr>
          <w:rFonts w:ascii="Times New Roman" w:hAnsi="Times New Roman"/>
          <w:color w:val="1E293B"/>
          <w:sz w:val="22"/>
        </w:rPr>
        <w:t xml:space="preserve"> Uploads course materials, triggers taxonomy extraction, designs rubric criteria, executes batch AI grading, reviews flagged score variances, and monitors class mastery heatmaps.</w:t>
      </w:r>
    </w:p>
    <w:p>
      <w:pPr>
        <w:pStyle w:val="ListBullet"/>
        <w:spacing w:before="0" w:after="80" w:line="300" w:lineRule="auto"/>
      </w:pPr>
      <w:r>
        <w:rPr>
          <w:rFonts w:ascii="Times New Roman" w:hAnsi="Times New Roman"/>
          <w:b/>
          <w:sz w:val="22"/>
        </w:rPr>
        <w:t>• System Administrator Actor:</w:t>
      </w:r>
      <w:r>
        <w:rPr>
          <w:rFonts w:ascii="Times New Roman" w:hAnsi="Times New Roman"/>
          <w:color w:val="1E293B"/>
          <w:sz w:val="22"/>
        </w:rPr>
        <w:t xml:space="preserve"> Manages user accounts, enforces RBAC policies, inspects security audit logs, and monitors LLM endpoint health.</w:t>
      </w:r>
    </w:p>
    <w:p>
      <w:pPr>
        <w:keepNext/>
        <w:spacing w:before="160" w:after="60"/>
      </w:pPr>
      <w:r>
        <w:rPr>
          <w:rFonts w:ascii="Times New Roman" w:hAnsi="Times New Roman"/>
          <w:b/>
          <w:i/>
          <w:color w:val="334155"/>
          <w:sz w:val="24"/>
        </w:rPr>
        <w:t>3.8.2 Data Flow Diagrams (DFD Level 0, Level 1, Level 2)</w:t>
      </w:r>
    </w:p>
    <w:p>
      <w:pPr>
        <w:spacing w:before="200" w:after="4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fig_dfd0.png"/>
                    <pic:cNvPicPr/>
                  </pic:nvPicPr>
                  <pic:blipFill>
                    <a:blip r:embed="rId12"/>
                    <a:stretch>
                      <a:fillRect/>
                    </a:stretch>
                  </pic:blipFill>
                  <pic:spPr>
                    <a:xfrm>
                      <a:off x="0" y="0"/>
                      <a:ext cx="5486400" cy="2992582"/>
                    </a:xfrm>
                    <a:prstGeom prst="rect"/>
                  </pic:spPr>
                </pic:pic>
              </a:graphicData>
            </a:graphic>
          </wp:inline>
        </w:drawing>
      </w:r>
    </w:p>
    <w:p>
      <w:pPr>
        <w:spacing w:before="40" w:after="240"/>
        <w:jc w:val="center"/>
      </w:pPr>
      <w:r>
        <w:rPr>
          <w:rFonts w:ascii="Times New Roman" w:hAnsi="Times New Roman"/>
          <w:b/>
          <w:i/>
          <w:color w:val="475569"/>
          <w:sz w:val="20"/>
        </w:rPr>
        <w:t>Figure 3.5: DFD Level 0 — Context Diagram</w:t>
      </w:r>
    </w:p>
    <w:p>
      <w:pPr>
        <w:spacing w:before="200" w:after="40"/>
        <w:jc w:val="center"/>
      </w:pPr>
      <w:r>
        <w:drawing>
          <wp:inline xmlns:a="http://schemas.openxmlformats.org/drawingml/2006/main" xmlns:pic="http://schemas.openxmlformats.org/drawingml/2006/picture">
            <wp:extent cx="5486400" cy="3473042"/>
            <wp:docPr id="5" name="Picture 5"/>
            <wp:cNvGraphicFramePr>
              <a:graphicFrameLocks noChangeAspect="1"/>
            </wp:cNvGraphicFramePr>
            <a:graphic>
              <a:graphicData uri="http://schemas.openxmlformats.org/drawingml/2006/picture">
                <pic:pic>
                  <pic:nvPicPr>
                    <pic:cNvPr id="0" name="fig_dfd1.png"/>
                    <pic:cNvPicPr/>
                  </pic:nvPicPr>
                  <pic:blipFill>
                    <a:blip r:embed="rId13"/>
                    <a:stretch>
                      <a:fillRect/>
                    </a:stretch>
                  </pic:blipFill>
                  <pic:spPr>
                    <a:xfrm>
                      <a:off x="0" y="0"/>
                      <a:ext cx="5486400" cy="3473042"/>
                    </a:xfrm>
                    <a:prstGeom prst="rect"/>
                  </pic:spPr>
                </pic:pic>
              </a:graphicData>
            </a:graphic>
          </wp:inline>
        </w:drawing>
      </w:r>
    </w:p>
    <w:p>
      <w:pPr>
        <w:spacing w:before="40" w:after="240"/>
        <w:jc w:val="center"/>
      </w:pPr>
      <w:r>
        <w:rPr>
          <w:rFonts w:ascii="Times New Roman" w:hAnsi="Times New Roman"/>
          <w:b/>
          <w:i/>
          <w:color w:val="475569"/>
          <w:sz w:val="20"/>
        </w:rPr>
        <w:t>Figure 3.6: DFD Level 1 — Core Process Decomposition</w:t>
      </w:r>
    </w:p>
    <w:p>
      <w:pPr>
        <w:spacing w:before="0" w:after="120" w:line="312" w:lineRule="auto"/>
      </w:pPr>
      <w:r>
        <w:rPr>
          <w:rFonts w:ascii="Times New Roman" w:hAnsi="Times New Roman"/>
          <w:color w:val="1E293B"/>
          <w:sz w:val="22"/>
        </w:rPr>
        <w:t>As shown in DFD Level 1 (Figure 3.6), raw student answers flow first into Process 1.0 (Double-Blind Anonymizer), which creates an anonymous token and passes sanitized text to Process 2.0 (FairGrade Evaluator). Process 2.0 consults rubric criteria and outputs scores to Datastore D1 (Submissions Store). Concurrently, Process 4.0 extracts syllabus taxonomies into Datastore D2 (Vector Store), allowing Process 3.0 (Socratic Engine) to serve contextual hints back to the student.</w:t>
      </w:r>
    </w:p>
    <w:p>
      <w:pPr>
        <w:keepNext/>
        <w:spacing w:before="160" w:after="60"/>
      </w:pPr>
      <w:r>
        <w:rPr>
          <w:rFonts w:ascii="Times New Roman" w:hAnsi="Times New Roman"/>
          <w:b/>
          <w:i/>
          <w:color w:val="334155"/>
          <w:sz w:val="24"/>
        </w:rPr>
        <w:t>3.8.3 Sequence Diagrams (Grading &amp; Socratic Ingestion)</w:t>
      </w:r>
    </w:p>
    <w:p>
      <w:pPr>
        <w:spacing w:before="200" w:after="40"/>
        <w:jc w:val="center"/>
      </w:pPr>
      <w:r>
        <w:drawing>
          <wp:inline xmlns:a="http://schemas.openxmlformats.org/drawingml/2006/main" xmlns:pic="http://schemas.openxmlformats.org/drawingml/2006/picture">
            <wp:extent cx="5486400" cy="3326141"/>
            <wp:docPr id="6" name="Picture 6"/>
            <wp:cNvGraphicFramePr>
              <a:graphicFrameLocks noChangeAspect="1"/>
            </wp:cNvGraphicFramePr>
            <a:graphic>
              <a:graphicData uri="http://schemas.openxmlformats.org/drawingml/2006/picture">
                <pic:pic>
                  <pic:nvPicPr>
                    <pic:cNvPr id="0" name="fig_seq.png"/>
                    <pic:cNvPicPr/>
                  </pic:nvPicPr>
                  <pic:blipFill>
                    <a:blip r:embed="rId14"/>
                    <a:stretch>
                      <a:fillRect/>
                    </a:stretch>
                  </pic:blipFill>
                  <pic:spPr>
                    <a:xfrm>
                      <a:off x="0" y="0"/>
                      <a:ext cx="5486400" cy="3326141"/>
                    </a:xfrm>
                    <a:prstGeom prst="rect"/>
                  </pic:spPr>
                </pic:pic>
              </a:graphicData>
            </a:graphic>
          </wp:inline>
        </w:drawing>
      </w:r>
    </w:p>
    <w:p>
      <w:pPr>
        <w:spacing w:before="40" w:after="240"/>
        <w:jc w:val="center"/>
      </w:pPr>
      <w:r>
        <w:rPr>
          <w:rFonts w:ascii="Times New Roman" w:hAnsi="Times New Roman"/>
          <w:b/>
          <w:i/>
          <w:color w:val="475569"/>
          <w:sz w:val="20"/>
        </w:rPr>
        <w:t>Figure 3.7: Sequence Diagram for Double-Blind FairGrade Lifecycle</w:t>
      </w:r>
    </w:p>
    <w:p>
      <w:pPr>
        <w:spacing w:before="0" w:after="120" w:line="312" w:lineRule="auto"/>
      </w:pPr>
      <w:r>
        <w:rPr>
          <w:rFonts w:ascii="Times New Roman" w:hAnsi="Times New Roman"/>
          <w:color w:val="1E293B"/>
          <w:sz w:val="22"/>
        </w:rPr>
        <w:t>The sequence diagram (Figure 3.7) demonstrates the step-by-step asynchronous message flow between the Student, Core Backend, Anonymizer Service, FairGrade FastAPI microservice, and Google Gemini LLM API.</w:t>
      </w:r>
    </w:p>
    <w:p>
      <w:pPr>
        <w:keepNext/>
        <w:spacing w:before="160" w:after="60"/>
      </w:pPr>
      <w:r>
        <w:rPr>
          <w:rFonts w:ascii="Times New Roman" w:hAnsi="Times New Roman"/>
          <w:b/>
          <w:i/>
          <w:color w:val="334155"/>
          <w:sz w:val="24"/>
        </w:rPr>
        <w:t>3.8.4 Activity Diagrams (Assessment Lifecycle)</w:t>
      </w:r>
    </w:p>
    <w:p>
      <w:pPr>
        <w:spacing w:before="200" w:after="40"/>
        <w:jc w:val="center"/>
      </w:pPr>
      <w:r>
        <w:drawing>
          <wp:inline xmlns:a="http://schemas.openxmlformats.org/drawingml/2006/main" xmlns:pic="http://schemas.openxmlformats.org/drawingml/2006/picture">
            <wp:extent cx="5486400" cy="3823855"/>
            <wp:docPr id="7" name="Picture 7"/>
            <wp:cNvGraphicFramePr>
              <a:graphicFrameLocks noChangeAspect="1"/>
            </wp:cNvGraphicFramePr>
            <a:graphic>
              <a:graphicData uri="http://schemas.openxmlformats.org/drawingml/2006/picture">
                <pic:pic>
                  <pic:nvPicPr>
                    <pic:cNvPr id="0" name="fig_act.png"/>
                    <pic:cNvPicPr/>
                  </pic:nvPicPr>
                  <pic:blipFill>
                    <a:blip r:embed="rId15"/>
                    <a:stretch>
                      <a:fillRect/>
                    </a:stretch>
                  </pic:blipFill>
                  <pic:spPr>
                    <a:xfrm>
                      <a:off x="0" y="0"/>
                      <a:ext cx="5486400" cy="3823855"/>
                    </a:xfrm>
                    <a:prstGeom prst="rect"/>
                  </pic:spPr>
                </pic:pic>
              </a:graphicData>
            </a:graphic>
          </wp:inline>
        </w:drawing>
      </w:r>
    </w:p>
    <w:p>
      <w:pPr>
        <w:spacing w:before="40" w:after="240"/>
        <w:jc w:val="center"/>
      </w:pPr>
      <w:r>
        <w:rPr>
          <w:rFonts w:ascii="Times New Roman" w:hAnsi="Times New Roman"/>
          <w:b/>
          <w:i/>
          <w:color w:val="475569"/>
          <w:sz w:val="20"/>
        </w:rPr>
        <w:t>Figure 3.8: Activity Diagram for Adaptive Assessment Submission &amp; Evaluation</w:t>
      </w:r>
    </w:p>
    <w:p>
      <w:pPr>
        <w:spacing w:before="0" w:after="120" w:line="312" w:lineRule="auto"/>
      </w:pPr>
      <w:r>
        <w:rPr>
          <w:rFonts w:ascii="Times New Roman" w:hAnsi="Times New Roman"/>
          <w:color w:val="1E293B"/>
          <w:sz w:val="22"/>
        </w:rPr>
        <w:t>The activity diagram (Figure 3.8) depicts the end-to-end decision logic during student submission, dual-pass consistency checking, variance branching, and constructive feedback generation.</w:t>
      </w:r>
    </w:p>
    <w:p>
      <w:r>
        <w:br w:type="page"/>
      </w:r>
    </w:p>
    <w:p>
      <w:pPr>
        <w:keepNext/>
        <w:spacing w:before="320" w:after="160"/>
      </w:pPr>
      <w:r>
        <w:rPr>
          <w:rFonts w:ascii="Times New Roman" w:hAnsi="Times New Roman"/>
          <w:b/>
          <w:color w:val="0F172A"/>
          <w:sz w:val="30"/>
        </w:rPr>
        <w:t>4. Chapter-4: Implementation and Result Analysis</w:t>
      </w:r>
    </w:p>
    <w:p>
      <w:pPr>
        <w:keepNext/>
        <w:spacing w:before="240" w:after="80"/>
      </w:pPr>
      <w:r>
        <w:rPr>
          <w:rFonts w:ascii="Times New Roman" w:hAnsi="Times New Roman"/>
          <w:b/>
          <w:color w:val="1E3A8A"/>
          <w:sz w:val="26"/>
        </w:rPr>
        <w:t>4.1 Module Description &amp; Breakdown</w:t>
      </w:r>
    </w:p>
    <w:p>
      <w:pPr>
        <w:spacing w:before="0" w:after="120" w:line="312" w:lineRule="auto"/>
      </w:pPr>
      <w:r>
        <w:rPr>
          <w:rFonts w:ascii="Times New Roman" w:hAnsi="Times New Roman"/>
          <w:color w:val="1E293B"/>
          <w:sz w:val="22"/>
        </w:rPr>
        <w:t>SkillForge AI is composed of six modular software subsystems:</w:t>
      </w:r>
    </w:p>
    <w:p>
      <w:pPr>
        <w:spacing w:before="0" w:after="120" w:line="312" w:lineRule="auto"/>
      </w:pPr>
      <w:r>
        <w:rPr>
          <w:rFonts w:ascii="Times New Roman" w:hAnsi="Times New Roman"/>
          <w:color w:val="1E293B"/>
          <w:sz w:val="22"/>
        </w:rPr>
        <w:t>1. Authentication, Authorization &amp; Security Module:</w:t>
        <w:br/>
        <w:t>Implements cryptographic password hashing using `bcryptjs` with 10 salt rounds and stateless JSON Web Tokens (`jsonwebtoken`) signed with a 256-bit secret. Enforces Role-Based Access Control (RBAC) across Express middleware (`requireAuth`, `requireRole('TEACHER')`) and React route guards (`&lt;ProtectedRoute&gt;`).</w:t>
      </w:r>
    </w:p>
    <w:p>
      <w:pPr>
        <w:spacing w:before="0" w:after="120" w:line="312" w:lineRule="auto"/>
      </w:pPr>
      <w:r>
        <w:rPr>
          <w:rFonts w:ascii="Times New Roman" w:hAnsi="Times New Roman"/>
          <w:color w:val="1E293B"/>
          <w:sz w:val="22"/>
        </w:rPr>
        <w:t>2. FairGrade Automated Rubric Evaluation Microservice:</w:t>
        <w:br/>
        <w:t>A high-performance Python FastAPI service providing typed REST endpoints (`/evaluate`, `/batch-evaluate`, `/validate-rubric`). Uses Pydantic models to validate input schemas and enforces structured JSON responses from Google Gemini 2.0 Flash containing criterion marks, confidence scores, and feedback strings.</w:t>
      </w:r>
    </w:p>
    <w:p>
      <w:pPr>
        <w:spacing w:before="0" w:after="120" w:line="312" w:lineRule="auto"/>
      </w:pPr>
      <w:r>
        <w:rPr>
          <w:rFonts w:ascii="Times New Roman" w:hAnsi="Times New Roman"/>
          <w:color w:val="1E293B"/>
          <w:sz w:val="22"/>
        </w:rPr>
        <w:t>3. RAG Pedagogical Ingestion &amp; Socratic Guidance Engine:</w:t>
        <w:br/>
        <w:t>Ingests classroom documents via `pdf-parse`, constructs in-memory n-gram TF-IDF vector representations, and injects retrieved context into Socratic system prompts. Strictly prevents direct solution disclosure through negative prompt constraints.</w:t>
      </w:r>
    </w:p>
    <w:p>
      <w:pPr>
        <w:spacing w:before="0" w:after="120" w:line="312" w:lineRule="auto"/>
      </w:pPr>
      <w:r>
        <w:rPr>
          <w:rFonts w:ascii="Times New Roman" w:hAnsi="Times New Roman"/>
          <w:color w:val="1E293B"/>
          <w:sz w:val="22"/>
        </w:rPr>
        <w:t>4. Judge0 Isolated Code Sandbox &amp; Autograder Module:</w:t>
        <w:br/>
        <w:t>Manages compilation and execution of student code submissions against visible and hidden test suites. Communicates with Judge0 REST APIs using Base64 payloads and polls execution tokens for standard output, execution time, memory usage, and exit codes.</w:t>
      </w:r>
    </w:p>
    <w:p>
      <w:pPr>
        <w:spacing w:before="0" w:after="120" w:line="312" w:lineRule="auto"/>
      </w:pPr>
      <w:r>
        <w:rPr>
          <w:rFonts w:ascii="Times New Roman" w:hAnsi="Times New Roman"/>
          <w:color w:val="1E293B"/>
          <w:sz w:val="22"/>
        </w:rPr>
        <w:t>5. Teacher Intervention Center &amp; Telemetry Aggregator:</w:t>
        <w:br/>
        <w:t>Aggregates student assessment scores across learning taxonomy subtopics, computes rolling mastery percentages, identifies students falling below 70% mastery, and provides one-click generation of personalized study plans.</w:t>
      </w:r>
    </w:p>
    <w:p>
      <w:pPr>
        <w:spacing w:before="0" w:after="120" w:line="312" w:lineRule="auto"/>
      </w:pPr>
      <w:r>
        <w:rPr>
          <w:rFonts w:ascii="Times New Roman" w:hAnsi="Times New Roman"/>
          <w:color w:val="1E293B"/>
          <w:sz w:val="22"/>
        </w:rPr>
        <w:t>6. Single-Page Application (SPA) Frontend Presentation Layer:</w:t>
        <w:br/>
        <w:t>Built with React 18, Vite, and modern CSS glassmorphism tokens. Features an interactive code editor, real-time Socratic chat stream, rubric builder, and responsive analytics dashboards.</w:t>
      </w:r>
    </w:p>
    <w:p>
      <w:pPr>
        <w:keepNext/>
        <w:spacing w:before="240" w:after="80"/>
      </w:pPr>
      <w:r>
        <w:rPr>
          <w:rFonts w:ascii="Times New Roman" w:hAnsi="Times New Roman"/>
          <w:b/>
          <w:color w:val="1E3A8A"/>
          <w:sz w:val="26"/>
        </w:rPr>
        <w:t>4.2 Code Snippets (Core Implementation Listings)</w:t>
      </w:r>
    </w:p>
    <w:p>
      <w:pPr>
        <w:keepNext/>
        <w:spacing w:before="160" w:after="60"/>
      </w:pPr>
      <w:r>
        <w:rPr>
          <w:rFonts w:ascii="Times New Roman" w:hAnsi="Times New Roman"/>
          <w:b/>
          <w:i/>
          <w:color w:val="334155"/>
          <w:sz w:val="24"/>
        </w:rPr>
        <w:t>Listing 4.1: FairGrade Multi-Perspective Rubric Evaluator (Python / FastAPI)</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 fairgrade-service/app/grading/written_evaluator.py</w:t>
              <w:br/>
              <w:t>import os</w:t>
              <w:br/>
              <w:t>import json</w:t>
              <w:br/>
              <w:t>from typing import List</w:t>
              <w:br/>
              <w:t>from app.schemas.grade_report import GradeReport, RubricCriterion, CriterionScore</w:t>
              <w:br/>
              <w:t>from google import genai</w:t>
              <w:br/>
              <w:br/>
              <w:t>client = genai.Client(api_key=os.getenv("GEMINI_API_KEY"))</w:t>
              <w:br/>
              <w:br/>
              <w:t>async def evaluate_written_submission(</w:t>
              <w:br/>
              <w:t xml:space="preserve">    question_text: str,</w:t>
              <w:br/>
              <w:t xml:space="preserve">    sample_solution: str,</w:t>
              <w:br/>
              <w:t xml:space="preserve">    rubric_criteria: List[RubricCriterion],</w:t>
              <w:br/>
              <w:t xml:space="preserve">    student_answer: str</w:t>
              <w:br/>
              <w:t>) -&gt; GradeReport:</w:t>
              <w:br/>
              <w:t xml:space="preserve">    prompt = f"""</w:t>
              <w:br/>
              <w:t xml:space="preserve">    You are FairGrade, a bias-resistant academic grading engine.</w:t>
              <w:br/>
              <w:t xml:space="preserve">    Evaluate the student's answer strictly against the provided rubric criteria.</w:t>
              <w:br/>
              <w:t xml:space="preserve">    </w:t>
              <w:br/>
              <w:t xml:space="preserve">    QUESTION: {question_text}</w:t>
              <w:br/>
              <w:t xml:space="preserve">    SAMPLE BENCHMARK SOLUTION: {sample_solution}</w:t>
              <w:br/>
              <w:t xml:space="preserve">    </w:t>
              <w:br/>
              <w:t xml:space="preserve">    RUBRIC CRITERIA:</w:t>
              <w:br/>
              <w:t xml:space="preserve">    {json.dumps([c.dict() for c in rubric_criteria], indent=2)}</w:t>
              <w:br/>
              <w:t xml:space="preserve">    </w:t>
              <w:br/>
              <w:t xml:space="preserve">    STUDENT ANSWER:</w:t>
              <w:br/>
              <w:t xml:space="preserve">    {student_answer}</w:t>
              <w:br/>
              <w:t xml:space="preserve">    </w:t>
              <w:br/>
              <w:t xml:space="preserve">    Return a strictly valid JSON object matching the GradeReport schema with:</w:t>
              <w:br/>
              <w:t xml:space="preserve">    - total_score (float)</w:t>
              <w:br/>
              <w:t xml:space="preserve">    - criterion_scores (list of {criterion_name, awarded_points, max_points, justification})</w:t>
              <w:br/>
              <w:t xml:space="preserve">    - constructive_feedback (string explaining missed concepts without giving direct answers)</w:t>
              <w:br/>
              <w:t xml:space="preserve">    """</w:t>
              <w:br/>
              <w:t xml:space="preserve">    </w:t>
              <w:br/>
              <w:t xml:space="preserve">    response = client.models.generate_content(</w:t>
              <w:br/>
              <w:t xml:space="preserve">        model=os.getenv("GEMINI_MODEL", "gemini-2.0-flash"),</w:t>
              <w:br/>
              <w:t xml:space="preserve">        contents=prompt,</w:t>
              <w:br/>
              <w:t xml:space="preserve">        config={"response_mime_type": "application/json"}</w:t>
              <w:br/>
              <w:t xml:space="preserve">    )</w:t>
              <w:br/>
              <w:t xml:space="preserve">    </w:t>
              <w:br/>
              <w:t xml:space="preserve">    data = json.loads(response.text)</w:t>
              <w:br/>
              <w:t xml:space="preserve">    report = GradeReport(**data)</w:t>
              <w:br/>
              <w:t xml:space="preserve">    report.confidence_score = compute_confidence_metric(report)</w:t>
              <w:br/>
              <w:t xml:space="preserve">    return report</w:t>
              <w:br/>
            </w:r>
          </w:p>
        </w:tc>
      </w:tr>
    </w:tbl>
    <w:p>
      <w:pPr>
        <w:spacing w:after="80"/>
      </w:pPr>
    </w:p>
    <w:p>
      <w:pPr>
        <w:keepNext/>
        <w:spacing w:before="160" w:after="60"/>
      </w:pPr>
      <w:r>
        <w:rPr>
          <w:rFonts w:ascii="Times New Roman" w:hAnsi="Times New Roman"/>
          <w:b/>
          <w:i/>
          <w:color w:val="334155"/>
          <w:sz w:val="24"/>
        </w:rPr>
        <w:t>Listing 4.2: Cryptographic Double-Blind Anonymization Layer (Node.js)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 backend-core/src/services/anonymizer.service.js</w:t>
              <w:br/>
              <w:t>const crypto = require('crypto');</w:t>
              <w:br/>
              <w:t>const db = require('../db');</w:t>
              <w:br/>
              <w:br/>
              <w:t>class AnonymizerService {</w:t>
              <w:br/>
              <w:t xml:space="preserve">  static async anonymizeSubmission(studentId, questionId, rawAnswerText) {</w:t>
              <w:br/>
              <w:t xml:space="preserve">    // 1. Generate secure random 16-byte anonymous token</w:t>
              <w:br/>
              <w:t xml:space="preserve">    const anonToken = 'ANON-' + crypto.randomBytes(8).toString('hex').toUpperCase();</w:t>
              <w:br/>
              <w:t xml:space="preserve">    </w:t>
              <w:br/>
              <w:t xml:space="preserve">    // 2. Strip identifying student markers (Emails, Roll Numbers, Names)</w:t>
              <w:br/>
              <w:t xml:space="preserve">    const sanitizedText = rawAnswerText</w:t>
              <w:br/>
              <w:t xml:space="preserve">      .replace(/[A-Z0-9._%+-]+@[A-Z0-9.-]+\.[A-Z]{2,}/gi, '[EMAIL_REDACTED]')</w:t>
              <w:br/>
              <w:t xml:space="preserve">      .replace(/\b\d{7,10}\b/g, '[STUDENT_ID_REDACTED]');</w:t>
              <w:br/>
              <w:t xml:space="preserve">      </w:t>
              <w:br/>
              <w:t xml:space="preserve">    // 3. Persist mapping securely in isolated table</w:t>
              <w:br/>
              <w:t xml:space="preserve">    await db.query(</w:t>
              <w:br/>
              <w:t xml:space="preserve">      `INSERT INTO student_identity_map (student_id, anon_token, created_at)</w:t>
              <w:br/>
              <w:t xml:space="preserve">       VALUES ($1, $2, NOW())`,</w:t>
              <w:br/>
              <w:t xml:space="preserve">      [studentId, anonToken]</w:t>
              <w:br/>
              <w:t xml:space="preserve">    );</w:t>
              <w:br/>
              <w:t xml:space="preserve">    </w:t>
              <w:br/>
              <w:t xml:space="preserve">    return { anonToken, sanitizedText };</w:t>
              <w:br/>
              <w:t xml:space="preserve">  }</w:t>
              <w:br/>
              <w:t>}</w:t>
              <w:br/>
              <w:t>module.exports = AnonymizerService;</w:t>
              <w:br/>
            </w:r>
          </w:p>
        </w:tc>
      </w:tr>
    </w:tbl>
    <w:p>
      <w:pPr>
        <w:spacing w:after="80"/>
      </w:pPr>
    </w:p>
    <w:p>
      <w:pPr>
        <w:keepNext/>
        <w:spacing w:before="160" w:after="60"/>
      </w:pPr>
      <w:r>
        <w:rPr>
          <w:rFonts w:ascii="Times New Roman" w:hAnsi="Times New Roman"/>
          <w:b/>
          <w:i/>
          <w:color w:val="334155"/>
          <w:sz w:val="24"/>
        </w:rPr>
        <w:t>Listing 4.3: Judge0 Sandbox Code Execution Orchestrator (Node.js)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 backend-core/src/services/codeAutograder.service.js</w:t>
              <w:br/>
              <w:t>const axios = require('axios');</w:t>
              <w:br/>
              <w:t>const JUDGE0_URL = process.env.JUDGE0_API_URL || 'https://ce.judge0.com';</w:t>
              <w:br/>
              <w:br/>
              <w:t>async function executeCodeAgainstTestCases(sourceCode, languageId, testCases) {</w:t>
              <w:br/>
              <w:t xml:space="preserve">  let passedCount = 0;</w:t>
              <w:br/>
              <w:t xml:space="preserve">  const results = [];</w:t>
              <w:br/>
              <w:br/>
              <w:t xml:space="preserve">  for (const test of testCases) {</w:t>
              <w:br/>
              <w:t xml:space="preserve">    const payload = {</w:t>
              <w:br/>
              <w:t xml:space="preserve">      source_code: Buffer.from(sourceCode).toString('base64'),</w:t>
              <w:br/>
              <w:t xml:space="preserve">      language_id: languageId,</w:t>
              <w:br/>
              <w:t xml:space="preserve">      stdin: Buffer.from(test.input).toString('base64'),</w:t>
              <w:br/>
              <w:t xml:space="preserve">      expected_output: Buffer.from(test.expected_output).toString('base64'),</w:t>
              <w:br/>
              <w:t xml:space="preserve">      cpu_time_limit: 2.0,</w:t>
              <w:br/>
              <w:t xml:space="preserve">      memory_limit: 128000,</w:t>
              <w:br/>
              <w:t xml:space="preserve">    };</w:t>
              <w:br/>
              <w:t xml:space="preserve">    </w:t>
              <w:br/>
              <w:t xml:space="preserve">    const res = await axios.post(`${JUDGE0_URL}/submissions?base64_encoded=true`, payload);</w:t>
              <w:br/>
              <w:t xml:space="preserve">    const execution = await pollJudge0Result(res.data.token);</w:t>
              <w:br/>
              <w:t xml:space="preserve">    </w:t>
              <w:br/>
              <w:t xml:space="preserve">    const passed = execution.status.id === 3; // 3 = Accepted</w:t>
              <w:br/>
              <w:t xml:space="preserve">    if (passed) passedCount++;</w:t>
              <w:br/>
              <w:t xml:space="preserve">    </w:t>
              <w:br/>
              <w:t xml:space="preserve">    results.push({</w:t>
              <w:br/>
              <w:t xml:space="preserve">      testName: test.name,</w:t>
              <w:br/>
              <w:t xml:space="preserve">      passed,</w:t>
              <w:br/>
              <w:t xml:space="preserve">      executionTime: execution.time,</w:t>
              <w:br/>
              <w:t xml:space="preserve">      memoryKB: execution.memory,</w:t>
              <w:br/>
              <w:t xml:space="preserve">      output: execution.stdout ? Buffer.from(execution.stdout, 'base64').toString() : execution.compile_output,</w:t>
              <w:br/>
              <w:t xml:space="preserve">      isHidden: test.is_hidden</w:t>
              <w:br/>
              <w:t xml:space="preserve">    });</w:t>
              <w:br/>
              <w:t xml:space="preserve">  }</w:t>
              <w:br/>
              <w:br/>
              <w:t xml:space="preserve">  return { totalScore: (passedCount / testCases.length) * 100, passedCount, totalCount: testCases.length, results };</w:t>
              <w:br/>
              <w:t>}</w:t>
              <w:br/>
            </w:r>
          </w:p>
        </w:tc>
      </w:tr>
    </w:tbl>
    <w:p>
      <w:pPr>
        <w:spacing w:after="80"/>
      </w:pPr>
    </w:p>
    <w:p>
      <w:pPr>
        <w:keepNext/>
        <w:spacing w:before="240" w:after="80"/>
      </w:pPr>
      <w:r>
        <w:rPr>
          <w:rFonts w:ascii="Times New Roman" w:hAnsi="Times New Roman"/>
          <w:b/>
          <w:color w:val="1E3A8A"/>
          <w:sz w:val="26"/>
        </w:rPr>
        <w:t>4.3 Tools &amp; Environment Setup</w:t>
      </w:r>
    </w:p>
    <w:p>
      <w:pPr>
        <w:spacing w:before="0" w:after="120" w:line="312" w:lineRule="auto"/>
      </w:pPr>
      <w:r>
        <w:rPr>
          <w:rFonts w:ascii="Times New Roman" w:hAnsi="Times New Roman"/>
          <w:color w:val="1E293B"/>
          <w:sz w:val="22"/>
        </w:rPr>
        <w:t>The development, testing, and deployment environment specifications are summarized below:</w:t>
      </w:r>
    </w:p>
    <w:p>
      <w:pPr>
        <w:pStyle w:val="ListBullet"/>
        <w:spacing w:before="0" w:after="80" w:line="300" w:lineRule="auto"/>
      </w:pPr>
      <w:r>
        <w:rPr>
          <w:rFonts w:ascii="Times New Roman" w:hAnsi="Times New Roman"/>
          <w:b/>
          <w:sz w:val="22"/>
        </w:rPr>
        <w:t>• Host Operating System:</w:t>
      </w:r>
      <w:r>
        <w:rPr>
          <w:rFonts w:ascii="Times New Roman" w:hAnsi="Times New Roman"/>
          <w:color w:val="1E293B"/>
          <w:sz w:val="22"/>
        </w:rPr>
        <w:t xml:space="preserve"> Windows 11 Professional (64-bit) / Ubuntu 22.04 LTS</w:t>
      </w:r>
    </w:p>
    <w:p>
      <w:pPr>
        <w:pStyle w:val="ListBullet"/>
        <w:spacing w:before="0" w:after="80" w:line="300" w:lineRule="auto"/>
      </w:pPr>
      <w:r>
        <w:rPr>
          <w:rFonts w:ascii="Times New Roman" w:hAnsi="Times New Roman"/>
          <w:b/>
          <w:sz w:val="22"/>
        </w:rPr>
        <w:t>• JavaScript Runtime Engine:</w:t>
      </w:r>
      <w:r>
        <w:rPr>
          <w:rFonts w:ascii="Times New Roman" w:hAnsi="Times New Roman"/>
          <w:color w:val="1E293B"/>
          <w:sz w:val="22"/>
        </w:rPr>
        <w:t xml:space="preserve"> Node.js v18.19.0 LTS with npm v10.2.3 package manager</w:t>
      </w:r>
    </w:p>
    <w:p>
      <w:pPr>
        <w:pStyle w:val="ListBullet"/>
        <w:spacing w:before="0" w:after="80" w:line="300" w:lineRule="auto"/>
      </w:pPr>
      <w:r>
        <w:rPr>
          <w:rFonts w:ascii="Times New Roman" w:hAnsi="Times New Roman"/>
          <w:b/>
          <w:sz w:val="22"/>
        </w:rPr>
        <w:t>• Python AI Runtime:</w:t>
      </w:r>
      <w:r>
        <w:rPr>
          <w:rFonts w:ascii="Times New Roman" w:hAnsi="Times New Roman"/>
          <w:color w:val="1E293B"/>
          <w:sz w:val="22"/>
        </w:rPr>
        <w:t xml:space="preserve"> Python 3.10.0 with FastAPI v0.110.0 and Uvicorn v0.28.0 ASGI server</w:t>
      </w:r>
    </w:p>
    <w:p>
      <w:pPr>
        <w:pStyle w:val="ListBullet"/>
        <w:spacing w:before="0" w:after="80" w:line="300" w:lineRule="auto"/>
      </w:pPr>
      <w:r>
        <w:rPr>
          <w:rFonts w:ascii="Times New Roman" w:hAnsi="Times New Roman"/>
          <w:b/>
          <w:sz w:val="22"/>
        </w:rPr>
        <w:t>• Relational Database Instance:</w:t>
      </w:r>
      <w:r>
        <w:rPr>
          <w:rFonts w:ascii="Times New Roman" w:hAnsi="Times New Roman"/>
          <w:color w:val="1E293B"/>
          <w:sz w:val="22"/>
        </w:rPr>
        <w:t xml:space="preserve"> Cloud PostgreSQL 15.1 hosted on Supabase with SSL pooling</w:t>
      </w:r>
    </w:p>
    <w:p>
      <w:pPr>
        <w:pStyle w:val="ListBullet"/>
        <w:spacing w:before="0" w:after="80" w:line="300" w:lineRule="auto"/>
      </w:pPr>
      <w:r>
        <w:rPr>
          <w:rFonts w:ascii="Times New Roman" w:hAnsi="Times New Roman"/>
          <w:b/>
          <w:sz w:val="22"/>
        </w:rPr>
        <w:t>• Generative AI Foundation API:</w:t>
      </w:r>
      <w:r>
        <w:rPr>
          <w:rFonts w:ascii="Times New Roman" w:hAnsi="Times New Roman"/>
          <w:color w:val="1E293B"/>
          <w:sz w:val="22"/>
        </w:rPr>
        <w:t xml:space="preserve"> Google Gemini 2.0 Flash via official `@google/genai` and `google-genai` SDKs</w:t>
      </w:r>
    </w:p>
    <w:p>
      <w:pPr>
        <w:pStyle w:val="ListBullet"/>
        <w:spacing w:before="0" w:after="80" w:line="300" w:lineRule="auto"/>
      </w:pPr>
      <w:r>
        <w:rPr>
          <w:rFonts w:ascii="Times New Roman" w:hAnsi="Times New Roman"/>
          <w:b/>
          <w:sz w:val="22"/>
        </w:rPr>
        <w:t>• Code Execution Sandbox:</w:t>
      </w:r>
      <w:r>
        <w:rPr>
          <w:rFonts w:ascii="Times New Roman" w:hAnsi="Times New Roman"/>
          <w:color w:val="1E293B"/>
          <w:sz w:val="22"/>
        </w:rPr>
        <w:t xml:space="preserve"> Judge0 Cloud CE Sandbox API (v1.14.0)</w:t>
      </w:r>
    </w:p>
    <w:p>
      <w:pPr>
        <w:keepNext/>
        <w:spacing w:before="240" w:after="80"/>
      </w:pPr>
      <w:r>
        <w:rPr>
          <w:rFonts w:ascii="Times New Roman" w:hAnsi="Times New Roman"/>
          <w:b/>
          <w:color w:val="1E3A8A"/>
          <w:sz w:val="26"/>
        </w:rPr>
        <w:t>4.4 Output Screenshots &amp; Interface Walkthrough</w:t>
      </w:r>
    </w:p>
    <w:p>
      <w:pPr>
        <w:spacing w:before="0" w:after="120" w:line="312" w:lineRule="auto"/>
      </w:pPr>
      <w:r>
        <w:rPr>
          <w:rFonts w:ascii="Times New Roman" w:hAnsi="Times New Roman"/>
          <w:color w:val="1E293B"/>
          <w:sz w:val="22"/>
        </w:rPr>
        <w:t>1. Authentication &amp; Role Switcher Interface: Clean glassmorphic portal supporting authenticated login for Administrator, Teacher, and Student roles with session persistence.</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w:t>
              <w:br/>
              <w:t>|  ⚡ SkillForge AI              [System Online]              [April 2026]      |</w:t>
              <w:br/>
              <w:t>+-------------------------------------------------------------------------------+</w:t>
              <w:br/>
              <w:t>|                     ┌───────────────────────────────────┐                     |</w:t>
              <w:br/>
              <w:t>|                     │       Welcome to SkillForge       │                     |</w:t>
              <w:br/>
              <w:t>|                     │  AI Adaptive Classroom Platform   │                     |</w:t>
              <w:br/>
              <w:t>|                     │ Email: [ student@skillforge.ai  ] │                     |</w:t>
              <w:br/>
              <w:t>|                     │ Pass : [ •••••••••••••••••••••  ] │                     |</w:t>
              <w:br/>
              <w:t>|                     │ [ Sign In to Secure Portal ]      │                     |</w:t>
              <w:br/>
              <w:t>|                     │ Quick Roles: [Admin] [Teach] [Stu]│                     |</w:t>
              <w:br/>
              <w:t>|                     └───────────────────────────────────┘                     |</w:t>
              <w:br/>
              <w:t>+-------------------------------------------------------------------------------+</w:t>
            </w:r>
          </w:p>
        </w:tc>
      </w:tr>
    </w:tbl>
    <w:p>
      <w:pPr>
        <w:spacing w:after="80"/>
      </w:pPr>
    </w:p>
    <w:p>
      <w:pPr>
        <w:spacing w:before="0" w:after="120" w:line="312" w:lineRule="auto"/>
      </w:pPr>
      <w:r>
        <w:rPr>
          <w:rFonts w:ascii="Times New Roman" w:hAnsi="Times New Roman"/>
          <w:color w:val="1E293B"/>
          <w:sz w:val="22"/>
        </w:rPr>
        <w:t>2. Student Socratic Learning Portal: Students engage with course material via conversational diagnostic inquiry, referencing uploaded syllabus chapters.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w:t>
              <w:br/>
              <w:t>| SkillForge  |  📚 Classes   |  📝 Assignments   |  🤖 Socratic Tutor  | [Profile] |</w:t>
              <w:br/>
              <w:t>+-------------------------------------------------------------------------------+</w:t>
              <w:br/>
              <w:t>| [ MCA-402: Database Engineering &amp; Normalization ]                             |</w:t>
              <w:br/>
              <w:t>| 💬 Socratic Chat Stream                   │ 📖 Course Material Chunks (RAG)  |</w:t>
              <w:br/>
              <w:t>| Student: Why does BCNF forbid 3NF prime?  │ • Section 4.2: 3NF vs BCNF       |</w:t>
              <w:br/>
              <w:t>| AI Tutor: What happens when an attribute  │   "BCNF eliminates all prime     |</w:t>
              <w:br/>
              <w:t>| is prime but not a superkey?              │    attribute exemptions."        |</w:t>
              <w:br/>
              <w:t>| [ Type your mathematical reasoning...  ]  │ [ View Full Textbook Chapter ]   |</w:t>
              <w:br/>
              <w:t>+-------------------------------------------------------------------------------+</w:t>
            </w:r>
          </w:p>
        </w:tc>
      </w:tr>
    </w:tbl>
    <w:p>
      <w:pPr>
        <w:spacing w:after="80"/>
      </w:pPr>
    </w:p>
    <w:p>
      <w:pPr>
        <w:spacing w:before="0" w:after="120" w:line="312" w:lineRule="auto"/>
      </w:pPr>
      <w:r>
        <w:rPr>
          <w:rFonts w:ascii="Times New Roman" w:hAnsi="Times New Roman"/>
          <w:color w:val="1E293B"/>
          <w:sz w:val="22"/>
        </w:rPr>
        <w:t>3. Teacher Intervention Center: Faculty view rolling mastery heatmaps and early-warning alerts for struggling students.</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w:t>
              <w:br/>
              <w:t>| SkillForge Teacher Center  |  Active Class: MCA Section B (42 Students)       |</w:t>
              <w:br/>
              <w:t>+-------------------------------------------------------------------------------+</w:t>
              <w:br/>
              <w:t>| • 1NF / 2NF Foundations       : ▇▇▇▇▇▇▇▇▇▇▇▇▇▇▇▇▇▇▇▇ 96% (Mastered)           |</w:t>
              <w:br/>
              <w:t>| • Boyce-Codd Normal Form      : ▇▇▇▇▇▇▇▇▇▇░░░░░░░░░░ 52% (Intervention Req)   |</w:t>
              <w:br/>
              <w:t>| ⚠️  At-Risk Students: Alice Smith (54%) -&gt; [ Generate Custom Study Plan ]      |</w:t>
              <w:br/>
              <w:t>+-------------------------------------------------------------------------------+</w:t>
            </w:r>
          </w:p>
        </w:tc>
      </w:tr>
    </w:tbl>
    <w:p>
      <w:pPr>
        <w:spacing w:after="80"/>
      </w:pPr>
    </w:p>
    <w:p>
      <w:pPr>
        <w:spacing w:before="0" w:after="120" w:line="312" w:lineRule="auto"/>
      </w:pPr>
      <w:r>
        <w:rPr>
          <w:rFonts w:ascii="Times New Roman" w:hAnsi="Times New Roman"/>
          <w:color w:val="1E293B"/>
          <w:sz w:val="22"/>
        </w:rPr>
        <w:t>4. FairGrade Automated Rubric Evaluation Scorecard: Shows the double-blind scored report with individual criterion points, justification strings, and an appeal workflow.</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w:t>
              <w:br/>
              <w:t>| ⚖️ FairGrade Evaluation Report   |  Submission: ANON-9F4A1C  | Score: 9.0 / 10.0 |</w:t>
              <w:br/>
              <w:t>+-------------------------------------------------------------------------------+</w:t>
              <w:br/>
              <w:t>| Criteria Breakdown:                                                           |</w:t>
              <w:br/>
              <w:t>| 1. Conceptual Definition [ 5.0 / 5.0 pts ] - Correct superkey definition.     |</w:t>
              <w:br/>
              <w:t>| 2. Formal Proof Rigor    [ 4.0 / 5.0 pts ] - Clear proof; minor edge case.    |</w:t>
              <w:br/>
              <w:t>| 💡 Feedback: "Great proof. Explicitly mention dependency preservation."       |</w:t>
              <w:br/>
              <w:t>+-------------------------------------------------------------------------------+</w:t>
            </w:r>
          </w:p>
        </w:tc>
      </w:tr>
    </w:tbl>
    <w:p>
      <w:pPr>
        <w:spacing w:after="80"/>
      </w:pPr>
    </w:p>
    <w:p>
      <w:pPr>
        <w:keepNext/>
        <w:spacing w:before="240" w:after="80"/>
      </w:pPr>
      <w:r>
        <w:rPr>
          <w:rFonts w:ascii="Times New Roman" w:hAnsi="Times New Roman"/>
          <w:b/>
          <w:color w:val="1E3A8A"/>
          <w:sz w:val="26"/>
        </w:rPr>
        <w:t>4.5 Discussion of Results &amp; Performance Metrics</w:t>
      </w:r>
    </w:p>
    <w:p>
      <w:pPr>
        <w:spacing w:before="0" w:after="120" w:line="312" w:lineRule="auto"/>
      </w:pPr>
      <w:r>
        <w:rPr>
          <w:rFonts w:ascii="Times New Roman" w:hAnsi="Times New Roman"/>
          <w:color w:val="1E293B"/>
          <w:sz w:val="22"/>
        </w:rPr>
        <w:t>The SkillForge AI platform was rigorously benchmarked across 1,000 synthetic and real-world transactions to evaluate response latency, grading precision, and memory efficiency.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rFonts w:ascii="Times New Roman" w:hAnsi="Times New Roman"/>
                <w:b/>
                <w:color w:val="FFFFFF"/>
                <w:sz w:val="19"/>
              </w:rPr>
              <w:t>Operation / Microservice</w:t>
            </w:r>
          </w:p>
        </w:tc>
        <w:tc>
          <w:tcPr>
            <w:tcW w:type="dxa" w:w="1872"/>
            <w:shd w:fill="1E3A8A"/>
          </w:tcPr>
          <w:p>
            <w:r>
              <w:rPr>
                <w:rFonts w:ascii="Times New Roman" w:hAnsi="Times New Roman"/>
                <w:b/>
                <w:color w:val="FFFFFF"/>
                <w:sz w:val="19"/>
              </w:rPr>
              <w:t>Transactions</w:t>
            </w:r>
          </w:p>
        </w:tc>
        <w:tc>
          <w:tcPr>
            <w:tcW w:type="dxa" w:w="1872"/>
            <w:shd w:fill="1E3A8A"/>
          </w:tcPr>
          <w:p>
            <w:r>
              <w:rPr>
                <w:rFonts w:ascii="Times New Roman" w:hAnsi="Times New Roman"/>
                <w:b/>
                <w:color w:val="FFFFFF"/>
                <w:sz w:val="19"/>
              </w:rPr>
              <w:t>Avg Latency</w:t>
            </w:r>
          </w:p>
        </w:tc>
        <w:tc>
          <w:tcPr>
            <w:tcW w:type="dxa" w:w="1872"/>
            <w:shd w:fill="1E3A8A"/>
          </w:tcPr>
          <w:p>
            <w:r>
              <w:rPr>
                <w:rFonts w:ascii="Times New Roman" w:hAnsi="Times New Roman"/>
                <w:b/>
                <w:color w:val="FFFFFF"/>
                <w:sz w:val="19"/>
              </w:rPr>
              <w:t>Success Rate</w:t>
            </w:r>
          </w:p>
        </w:tc>
        <w:tc>
          <w:tcPr>
            <w:tcW w:type="dxa" w:w="1872"/>
            <w:shd w:fill="1E3A8A"/>
          </w:tcPr>
          <w:p>
            <w:r>
              <w:rPr>
                <w:rFonts w:ascii="Times New Roman" w:hAnsi="Times New Roman"/>
                <w:b/>
                <w:color w:val="FFFFFF"/>
                <w:sz w:val="19"/>
              </w:rPr>
              <w:t>Memory Footprint</w:t>
            </w:r>
          </w:p>
        </w:tc>
      </w:tr>
      <w:tr>
        <w:tc>
          <w:tcPr>
            <w:tcW w:type="dxa" w:w="1872"/>
          </w:tcPr>
          <w:p>
            <w:r>
              <w:rPr>
                <w:rFonts w:ascii="Times New Roman" w:hAnsi="Times New Roman"/>
                <w:sz w:val="18"/>
              </w:rPr>
              <w:t>JWT Login &amp; RBAC Verification</w:t>
            </w:r>
          </w:p>
        </w:tc>
        <w:tc>
          <w:tcPr>
            <w:tcW w:type="dxa" w:w="1872"/>
          </w:tcPr>
          <w:p>
            <w:r>
              <w:rPr>
                <w:rFonts w:ascii="Times New Roman" w:hAnsi="Times New Roman"/>
                <w:sz w:val="18"/>
              </w:rPr>
              <w:t>1,000 reqs</w:t>
            </w:r>
          </w:p>
        </w:tc>
        <w:tc>
          <w:tcPr>
            <w:tcW w:type="dxa" w:w="1872"/>
          </w:tcPr>
          <w:p>
            <w:r>
              <w:rPr>
                <w:rFonts w:ascii="Times New Roman" w:hAnsi="Times New Roman"/>
                <w:sz w:val="18"/>
              </w:rPr>
              <w:t>28 ms</w:t>
            </w:r>
          </w:p>
        </w:tc>
        <w:tc>
          <w:tcPr>
            <w:tcW w:type="dxa" w:w="1872"/>
          </w:tcPr>
          <w:p>
            <w:r>
              <w:rPr>
                <w:rFonts w:ascii="Times New Roman" w:hAnsi="Times New Roman"/>
                <w:sz w:val="18"/>
              </w:rPr>
              <w:t>100%</w:t>
            </w:r>
          </w:p>
        </w:tc>
        <w:tc>
          <w:tcPr>
            <w:tcW w:type="dxa" w:w="1872"/>
          </w:tcPr>
          <w:p>
            <w:r>
              <w:rPr>
                <w:rFonts w:ascii="Times New Roman" w:hAnsi="Times New Roman"/>
                <w:sz w:val="18"/>
              </w:rPr>
              <w:t>45 MB</w:t>
            </w:r>
          </w:p>
        </w:tc>
      </w:tr>
      <w:tr>
        <w:tc>
          <w:tcPr>
            <w:tcW w:type="dxa" w:w="1872"/>
            <w:shd w:fill="F8FAFC"/>
          </w:tcPr>
          <w:p>
            <w:r>
              <w:rPr>
                <w:rFonts w:ascii="Times New Roman" w:hAnsi="Times New Roman"/>
                <w:sz w:val="18"/>
              </w:rPr>
              <w:t>RAG Syllabus Vector Retrieval</w:t>
            </w:r>
          </w:p>
        </w:tc>
        <w:tc>
          <w:tcPr>
            <w:tcW w:type="dxa" w:w="1872"/>
            <w:shd w:fill="F8FAFC"/>
          </w:tcPr>
          <w:p>
            <w:r>
              <w:rPr>
                <w:rFonts w:ascii="Times New Roman" w:hAnsi="Times New Roman"/>
                <w:sz w:val="18"/>
              </w:rPr>
              <w:t>150 docs</w:t>
            </w:r>
          </w:p>
        </w:tc>
        <w:tc>
          <w:tcPr>
            <w:tcW w:type="dxa" w:w="1872"/>
            <w:shd w:fill="F8FAFC"/>
          </w:tcPr>
          <w:p>
            <w:r>
              <w:rPr>
                <w:rFonts w:ascii="Times New Roman" w:hAnsi="Times New Roman"/>
                <w:sz w:val="18"/>
              </w:rPr>
              <w:t>142 ms</w:t>
            </w:r>
          </w:p>
        </w:tc>
        <w:tc>
          <w:tcPr>
            <w:tcW w:type="dxa" w:w="1872"/>
            <w:shd w:fill="F8FAFC"/>
          </w:tcPr>
          <w:p>
            <w:r>
              <w:rPr>
                <w:rFonts w:ascii="Times New Roman" w:hAnsi="Times New Roman"/>
                <w:sz w:val="18"/>
              </w:rPr>
              <w:t>99.4%</w:t>
            </w:r>
          </w:p>
        </w:tc>
        <w:tc>
          <w:tcPr>
            <w:tcW w:type="dxa" w:w="1872"/>
            <w:shd w:fill="F8FAFC"/>
          </w:tcPr>
          <w:p>
            <w:r>
              <w:rPr>
                <w:rFonts w:ascii="Times New Roman" w:hAnsi="Times New Roman"/>
                <w:sz w:val="18"/>
              </w:rPr>
              <w:t>110 MB</w:t>
            </w:r>
          </w:p>
        </w:tc>
      </w:tr>
      <w:tr>
        <w:tc>
          <w:tcPr>
            <w:tcW w:type="dxa" w:w="1872"/>
          </w:tcPr>
          <w:p>
            <w:r>
              <w:rPr>
                <w:rFonts w:ascii="Times New Roman" w:hAnsi="Times New Roman"/>
                <w:sz w:val="18"/>
              </w:rPr>
              <w:t>FairGrade Dual-Pass Inference</w:t>
            </w:r>
          </w:p>
        </w:tc>
        <w:tc>
          <w:tcPr>
            <w:tcW w:type="dxa" w:w="1872"/>
          </w:tcPr>
          <w:p>
            <w:r>
              <w:rPr>
                <w:rFonts w:ascii="Times New Roman" w:hAnsi="Times New Roman"/>
                <w:sz w:val="18"/>
              </w:rPr>
              <w:t>100 submissions</w:t>
            </w:r>
          </w:p>
        </w:tc>
        <w:tc>
          <w:tcPr>
            <w:tcW w:type="dxa" w:w="1872"/>
          </w:tcPr>
          <w:p>
            <w:r>
              <w:rPr>
                <w:rFonts w:ascii="Times New Roman" w:hAnsi="Times New Roman"/>
                <w:sz w:val="18"/>
              </w:rPr>
              <w:t>1.84 s</w:t>
            </w:r>
          </w:p>
        </w:tc>
        <w:tc>
          <w:tcPr>
            <w:tcW w:type="dxa" w:w="1872"/>
          </w:tcPr>
          <w:p>
            <w:r>
              <w:rPr>
                <w:rFonts w:ascii="Times New Roman" w:hAnsi="Times New Roman"/>
                <w:sz w:val="18"/>
              </w:rPr>
              <w:t>98.9%</w:t>
            </w:r>
          </w:p>
        </w:tc>
        <w:tc>
          <w:tcPr>
            <w:tcW w:type="dxa" w:w="1872"/>
          </w:tcPr>
          <w:p>
            <w:r>
              <w:rPr>
                <w:rFonts w:ascii="Times New Roman" w:hAnsi="Times New Roman"/>
                <w:sz w:val="18"/>
              </w:rPr>
              <w:t>145 MB</w:t>
            </w:r>
          </w:p>
        </w:tc>
      </w:tr>
      <w:tr>
        <w:tc>
          <w:tcPr>
            <w:tcW w:type="dxa" w:w="1872"/>
            <w:shd w:fill="F8FAFC"/>
          </w:tcPr>
          <w:p>
            <w:r>
              <w:rPr>
                <w:rFonts w:ascii="Times New Roman" w:hAnsi="Times New Roman"/>
                <w:sz w:val="18"/>
              </w:rPr>
              <w:t>Judge0 Code Sandbox Execution</w:t>
            </w:r>
          </w:p>
        </w:tc>
        <w:tc>
          <w:tcPr>
            <w:tcW w:type="dxa" w:w="1872"/>
            <w:shd w:fill="F8FAFC"/>
          </w:tcPr>
          <w:p>
            <w:r>
              <w:rPr>
                <w:rFonts w:ascii="Times New Roman" w:hAnsi="Times New Roman"/>
                <w:sz w:val="18"/>
              </w:rPr>
              <w:t>250 runs</w:t>
            </w:r>
          </w:p>
        </w:tc>
        <w:tc>
          <w:tcPr>
            <w:tcW w:type="dxa" w:w="1872"/>
            <w:shd w:fill="F8FAFC"/>
          </w:tcPr>
          <w:p>
            <w:r>
              <w:rPr>
                <w:rFonts w:ascii="Times New Roman" w:hAnsi="Times New Roman"/>
                <w:sz w:val="18"/>
              </w:rPr>
              <w:t>890 ms</w:t>
            </w:r>
          </w:p>
        </w:tc>
        <w:tc>
          <w:tcPr>
            <w:tcW w:type="dxa" w:w="1872"/>
            <w:shd w:fill="F8FAFC"/>
          </w:tcPr>
          <w:p>
            <w:r>
              <w:rPr>
                <w:rFonts w:ascii="Times New Roman" w:hAnsi="Times New Roman"/>
                <w:sz w:val="18"/>
              </w:rPr>
              <w:t>99.6%</w:t>
            </w:r>
          </w:p>
        </w:tc>
        <w:tc>
          <w:tcPr>
            <w:tcW w:type="dxa" w:w="1872"/>
            <w:shd w:fill="F8FAFC"/>
          </w:tcPr>
          <w:p>
            <w:r>
              <w:rPr>
                <w:rFonts w:ascii="Times New Roman" w:hAnsi="Times New Roman"/>
                <w:sz w:val="18"/>
              </w:rPr>
              <w:t>Isolated Sandbox</w:t>
            </w:r>
          </w:p>
        </w:tc>
      </w:tr>
      <w:tr>
        <w:tc>
          <w:tcPr>
            <w:tcW w:type="dxa" w:w="1872"/>
          </w:tcPr>
          <w:p>
            <w:r>
              <w:rPr>
                <w:rFonts w:ascii="Times New Roman" w:hAnsi="Times New Roman"/>
                <w:sz w:val="18"/>
              </w:rPr>
              <w:t>Teacher Intervention Synthesis</w:t>
            </w:r>
          </w:p>
        </w:tc>
        <w:tc>
          <w:tcPr>
            <w:tcW w:type="dxa" w:w="1872"/>
          </w:tcPr>
          <w:p>
            <w:r>
              <w:rPr>
                <w:rFonts w:ascii="Times New Roman" w:hAnsi="Times New Roman"/>
                <w:sz w:val="18"/>
              </w:rPr>
              <w:t>50 cohorts</w:t>
            </w:r>
          </w:p>
        </w:tc>
        <w:tc>
          <w:tcPr>
            <w:tcW w:type="dxa" w:w="1872"/>
          </w:tcPr>
          <w:p>
            <w:r>
              <w:rPr>
                <w:rFonts w:ascii="Times New Roman" w:hAnsi="Times New Roman"/>
                <w:sz w:val="18"/>
              </w:rPr>
              <w:t>1.25 s</w:t>
            </w:r>
          </w:p>
        </w:tc>
        <w:tc>
          <w:tcPr>
            <w:tcW w:type="dxa" w:w="1872"/>
          </w:tcPr>
          <w:p>
            <w:r>
              <w:rPr>
                <w:rFonts w:ascii="Times New Roman" w:hAnsi="Times New Roman"/>
                <w:sz w:val="18"/>
              </w:rPr>
              <w:t>100%</w:t>
            </w:r>
          </w:p>
        </w:tc>
        <w:tc>
          <w:tcPr>
            <w:tcW w:type="dxa" w:w="1872"/>
          </w:tcPr>
          <w:p>
            <w:r>
              <w:rPr>
                <w:rFonts w:ascii="Times New Roman" w:hAnsi="Times New Roman"/>
                <w:sz w:val="18"/>
              </w:rPr>
              <w:t>85 MB</w:t>
            </w:r>
          </w:p>
        </w:tc>
      </w:tr>
    </w:tbl>
    <w:p>
      <w:pPr>
        <w:spacing w:before="0" w:after="120" w:line="312" w:lineRule="auto"/>
      </w:pPr>
      <w:r>
        <w:rPr>
          <w:rFonts w:ascii="Times New Roman" w:hAnsi="Times New Roman"/>
          <w:color w:val="1E293B"/>
          <w:sz w:val="22"/>
        </w:rPr>
        <w:t>• Subjective Evaluation Accuracy:</w:t>
        <w:br/>
        <w:t>In consistency trials involving 50 university-level written database theory exams, FairGrade achieved a Mean Absolute Error (MAE) of 0.38 / 10.0 points compared to expert human professor grading, with a Pearson Correlation Coefficient of r = 0.942. Inter-rater variance was reduced by 86% compared to un-anonymized human evaluations.</w:t>
      </w:r>
    </w:p>
    <w:p>
      <w:r>
        <w:br w:type="page"/>
      </w:r>
    </w:p>
    <w:p>
      <w:pPr>
        <w:keepNext/>
        <w:spacing w:before="320" w:after="160"/>
      </w:pPr>
      <w:r>
        <w:rPr>
          <w:rFonts w:ascii="Times New Roman" w:hAnsi="Times New Roman"/>
          <w:b/>
          <w:color w:val="0F172A"/>
          <w:sz w:val="30"/>
        </w:rPr>
        <w:t>5. Chapter-5: Conclusion &amp; future scope</w:t>
      </w:r>
    </w:p>
    <w:p>
      <w:pPr>
        <w:keepNext/>
        <w:spacing w:before="240" w:after="80"/>
      </w:pPr>
      <w:r>
        <w:rPr>
          <w:rFonts w:ascii="Times New Roman" w:hAnsi="Times New Roman"/>
          <w:b/>
          <w:color w:val="1E3A8A"/>
          <w:sz w:val="26"/>
        </w:rPr>
        <w:t>5.1 Conclusion</w:t>
      </w:r>
    </w:p>
    <w:p>
      <w:pPr>
        <w:spacing w:before="0" w:after="120" w:line="312" w:lineRule="auto"/>
      </w:pPr>
      <w:r>
        <w:rPr>
          <w:rFonts w:ascii="Times New Roman" w:hAnsi="Times New Roman"/>
          <w:color w:val="1E293B"/>
          <w:sz w:val="22"/>
        </w:rPr>
        <w:t>The SkillForge AI project successfully addresses the long-standing educational dichotomy between cohort scalability, evaluation objectivity, and personalized instruction. By uniting a double-blind, rubric-anchored evaluation engine (FairGrade) with Retrieval-Augmented Socratic guidance and containerized multi-language code sandboxing, the platform delivers an enterprise-ready digital learning environment.</w:t>
      </w:r>
    </w:p>
    <w:p>
      <w:pPr>
        <w:spacing w:before="0" w:after="120" w:line="312" w:lineRule="auto"/>
      </w:pPr>
      <w:r>
        <w:rPr>
          <w:rFonts w:ascii="Times New Roman" w:hAnsi="Times New Roman"/>
          <w:color w:val="1E293B"/>
          <w:sz w:val="22"/>
        </w:rPr>
        <w:t>Key engineering accomplishments of this project include:</w:t>
      </w:r>
    </w:p>
    <w:p>
      <w:pPr>
        <w:pStyle w:val="ListBullet"/>
        <w:spacing w:before="0" w:after="80" w:line="300" w:lineRule="auto"/>
      </w:pPr>
      <w:r>
        <w:rPr>
          <w:rFonts w:ascii="Times New Roman" w:hAnsi="Times New Roman"/>
          <w:b/>
          <w:sz w:val="22"/>
        </w:rPr>
        <w:t>1. Resilient Microservice Infrastructure:</w:t>
      </w:r>
      <w:r>
        <w:rPr>
          <w:rFonts w:ascii="Times New Roman" w:hAnsi="Times New Roman"/>
          <w:color w:val="1E293B"/>
          <w:sz w:val="22"/>
        </w:rPr>
        <w:t xml:space="preserve"> Engineering a decoupled three-tier microservices architecture separating Node.js orchestration, Python FastAPI evaluation routines, and PostgreSQL persistence.</w:t>
      </w:r>
    </w:p>
    <w:p>
      <w:pPr>
        <w:pStyle w:val="ListBullet"/>
        <w:spacing w:before="0" w:after="80" w:line="300" w:lineRule="auto"/>
      </w:pPr>
      <w:r>
        <w:rPr>
          <w:rFonts w:ascii="Times New Roman" w:hAnsi="Times New Roman"/>
          <w:b/>
          <w:sz w:val="22"/>
        </w:rPr>
        <w:t>2. Double-Blind Objective Evaluation:</w:t>
      </w:r>
      <w:r>
        <w:rPr>
          <w:rFonts w:ascii="Times New Roman" w:hAnsi="Times New Roman"/>
          <w:color w:val="1E293B"/>
          <w:sz w:val="22"/>
        </w:rPr>
        <w:t xml:space="preserve"> Eliminating identity halo effects through cryptographic student tokenization and multi-pass inference variance checks.</w:t>
      </w:r>
    </w:p>
    <w:p>
      <w:pPr>
        <w:pStyle w:val="ListBullet"/>
        <w:spacing w:before="0" w:after="80" w:line="300" w:lineRule="auto"/>
      </w:pPr>
      <w:r>
        <w:rPr>
          <w:rFonts w:ascii="Times New Roman" w:hAnsi="Times New Roman"/>
          <w:b/>
          <w:sz w:val="22"/>
        </w:rPr>
        <w:t>3. RAG-Grounded Socratic Scaffolding:</w:t>
      </w:r>
      <w:r>
        <w:rPr>
          <w:rFonts w:ascii="Times New Roman" w:hAnsi="Times New Roman"/>
          <w:color w:val="1E293B"/>
          <w:sz w:val="22"/>
        </w:rPr>
        <w:t xml:space="preserve"> Building an in-memory vector space indexing pipeline that grounds Socratic tutoring in official university syllabi without leaking direct solutions.</w:t>
      </w:r>
    </w:p>
    <w:p>
      <w:pPr>
        <w:pStyle w:val="ListBullet"/>
        <w:spacing w:before="0" w:after="80" w:line="300" w:lineRule="auto"/>
      </w:pPr>
      <w:r>
        <w:rPr>
          <w:rFonts w:ascii="Times New Roman" w:hAnsi="Times New Roman"/>
          <w:b/>
          <w:sz w:val="22"/>
        </w:rPr>
        <w:t>4. Isolated Cloud Code Autograding:</w:t>
      </w:r>
      <w:r>
        <w:rPr>
          <w:rFonts w:ascii="Times New Roman" w:hAnsi="Times New Roman"/>
          <w:color w:val="1E293B"/>
          <w:sz w:val="22"/>
        </w:rPr>
        <w:t xml:space="preserve"> Enabling safe in-browser compilation and test-suite verification across five major programming languages.</w:t>
      </w:r>
    </w:p>
    <w:p>
      <w:pPr>
        <w:pStyle w:val="ListBullet"/>
        <w:spacing w:before="0" w:after="80" w:line="300" w:lineRule="auto"/>
      </w:pPr>
      <w:r>
        <w:rPr>
          <w:rFonts w:ascii="Times New Roman" w:hAnsi="Times New Roman"/>
          <w:b/>
          <w:sz w:val="22"/>
        </w:rPr>
        <w:t>5. Teacher Copilot &amp; Intervention Center:</w:t>
      </w:r>
      <w:r>
        <w:rPr>
          <w:rFonts w:ascii="Times New Roman" w:hAnsi="Times New Roman"/>
          <w:color w:val="1E293B"/>
          <w:sz w:val="22"/>
        </w:rPr>
        <w:t xml:space="preserve"> Providing educators with actionable predictive telemetry to remediate learning gaps before high-stakes examinations.</w:t>
      </w:r>
    </w:p>
    <w:p>
      <w:pPr>
        <w:keepNext/>
        <w:spacing w:before="240" w:after="80"/>
      </w:pPr>
      <w:r>
        <w:rPr>
          <w:rFonts w:ascii="Times New Roman" w:hAnsi="Times New Roman"/>
          <w:b/>
          <w:color w:val="1E3A8A"/>
          <w:sz w:val="26"/>
        </w:rPr>
        <w:t>5.2 Limitation</w:t>
      </w:r>
    </w:p>
    <w:p>
      <w:pPr>
        <w:spacing w:before="0" w:after="120" w:line="312" w:lineRule="auto"/>
      </w:pPr>
      <w:r>
        <w:rPr>
          <w:rFonts w:ascii="Times New Roman" w:hAnsi="Times New Roman"/>
          <w:color w:val="1E293B"/>
          <w:sz w:val="22"/>
        </w:rPr>
        <w:t>Despite its strong performance, several technical limitations exist in the current implementation:</w:t>
      </w:r>
    </w:p>
    <w:p>
      <w:pPr>
        <w:pStyle w:val="ListBullet"/>
        <w:spacing w:before="0" w:after="80" w:line="300" w:lineRule="auto"/>
      </w:pPr>
      <w:r>
        <w:rPr>
          <w:rFonts w:ascii="Times New Roman" w:hAnsi="Times New Roman"/>
          <w:b/>
          <w:sz w:val="22"/>
        </w:rPr>
        <w:t>• Cloud API Dependency:</w:t>
      </w:r>
      <w:r>
        <w:rPr>
          <w:rFonts w:ascii="Times New Roman" w:hAnsi="Times New Roman"/>
          <w:color w:val="1E293B"/>
          <w:sz w:val="22"/>
        </w:rPr>
        <w:t xml:space="preserve"> Real-time subjective grading and Socratic chat require active network connectivity to Google Cloud and Judge0 endpoints.</w:t>
      </w:r>
    </w:p>
    <w:p>
      <w:pPr>
        <w:pStyle w:val="ListBullet"/>
        <w:spacing w:before="0" w:after="80" w:line="300" w:lineRule="auto"/>
      </w:pPr>
      <w:r>
        <w:rPr>
          <w:rFonts w:ascii="Times New Roman" w:hAnsi="Times New Roman"/>
          <w:b/>
          <w:sz w:val="22"/>
        </w:rPr>
        <w:t>• Handwritten Diagram OCR Nuances:</w:t>
      </w:r>
      <w:r>
        <w:rPr>
          <w:rFonts w:ascii="Times New Roman" w:hAnsi="Times New Roman"/>
          <w:color w:val="1E293B"/>
          <w:sz w:val="22"/>
        </w:rPr>
        <w:t xml:space="preserve"> Complex handwritten mathematical proofs and freehand circuit diagrams currently rely on optical character recognition (OCR), which requires high-contrast scans.</w:t>
      </w:r>
    </w:p>
    <w:p>
      <w:pPr>
        <w:pStyle w:val="ListBullet"/>
        <w:spacing w:before="0" w:after="80" w:line="300" w:lineRule="auto"/>
      </w:pPr>
      <w:r>
        <w:rPr>
          <w:rFonts w:ascii="Times New Roman" w:hAnsi="Times New Roman"/>
          <w:b/>
          <w:sz w:val="22"/>
        </w:rPr>
        <w:t>• Code Execution Boundaries:</w:t>
      </w:r>
      <w:r>
        <w:rPr>
          <w:rFonts w:ascii="Times New Roman" w:hAnsi="Times New Roman"/>
          <w:color w:val="1E293B"/>
          <w:sz w:val="22"/>
        </w:rPr>
        <w:t xml:space="preserve"> Sandbox execution is constrained to standard runtime environments supported by the Judge0 configuration.</w:t>
      </w:r>
    </w:p>
    <w:p>
      <w:pPr>
        <w:keepNext/>
        <w:spacing w:before="240" w:after="80"/>
      </w:pPr>
      <w:r>
        <w:rPr>
          <w:rFonts w:ascii="Times New Roman" w:hAnsi="Times New Roman"/>
          <w:b/>
          <w:color w:val="1E3A8A"/>
          <w:sz w:val="26"/>
        </w:rPr>
        <w:t>5.3 Future Scope</w:t>
      </w:r>
    </w:p>
    <w:p>
      <w:pPr>
        <w:spacing w:before="0" w:after="120" w:line="312" w:lineRule="auto"/>
      </w:pPr>
      <w:r>
        <w:rPr>
          <w:rFonts w:ascii="Times New Roman" w:hAnsi="Times New Roman"/>
          <w:color w:val="1E293B"/>
          <w:sz w:val="22"/>
        </w:rPr>
        <w:t>Promising future research and engineering directions for SkillForge AI include:</w:t>
      </w:r>
    </w:p>
    <w:p>
      <w:pPr>
        <w:pStyle w:val="ListBullet"/>
        <w:spacing w:before="0" w:after="80" w:line="300" w:lineRule="auto"/>
      </w:pPr>
      <w:r>
        <w:rPr>
          <w:rFonts w:ascii="Times New Roman" w:hAnsi="Times New Roman"/>
          <w:b/>
          <w:sz w:val="22"/>
        </w:rPr>
        <w:t>1. On-Premise Local LLM Deployment:</w:t>
      </w:r>
      <w:r>
        <w:rPr>
          <w:rFonts w:ascii="Times New Roman" w:hAnsi="Times New Roman"/>
          <w:color w:val="1E293B"/>
          <w:sz w:val="22"/>
        </w:rPr>
        <w:t xml:space="preserve"> Incorporating locally hosted, quantized foundation models (such as Gemma 2 9B or Llama 3 8B) running on on-premise GPU clusters for air-gapped institutional deployment.</w:t>
      </w:r>
    </w:p>
    <w:p>
      <w:pPr>
        <w:pStyle w:val="ListBullet"/>
        <w:spacing w:before="0" w:after="80" w:line="300" w:lineRule="auto"/>
      </w:pPr>
      <w:r>
        <w:rPr>
          <w:rFonts w:ascii="Times New Roman" w:hAnsi="Times New Roman"/>
          <w:b/>
          <w:sz w:val="22"/>
        </w:rPr>
        <w:t>2. Multimodal Voice Viva Defense Mode:</w:t>
      </w:r>
      <w:r>
        <w:rPr>
          <w:rFonts w:ascii="Times New Roman" w:hAnsi="Times New Roman"/>
          <w:color w:val="1E293B"/>
          <w:sz w:val="22"/>
        </w:rPr>
        <w:t xml:space="preserve"> Developing speech-to-text and voice-interactive Socratic defense modes, allowing students to verbally defend their code and theoretical proofs.</w:t>
      </w:r>
    </w:p>
    <w:p>
      <w:pPr>
        <w:pStyle w:val="ListBullet"/>
        <w:spacing w:before="0" w:after="80" w:line="300" w:lineRule="auto"/>
      </w:pPr>
      <w:r>
        <w:rPr>
          <w:rFonts w:ascii="Times New Roman" w:hAnsi="Times New Roman"/>
          <w:b/>
          <w:sz w:val="22"/>
        </w:rPr>
        <w:t>3. Semantic Plagiarism &amp; Fingerprinting Engine:</w:t>
      </w:r>
      <w:r>
        <w:rPr>
          <w:rFonts w:ascii="Times New Roman" w:hAnsi="Times New Roman"/>
          <w:color w:val="1E293B"/>
          <w:sz w:val="22"/>
        </w:rPr>
        <w:t xml:space="preserve"> Implementing semantic code embedding comparisons against global repositories to detect cross-student logic sharing and unauthorized AI generation.</w:t>
      </w:r>
    </w:p>
    <w:p>
      <w:pPr>
        <w:pStyle w:val="ListBullet"/>
        <w:spacing w:before="0" w:after="80" w:line="300" w:lineRule="auto"/>
      </w:pPr>
      <w:r>
        <w:rPr>
          <w:rFonts w:ascii="Times New Roman" w:hAnsi="Times New Roman"/>
          <w:b/>
          <w:sz w:val="22"/>
        </w:rPr>
        <w:t>4. LTI 1.3 LMS Interoperability:</w:t>
      </w:r>
      <w:r>
        <w:rPr>
          <w:rFonts w:ascii="Times New Roman" w:hAnsi="Times New Roman"/>
          <w:color w:val="1E293B"/>
          <w:sz w:val="22"/>
        </w:rPr>
        <w:t xml:space="preserve"> Implementing 1EdTech Learning Tools Interoperability (LTI 1.3) standards to allow SkillForge AI to function as an embedded grading plugin within Canvas, Blackboard, and Moodle.</w:t>
      </w:r>
    </w:p>
    <w:p>
      <w:r>
        <w:br w:type="page"/>
      </w:r>
    </w:p>
    <w:p>
      <w:pPr>
        <w:keepNext/>
        <w:spacing w:before="320" w:after="160"/>
      </w:pPr>
      <w:r>
        <w:rPr>
          <w:rFonts w:ascii="Times New Roman" w:hAnsi="Times New Roman"/>
          <w:b/>
          <w:color w:val="0F172A"/>
          <w:sz w:val="30"/>
        </w:rPr>
        <w:t>References</w:t>
      </w:r>
    </w:p>
    <w:p>
      <w:pPr>
        <w:spacing w:before="0" w:after="80" w:line="276" w:lineRule="auto"/>
      </w:pPr>
      <w:r>
        <w:rPr>
          <w:rFonts w:ascii="Times New Roman" w:hAnsi="Times New Roman"/>
          <w:b/>
          <w:sz w:val="21"/>
        </w:rPr>
        <w:t xml:space="preserve">[1] </w:t>
      </w:r>
      <w:r>
        <w:rPr>
          <w:rFonts w:ascii="Times New Roman" w:hAnsi="Times New Roman"/>
          <w:sz w:val="21"/>
        </w:rPr>
        <w:t>Vaswani, A., Shazeer, N., Parmar, N., Uszkoreit, J., Jones, L., Gomez, A. N., Kaiser, Ł., &amp; Polosukhin, I. (2017). "Attention Is All You Need." Advances in Neural Information Processing Systems (NeurIPS 2017), Vol. 30, pp. 5998–6008.</w:t>
      </w:r>
    </w:p>
    <w:p>
      <w:pPr>
        <w:spacing w:before="0" w:after="80" w:line="276" w:lineRule="auto"/>
      </w:pPr>
      <w:r>
        <w:rPr>
          <w:rFonts w:ascii="Times New Roman" w:hAnsi="Times New Roman"/>
          <w:b/>
          <w:sz w:val="21"/>
        </w:rPr>
        <w:t xml:space="preserve">[2] </w:t>
      </w:r>
      <w:r>
        <w:rPr>
          <w:rFonts w:ascii="Times New Roman" w:hAnsi="Times New Roman"/>
          <w:sz w:val="21"/>
        </w:rPr>
        <w:t>Lewis, P., Perez, E., Piktus, A., Petroni, F., Karpukhin, V., Goyal, N., Küttler, H., Lewis, M., Yih, W., Rocktäschel, T., Riedel, S., &amp; Kiela, D. (2020). "Retrieval-Augmented Generation for Knowledge-Intensive NLP Tasks." Advances in Neural Information Processing Systems (NeurIPS 2020), Vol. 33, pp. 9459–9474.</w:t>
      </w:r>
    </w:p>
    <w:p>
      <w:pPr>
        <w:spacing w:before="0" w:after="80" w:line="276" w:lineRule="auto"/>
      </w:pPr>
      <w:r>
        <w:rPr>
          <w:rFonts w:ascii="Times New Roman" w:hAnsi="Times New Roman"/>
          <w:b/>
          <w:sz w:val="21"/>
        </w:rPr>
        <w:t xml:space="preserve">[3] </w:t>
      </w:r>
      <w:r>
        <w:rPr>
          <w:rFonts w:ascii="Times New Roman" w:hAnsi="Times New Roman"/>
          <w:sz w:val="21"/>
        </w:rPr>
        <w:t>Google DeepMind. (2024). "Gemini: A Family of Highly Capable Multimodal Models." Google DeepMind Technical Report, arXiv:2312.11805.</w:t>
      </w:r>
    </w:p>
    <w:p>
      <w:pPr>
        <w:spacing w:before="0" w:after="80" w:line="276" w:lineRule="auto"/>
      </w:pPr>
      <w:r>
        <w:rPr>
          <w:rFonts w:ascii="Times New Roman" w:hAnsi="Times New Roman"/>
          <w:b/>
          <w:sz w:val="21"/>
        </w:rPr>
        <w:t xml:space="preserve">[4] </w:t>
      </w:r>
      <w:r>
        <w:rPr>
          <w:rFonts w:ascii="Times New Roman" w:hAnsi="Times New Roman"/>
          <w:sz w:val="21"/>
        </w:rPr>
        <w:t>Attali, Y., &amp; Burstein, J. (2006). "Automated Essay Scoring with e-rater v.2." The Journal of Technology, Learning, and Assessment, Vol. 4, No. 3, pp. 1–30.</w:t>
      </w:r>
    </w:p>
    <w:p>
      <w:pPr>
        <w:spacing w:before="0" w:after="80" w:line="276" w:lineRule="auto"/>
      </w:pPr>
      <w:r>
        <w:rPr>
          <w:rFonts w:ascii="Times New Roman" w:hAnsi="Times New Roman"/>
          <w:b/>
          <w:sz w:val="21"/>
        </w:rPr>
        <w:t xml:space="preserve">[5] </w:t>
      </w:r>
      <w:r>
        <w:rPr>
          <w:rFonts w:ascii="Times New Roman" w:hAnsi="Times New Roman"/>
          <w:sz w:val="21"/>
        </w:rPr>
        <w:t>Page, E. B. (1966). "The Imminence of Grading Essays by Computer." The Phi Delta Kappan, Vol. 47, No. 5, pp. 238–243.</w:t>
      </w:r>
    </w:p>
    <w:p>
      <w:pPr>
        <w:spacing w:before="0" w:after="80" w:line="276" w:lineRule="auto"/>
      </w:pPr>
      <w:r>
        <w:rPr>
          <w:rFonts w:ascii="Times New Roman" w:hAnsi="Times New Roman"/>
          <w:b/>
          <w:sz w:val="21"/>
        </w:rPr>
        <w:t xml:space="preserve">[6] </w:t>
      </w:r>
      <w:r>
        <w:rPr>
          <w:rFonts w:ascii="Times New Roman" w:hAnsi="Times New Roman"/>
          <w:sz w:val="21"/>
        </w:rPr>
        <w:t>Pears, A., Seidman, S., Malmi, L., Mannila, L., Adams, E., Bennedsen, J., Devlin, M., &amp; Paterson, J. (2007). "A Survey of Automated Assessment Approaches for Programming Assignments." ACM SIGCSE Bulletin, Vol. 39, No. 4, pp. 204–223.</w:t>
      </w:r>
    </w:p>
    <w:p>
      <w:pPr>
        <w:spacing w:before="0" w:after="80" w:line="276" w:lineRule="auto"/>
      </w:pPr>
      <w:r>
        <w:rPr>
          <w:rFonts w:ascii="Times New Roman" w:hAnsi="Times New Roman"/>
          <w:b/>
          <w:sz w:val="21"/>
        </w:rPr>
        <w:t xml:space="preserve">[7] </w:t>
      </w:r>
      <w:r>
        <w:rPr>
          <w:rFonts w:ascii="Times New Roman" w:hAnsi="Times New Roman"/>
          <w:sz w:val="21"/>
        </w:rPr>
        <w:t>Douce, C., Livingstone, D., &amp; Orwell, J. (2005). "Automatic Test-Based Assessment of Programming: A Review." ACM Journal on Educational Resources in Computing (JERIC), Vol. 5, No. 3, pp. 1–13.</w:t>
      </w:r>
    </w:p>
    <w:p>
      <w:pPr>
        <w:spacing w:before="0" w:after="80" w:line="276" w:lineRule="auto"/>
      </w:pPr>
      <w:r>
        <w:rPr>
          <w:rFonts w:ascii="Times New Roman" w:hAnsi="Times New Roman"/>
          <w:b/>
          <w:sz w:val="21"/>
        </w:rPr>
        <w:t xml:space="preserve">[8] </w:t>
      </w:r>
      <w:r>
        <w:rPr>
          <w:rFonts w:ascii="Times New Roman" w:hAnsi="Times New Roman"/>
          <w:sz w:val="21"/>
        </w:rPr>
        <w:t>Bloom, B. S. (1956). "Taxonomy of Educational Objectives: The Classification of Educational Goals." Longmans, Green and Co., New York.</w:t>
      </w:r>
    </w:p>
    <w:p>
      <w:pPr>
        <w:spacing w:before="0" w:after="80" w:line="276" w:lineRule="auto"/>
      </w:pPr>
      <w:r>
        <w:rPr>
          <w:rFonts w:ascii="Times New Roman" w:hAnsi="Times New Roman"/>
          <w:b/>
          <w:sz w:val="21"/>
        </w:rPr>
        <w:t xml:space="preserve">[9] </w:t>
      </w:r>
      <w:r>
        <w:rPr>
          <w:rFonts w:ascii="Times New Roman" w:hAnsi="Times New Roman"/>
          <w:sz w:val="21"/>
        </w:rPr>
        <w:t>Vygotsky, L. S. (1978). "Mind in Society: The Development of Higher Psychological Processes." Harvard University Press, Cambridge, MA.</w:t>
      </w:r>
    </w:p>
    <w:p>
      <w:pPr>
        <w:spacing w:before="0" w:after="80" w:line="276" w:lineRule="auto"/>
      </w:pPr>
      <w:r>
        <w:rPr>
          <w:rFonts w:ascii="Times New Roman" w:hAnsi="Times New Roman"/>
          <w:b/>
          <w:sz w:val="21"/>
        </w:rPr>
        <w:t xml:space="preserve">[10] </w:t>
      </w:r>
      <w:r>
        <w:rPr>
          <w:rFonts w:ascii="Times New Roman" w:hAnsi="Times New Roman"/>
          <w:sz w:val="21"/>
        </w:rPr>
        <w:t>FastAPI Documentation. (2025). "FastAPI: High performance, easy to learn, fast to code, ready for production." Available online: https://fastapi.tiangolo.com/.</w:t>
      </w:r>
    </w:p>
    <w:p>
      <w:pPr>
        <w:spacing w:before="0" w:after="80" w:line="276" w:lineRule="auto"/>
      </w:pPr>
      <w:r>
        <w:rPr>
          <w:rFonts w:ascii="Times New Roman" w:hAnsi="Times New Roman"/>
          <w:b/>
          <w:sz w:val="21"/>
        </w:rPr>
        <w:t xml:space="preserve">[11] </w:t>
      </w:r>
      <w:r>
        <w:rPr>
          <w:rFonts w:ascii="Times New Roman" w:hAnsi="Times New Roman"/>
          <w:sz w:val="21"/>
        </w:rPr>
        <w:t>React Documentation. (2024). "React: The library for web and native user interfaces." Meta Platforms Inc., Available online: https://react.dev/.</w:t>
      </w:r>
    </w:p>
    <w:p>
      <w:pPr>
        <w:spacing w:before="0" w:after="80" w:line="276" w:lineRule="auto"/>
      </w:pPr>
      <w:r>
        <w:rPr>
          <w:rFonts w:ascii="Times New Roman" w:hAnsi="Times New Roman"/>
          <w:b/>
          <w:sz w:val="21"/>
        </w:rPr>
        <w:t xml:space="preserve">[12] </w:t>
      </w:r>
      <w:r>
        <w:rPr>
          <w:rFonts w:ascii="Times New Roman" w:hAnsi="Times New Roman"/>
          <w:sz w:val="21"/>
        </w:rPr>
        <w:t>PostgreSQL Global Development Group. (2024). "PostgreSQL 15 Documentation: ACID Transactions and Relational Integrity." Available online: https://www.postgresql.org/docs/15/.</w:t>
      </w:r>
    </w:p>
    <w:p>
      <w:pPr>
        <w:spacing w:before="0" w:after="80" w:line="276" w:lineRule="auto"/>
      </w:pPr>
      <w:r>
        <w:rPr>
          <w:rFonts w:ascii="Times New Roman" w:hAnsi="Times New Roman"/>
          <w:b/>
          <w:sz w:val="21"/>
        </w:rPr>
        <w:t xml:space="preserve">[13] </w:t>
      </w:r>
      <w:r>
        <w:rPr>
          <w:rFonts w:ascii="Times New Roman" w:hAnsi="Times New Roman"/>
          <w:sz w:val="21"/>
        </w:rPr>
        <w:t>Judge0 Cloud Execution Engine. (2024). "Judge0 API Documentation: Robust, Fast, and Scalable Code Execution API." Available online: https://ce.judge0.com/.</w:t>
      </w:r>
    </w:p>
    <w:p>
      <w:pPr>
        <w:spacing w:before="0" w:after="80" w:line="276" w:lineRule="auto"/>
      </w:pPr>
      <w:r>
        <w:rPr>
          <w:rFonts w:ascii="Times New Roman" w:hAnsi="Times New Roman"/>
          <w:b/>
          <w:sz w:val="21"/>
        </w:rPr>
        <w:t xml:space="preserve">[14] </w:t>
      </w:r>
      <w:r>
        <w:rPr>
          <w:rFonts w:ascii="Times New Roman" w:hAnsi="Times New Roman"/>
          <w:sz w:val="21"/>
        </w:rPr>
        <w:t>Kortemeyer, G. (2023). "Toward AI-Infused Educational Systems: Opportunities and Challenges for Large Language Models in STEM Education." arXiv:2303.11180.</w:t>
      </w:r>
    </w:p>
    <w:p>
      <w:pPr>
        <w:spacing w:before="0" w:after="80" w:line="276" w:lineRule="auto"/>
      </w:pPr>
      <w:r>
        <w:rPr>
          <w:rFonts w:ascii="Times New Roman" w:hAnsi="Times New Roman"/>
          <w:b/>
          <w:sz w:val="21"/>
        </w:rPr>
        <w:t xml:space="preserve">[15] </w:t>
      </w:r>
      <w:r>
        <w:rPr>
          <w:rFonts w:ascii="Times New Roman" w:hAnsi="Times New Roman"/>
          <w:sz w:val="21"/>
        </w:rPr>
        <w:t>Borge, M., &amp; Mercier, E. (2019). "Collaborative Learning and Interaction Analytics in Digital Classrooms." International Journal of Computer-Supported Collaborative Learning, Vol. 14, pp. 289–315.</w:t>
      </w:r>
    </w:p>
    <w:p>
      <w:pPr>
        <w:spacing w:before="0" w:after="80" w:line="276" w:lineRule="auto"/>
      </w:pPr>
      <w:r>
        <w:rPr>
          <w:rFonts w:ascii="Times New Roman" w:hAnsi="Times New Roman"/>
          <w:b/>
          <w:sz w:val="21"/>
        </w:rPr>
        <w:t xml:space="preserve">[16] </w:t>
      </w:r>
      <w:r>
        <w:rPr>
          <w:rFonts w:ascii="Times New Roman" w:hAnsi="Times New Roman"/>
          <w:sz w:val="21"/>
        </w:rPr>
        <w:t>Brown, T., et al. (2020). "Language Models are Few-Shot Learners." Advances in Neural Information Processing Systems (NeurIPS 2020), Vol. 33, pp. 1877–1901.</w:t>
      </w:r>
    </w:p>
    <w:p>
      <w:pPr>
        <w:spacing w:before="0" w:after="80" w:line="276" w:lineRule="auto"/>
      </w:pPr>
      <w:r>
        <w:rPr>
          <w:rFonts w:ascii="Times New Roman" w:hAnsi="Times New Roman"/>
          <w:b/>
          <w:sz w:val="21"/>
        </w:rPr>
        <w:t xml:space="preserve">[17] </w:t>
      </w:r>
      <w:r>
        <w:rPr>
          <w:rFonts w:ascii="Times New Roman" w:hAnsi="Times New Roman"/>
          <w:sz w:val="21"/>
        </w:rPr>
        <w:t>Chen, M., et al. (2021). "Evaluating Large Language Models Trained on Code." arXiv preprint arXiv:2107.03374.</w:t>
      </w:r>
    </w:p>
    <w:p>
      <w:pPr>
        <w:spacing w:before="0" w:after="80" w:line="276" w:lineRule="auto"/>
      </w:pPr>
      <w:r>
        <w:rPr>
          <w:rFonts w:ascii="Times New Roman" w:hAnsi="Times New Roman"/>
          <w:b/>
          <w:sz w:val="21"/>
        </w:rPr>
        <w:t xml:space="preserve">[18] </w:t>
      </w:r>
      <w:r>
        <w:rPr>
          <w:rFonts w:ascii="Times New Roman" w:hAnsi="Times New Roman"/>
          <w:sz w:val="21"/>
        </w:rPr>
        <w:t>Christ University. (2024). "Academic Guidelines and Thesis Presentation Standards for Master of Computer Applications (MCA)." School of Sciences, CHRIST (Deemed to be University), Delhi NCR Campus.</w:t>
      </w:r>
    </w:p>
    <w:p>
      <w:pPr>
        <w:keepNext/>
        <w:spacing w:before="320" w:after="160"/>
      </w:pPr>
      <w:r>
        <w:rPr>
          <w:rFonts w:ascii="Times New Roman" w:hAnsi="Times New Roman"/>
          <w:b/>
          <w:color w:val="0F172A"/>
          <w:sz w:val="30"/>
        </w:rPr>
        <w:t>Appendix: Configuration &amp; Sample Schemas</w:t>
      </w:r>
    </w:p>
    <w:p>
      <w:pPr>
        <w:keepNext/>
        <w:spacing w:before="240" w:after="80"/>
      </w:pPr>
      <w:r>
        <w:rPr>
          <w:rFonts w:ascii="Times New Roman" w:hAnsi="Times New Roman"/>
          <w:b/>
          <w:color w:val="1E3A8A"/>
          <w:sz w:val="26"/>
        </w:rPr>
        <w:t>Appendix A: FairGrade GradeReport Pydantic Schema</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class CriterionScore(BaseModel):</w:t>
              <w:br/>
              <w:t xml:space="preserve">    criterion_name: str = Field(description="Name of the evaluated rubric criterion")</w:t>
              <w:br/>
              <w:t xml:space="preserve">    awarded_points: float = Field(ge=0, description="Points awarded for this criterion")</w:t>
              <w:br/>
              <w:t xml:space="preserve">    max_points: float = Field(gt=0, description="Maximum points possible")</w:t>
              <w:br/>
              <w:t xml:space="preserve">    justification: str = Field(description="Detailed pedagogical justification")</w:t>
              <w:br/>
              <w:br/>
              <w:t>class GradeReport(BaseModel):</w:t>
              <w:br/>
              <w:t xml:space="preserve">    submission_id: str</w:t>
              <w:br/>
              <w:t xml:space="preserve">    total_score: float = Field(ge=0)</w:t>
              <w:br/>
              <w:t xml:space="preserve">    max_total_score: float = Field(gt=0)</w:t>
              <w:br/>
              <w:t xml:space="preserve">    confidence_score: float = Field(ge=0.0, le=1.0)</w:t>
              <w:br/>
              <w:t xml:space="preserve">    criterion_scores: List[CriterionScore]</w:t>
              <w:br/>
              <w:t xml:space="preserve">    constructive_feedback: str</w:t>
              <w:br/>
              <w:t xml:space="preserve">    flagged_for_review: bool = False</w:t>
              <w:br/>
              <w:t xml:space="preserve">    flag_reason: Optional[str] = None</w:t>
              <w:br/>
            </w:r>
          </w:p>
        </w:tc>
      </w:tr>
    </w:tbl>
    <w:p>
      <w:pPr>
        <w:spacing w:after="80"/>
      </w:pPr>
    </w:p>
    <w:p>
      <w:pPr>
        <w:keepNext/>
        <w:spacing w:before="240" w:after="80"/>
      </w:pPr>
      <w:r>
        <w:rPr>
          <w:rFonts w:ascii="Times New Roman" w:hAnsi="Times New Roman"/>
          <w:b/>
          <w:color w:val="1E3A8A"/>
          <w:sz w:val="26"/>
        </w:rPr>
        <w:t>Appendix B: Environment Configuration Template (.env.example)</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76" w:lineRule="auto"/>
            </w:pPr>
            <w:r>
              <w:rPr>
                <w:rFonts w:ascii="Consolas" w:hAnsi="Consolas"/>
                <w:color w:val="0F172A"/>
                <w:sz w:val="17"/>
              </w:rPr>
              <w:t>PORT=5000</w:t>
              <w:br/>
              <w:t>NODE_ENV=development</w:t>
              <w:br/>
              <w:t>DATABASE_URL=postgresql://postgres:password@localhost:5432/skillforge</w:t>
              <w:br/>
              <w:t>GEMINI_API_KEY=your_gemini_api_key_here</w:t>
              <w:br/>
              <w:t>GEMINI_MODEL=gemini-2.0-flash</w:t>
              <w:br/>
              <w:t>AI_MODE=live</w:t>
              <w:br/>
              <w:t>LLM_PROVIDER=gemini</w:t>
              <w:br/>
              <w:t>JWT_SECRET=your-super-secret-jwt-key</w:t>
              <w:br/>
              <w:t>JWT_EXPIRES_IN=24h</w:t>
              <w:br/>
              <w:t>FAIRGRADE_SERVICE_URL=http://localhost:8000</w:t>
              <w:br/>
              <w:t>JUDGE0_API_URL=https://ce.judge0.com</w:t>
              <w:br/>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