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 Business Registration Path</w:t>
      </w:r>
    </w:p>
    <w:p>
      <w:r>
        <w:t>This generated fixture summarizes a Canadian business-startup workflow for testing Vaultwright mirrors. It is not official tax, legal, accounting, or registration advice.</w:t>
      </w:r>
    </w:p>
    <w:p>
      <w:r>
        <w:t>A business owner may need a business number and CRA program accounts before collecting GST/HST, running payroll, importing or exporting, or filing corporate income tax obligations.</w:t>
      </w:r>
    </w:p>
    <w:p>
      <w:r>
        <w:t>The practical challenge is that registration, account access, GST/HST readiness, and support programs live across several public pages. A knowledge base should preserve the official source links while turning them into a checklist and decision map.</w:t>
      </w:r>
    </w:p>
    <w:p>
      <w:r>
        <w:t>Official source references: https://www.canada.ca/en/services/taxes/business-registration.html and https://www.canada.ca/en/revenue-agency/news/newsroom/tax-tips/tax-tips-2025/businesses-go-online-register-business-number-cra-program-account.html</w:t>
      </w:r>
    </w:p>
    <w:p>
      <w:pPr>
        <w:pStyle w:val="Heading2"/>
      </w:pPr>
      <w:r>
        <w:t>Knowledge-base extraction goals</w:t>
      </w:r>
    </w:p>
    <w:p>
      <w:pPr>
        <w:pStyle w:val="ListBullet"/>
      </w:pPr>
      <w:r>
        <w:t>Confirm whether a BN is needed.</w:t>
      </w:r>
    </w:p>
    <w:p>
      <w:pPr>
        <w:pStyle w:val="ListBullet"/>
      </w:pPr>
      <w:r>
        <w:t>Gather owner, address, activity, and program-account information.</w:t>
      </w:r>
    </w:p>
    <w:p>
      <w:pPr>
        <w:pStyle w:val="ListBullet"/>
      </w:pPr>
      <w:r>
        <w:t>Use Business Registration Online where eligible.</w:t>
      </w:r>
    </w:p>
    <w:p>
      <w:pPr>
        <w:pStyle w:val="ListBullet"/>
      </w:pPr>
      <w:r>
        <w:t>Save the BN and account identifiers during the online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NoeticWeave Example</dc:creator>
  <cp:keywords/>
  <dc:description/>
  <cp:lastModifiedBy>NoeticWeave Example</cp:lastModifiedBy>
  <cp:revision>1</cp:revision>
  <dcterms:created xsi:type="dcterms:W3CDTF">2013-12-23T23:15:00Z</dcterms:created>
  <dcterms:modified xsi:type="dcterms:W3CDTF">2013-12-23T23:15:00Z</dcterms:modified>
  <cp:category/>
</cp:coreProperties>
</file>