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GST HST Registration Readiness</w:t>
      </w:r>
    </w:p>
    <w:p>
      <w:r>
        <w:t>This generated fixture summarizes GST/HST registration readiness for testing Vaultwright mirrors. It is not official tax advice.</w:t>
      </w:r>
    </w:p>
    <w:p>
      <w:r>
        <w:t>A business that makes taxable supplies in Canada may need to register for GST/HST when it exceeds the small supplier threshold. Some activities, such as taxi or commercial ride-sharing, may require registration even below that threshold.</w:t>
      </w:r>
    </w:p>
    <w:p>
      <w:r>
        <w:t>A useful knowledge base should separate registration triggers, information to gather, online registration steps, and responsibilities that begin after registration.</w:t>
      </w:r>
    </w:p>
    <w:p>
      <w:r>
        <w:t>Official source references: https://www.canada.ca/en/revenue-agency/services/tax/businesses/topics/gst-hst-businesses/gst-hst-account/register-account.html and https://www.canada.ca/en/revenue-agency/news/cra-multimedia-library/businesses-video-gallery/transcript-gst-hst-registration.html</w:t>
      </w:r>
    </w:p>
    <w:p>
      <w:pPr>
        <w:pStyle w:val="Heading2"/>
      </w:pPr>
      <w:r>
        <w:t>Knowledge-base extraction goals</w:t>
      </w:r>
    </w:p>
    <w:p>
      <w:pPr>
        <w:pStyle w:val="ListBullet"/>
      </w:pPr>
      <w:r>
        <w:t>Review taxable supplies and small supplier status.</w:t>
      </w:r>
    </w:p>
    <w:p>
      <w:pPr>
        <w:pStyle w:val="ListBullet"/>
      </w:pPr>
      <w:r>
        <w:t>Gather effective date, fiscal year, business activity, owner, and address details.</w:t>
      </w:r>
    </w:p>
    <w:p>
      <w:pPr>
        <w:pStyle w:val="ListBullet"/>
      </w:pPr>
      <w:r>
        <w:t>Register online through BRO where eligible.</w:t>
      </w:r>
    </w:p>
    <w:p>
      <w:pPr>
        <w:pStyle w:val="ListBullet"/>
      </w:pPr>
      <w:r>
        <w:t>Plan for charging, collecting, filing, remitting, and input tax credit records.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NoeticWeave Example</dc:creator>
  <cp:keywords/>
  <dc:description/>
  <cp:lastModifiedBy>NoeticWeave Example</cp:lastModifiedBy>
  <cp:revision>1</cp:revision>
  <dcterms:created xsi:type="dcterms:W3CDTF">2013-12-23T23:15:00Z</dcterms:created>
  <dcterms:modified xsi:type="dcterms:W3CDTF">2013-12-23T23:15:00Z</dcterms:modified>
  <cp:category/>
</cp:coreProperties>
</file>