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color w:val="1976A3"/>
          <w:sz w:val="18"/>
        </w:rPr>
        <w:t>PROJECT CHARTER</w:t>
      </w:r>
    </w:p>
    <w:p>
      <w:pPr>
        <w:pStyle w:val="Title"/>
        <w:spacing w:after="180"/>
        <w:pBdr>
          <w:bottom w:val="single" w:sz="12" w:color="1976A3"/>
        </w:pBdr>
      </w:pPr>
      <w:r>
        <w:t>Ontario Grid Evidence Workspace</w:t>
      </w:r>
    </w:p>
    <w:p>
      <w:pPr>
        <w:spacing w:after="200"/>
      </w:pPr>
      <w:r>
        <w:rPr>
          <w:color w:val="66788A"/>
          <w:sz w:val="24"/>
        </w:rPr>
        <w:t>A traceable public demonstration of how original artifacts, generated mirrors, curated knowledge, and agent context work together.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c>
          <w:tcPr>
            <w:tcW w:type="dxa" w:w="5040"/>
            <w:shd w:fill="1976A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5040"/>
            <w:shd w:fill="E8F4FA"/>
            <w:vAlign w:val="center"/>
          </w:tcPr>
          <w:p>
            <w:r/>
            <w:r>
              <w:rPr>
                <w:rFonts w:ascii="Aptos" w:hAnsi="Aptos"/>
                <w:b/>
                <w:color w:val="243B53"/>
                <w:sz w:val="19"/>
              </w:rPr>
              <w:t>A 50+ file clean-room workspace that can be verified without copying private project material or restricted source bodies.</w:t>
            </w:r>
          </w:p>
        </w:tc>
      </w:tr>
    </w:tbl>
    <w:p>
      <w:pPr>
        <w:spacing w:after="20"/>
      </w:pPr>
    </w:p>
    <w:p>
      <w:pPr>
        <w:pStyle w:val="Heading1"/>
      </w:pPr>
      <w:r>
        <w:t>Purpose</w:t>
      </w:r>
    </w:p>
    <w:p>
      <w:r>
        <w:t>The demonstration uses Ontario electricity as a stakeholder-relevant domain while the underlying data-product profile stays reusable across industries. It illustrates evidence relationships, not a live operational service.</w:t>
      </w:r>
    </w:p>
    <w:p>
      <w:pPr>
        <w:pStyle w:val="Heading2"/>
      </w:pPr>
      <w:r>
        <w:t>Success measures</w:t>
      </w:r>
    </w:p>
    <w:p>
      <w:pPr>
        <w:pStyle w:val="ListBullet"/>
        <w:spacing w:after="60"/>
      </w:pPr>
      <w:r>
        <w:t>Every public source has an explicit license or reference-only boundary.</w:t>
      </w:r>
    </w:p>
    <w:p>
      <w:pPr>
        <w:pStyle w:val="ListBullet"/>
        <w:spacing w:after="60"/>
      </w:pPr>
      <w:r>
        <w:t>Office, PDF, and code sources generate readable markdown mirrors without changing originals.</w:t>
      </w:r>
    </w:p>
    <w:p>
      <w:pPr>
        <w:pStyle w:val="ListBullet"/>
        <w:spacing w:after="60"/>
      </w:pPr>
      <w:r>
        <w:t>Curated findings link back to contracts, sources, mirrors, decisions, and runbooks.</w:t>
      </w:r>
    </w:p>
    <w:p>
      <w:pPr>
        <w:pStyle w:val="ListBullet"/>
        <w:spacing w:after="60"/>
      </w:pPr>
      <w:r>
        <w:t>A failing synthetic model gate remains visible and prevents publication.</w:t>
      </w:r>
    </w:p>
    <w:p>
      <w:pPr>
        <w:pStyle w:val="ListBullet"/>
        <w:spacing w:after="60"/>
      </w:pPr>
      <w:r>
        <w:t>The Catalog Explorer makes original-to-mirror lineage obvious to people and agents.</w:t>
      </w:r>
    </w:p>
    <w:p>
      <w:r>
        <w:br w:type="page"/>
      </w:r>
    </w:p>
    <w:p>
      <w:pPr>
        <w:pStyle w:val="Heading1"/>
      </w:pPr>
      <w:r>
        <w:t>Scope and exclusions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040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In scope</w:t>
            </w:r>
          </w:p>
        </w:tc>
        <w:tc>
          <w:tcPr>
            <w:tcW w:type="dxa" w:w="5040"/>
            <w:shd w:fill="102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Explicitly out of scope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OGL-Ontario CSV snapshots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GuildBuild OntarioGrid code, documents, or private evidence</w:t>
            </w:r>
          </w:p>
        </w:tc>
      </w:tr>
      <w:tr>
        <w:tc>
          <w:tcPr>
            <w:tcW w:type="dxa" w:w="5112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Independently authored Office and PDF artifacts</w:t>
            </w:r>
          </w:p>
        </w:tc>
        <w:tc>
          <w:tcPr>
            <w:tcW w:type="dxa" w:w="5112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IESO report bodies, tables, maps, or downloaded datasets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Synthetic pipeline and model fixtures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Live forecasts, alerts, planning claims, or reliability conclusions</w:t>
            </w:r>
          </w:p>
        </w:tc>
      </w:tr>
      <w:tr>
        <w:tc>
          <w:tcPr>
            <w:tcW w:type="dxa" w:w="5112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Metadata-only external source references</w:t>
            </w:r>
          </w:p>
        </w:tc>
        <w:tc>
          <w:tcPr>
            <w:tcW w:type="dxa" w:w="5112"/>
            <w:vAlign w:val="center"/>
            <w:shd w:fill="F4F8FB"/>
          </w:tcPr>
          <w:p>
            <w:r/>
            <w:r>
              <w:rPr>
                <w:rFonts w:ascii="Aptos" w:hAnsi="Aptos"/>
                <w:b w:val="0"/>
                <w:color w:val="243B53"/>
                <w:sz w:val="19"/>
              </w:rPr>
              <w:t>Production deployment or stakeholder publication</w:t>
            </w:r>
          </w:p>
        </w:tc>
      </w:tr>
    </w:tbl>
    <w:p/>
    <w:p>
      <w:pPr>
        <w:pStyle w:val="Heading2"/>
      </w:pPr>
      <w:r>
        <w:t>Evidence flow</w:t>
      </w:r>
    </w:p>
    <w:p>
      <w:r>
        <w:t>Original source -&gt; deterministic markdown mirror -&gt; curated interpretation -&gt; contract, finding, model gate, output, control, or runbook. Source and mirror text are always treated as untrusted evidence rather than instructions.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c>
          <w:tcPr>
            <w:tcW w:type="dxa" w:w="5040"/>
            <w:shd w:fill="1976A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5040"/>
            <w:shd w:fill="E8F4FA"/>
            <w:vAlign w:val="center"/>
          </w:tcPr>
          <w:p>
            <w:r/>
            <w:r>
              <w:rPr>
                <w:rFonts w:ascii="Aptos" w:hAnsi="Aptos"/>
                <w:b/>
                <w:color w:val="243B53"/>
                <w:sz w:val="19"/>
              </w:rPr>
              <w:t>Demonstration-ready when functional, no-data, rendering, and visual gates all pass.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788A"/>
        <w:sz w:val="16"/>
      </w:rPr>
      <w:t>MirrorArc Example  |  Clean-room public corpus  |  2026-07-19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pBdr>
        <w:bottom w:val="single" w:sz="6" w:color="CFD9E2"/>
      </w:pBdr>
    </w:pPr>
    <w:r>
      <w:rPr>
        <w:rFonts w:ascii="Aptos" w:hAnsi="Aptos"/>
        <w:b/>
        <w:color w:val="1976A3"/>
        <w:sz w:val="16"/>
      </w:rPr>
      <w:t>MIRRORARC  /  ONTARIO GRID EVIDENCE WORKSPACE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B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976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MirrorArc Example</dc:title>
  <dc:subject/>
  <dc:creator>MirrorArc</dc:creator>
  <cp:keywords/>
  <dc:description/>
  <cp:lastModifiedBy>MirrorArc</cp:lastModifiedBy>
  <cp:revision>1</cp:revision>
  <dcterms:created xsi:type="dcterms:W3CDTF">2013-12-23T23:15:00Z</dcterms:created>
  <dcterms:modified xsi:type="dcterms:W3CDTF">2013-12-23T23:15:00Z</dcterms:modified>
  <cp:category/>
</cp:coreProperties>
</file>