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976A3"/>
          <w:sz w:val="18"/>
        </w:rPr>
        <w:t>EVIDENCE AND LICENSING BRIEF</w:t>
      </w:r>
    </w:p>
    <w:p>
      <w:pPr>
        <w:pStyle w:val="Title"/>
        <w:spacing w:after="180"/>
        <w:pBdr>
          <w:bottom w:val="single" w:sz="12" w:color="1976A3"/>
        </w:pBdr>
      </w:pPr>
      <w:r>
        <w:t>Public Source Assessment</w:t>
      </w:r>
    </w:p>
    <w:p>
      <w:pPr>
        <w:spacing w:after="200"/>
      </w:pPr>
      <w:r>
        <w:rPr>
          <w:color w:val="66788A"/>
          <w:sz w:val="24"/>
        </w:rPr>
        <w:t>A source-by-source decision record for what may be committed, what stays metadata-only, and what must remain private.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Committed bodies are limited to OGL-Ontario, independently authored, and synthetic material.</w:t>
            </w:r>
          </w:p>
        </w:tc>
      </w:tr>
    </w:tbl>
    <w:p>
      <w:pPr>
        <w:spacing w:after="20"/>
      </w:pPr>
    </w:p>
    <w:p>
      <w:pPr>
        <w:pStyle w:val="Heading1"/>
      </w:pPr>
      <w:r>
        <w:t>Assessment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2088"/>
        <w:gridCol w:w="4896"/>
      </w:tblGrid>
      <w:tr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Source family</w:t>
            </w:r>
          </w:p>
        </w:tc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36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Ontario Energy Report supporting data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Commit selected snapshot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Catalogue metadata identifies OGL-Ontario; preserve filenames and attribution.</w:t>
            </w:r>
          </w:p>
        </w:tc>
      </w:tr>
      <w:tr>
        <w:tc>
          <w:tcPr>
            <w:tcW w:type="dxa" w:w="324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Ontario Energy Board open data</w:t>
            </w:r>
          </w:p>
        </w:tc>
        <w:tc>
          <w:tcPr>
            <w:tcW w:type="dxa" w:w="2088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Metadata-only candidate</w:t>
            </w:r>
          </w:p>
        </w:tc>
        <w:tc>
          <w:tcPr>
            <w:tcW w:type="dxa" w:w="489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Verify each dataset's current metadata before inclusion.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IESO website resources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Reference only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Website terms are not treated as a permissive redistribution license.</w:t>
            </w:r>
          </w:p>
        </w:tc>
      </w:tr>
      <w:tr>
        <w:tc>
          <w:tcPr>
            <w:tcW w:type="dxa" w:w="324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GuildBuild OntarioGrid implementation</w:t>
            </w:r>
          </w:p>
        </w:tc>
        <w:tc>
          <w:tcPr>
            <w:tcW w:type="dxa" w:w="2088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Exclude</w:t>
            </w:r>
          </w:p>
        </w:tc>
        <w:tc>
          <w:tcPr>
            <w:tcW w:type="dxa" w:w="4896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Private project topology and code are outside this personal public example.</w:t>
            </w:r>
          </w:p>
        </w:tc>
      </w:tr>
    </w:tbl>
    <w:p/>
    <w:p>
      <w:pPr>
        <w:pStyle w:val="Heading2"/>
      </w:pPr>
      <w:r>
        <w:t>Verification questions</w:t>
      </w:r>
    </w:p>
    <w:p>
      <w:pPr>
        <w:pStyle w:val="ListBullet"/>
        <w:spacing w:after="60"/>
      </w:pPr>
      <w:r>
        <w:t>Is the authority and exact resource URL recorded?</w:t>
      </w:r>
    </w:p>
    <w:p>
      <w:pPr>
        <w:pStyle w:val="ListBullet"/>
        <w:spacing w:after="60"/>
      </w:pPr>
      <w:r>
        <w:t>Does the license permit copying, modification, publication, and distribution?</w:t>
      </w:r>
    </w:p>
    <w:p>
      <w:pPr>
        <w:pStyle w:val="ListBullet"/>
        <w:spacing w:after="60"/>
      </w:pPr>
      <w:r>
        <w:t>Are attribution and non-endorsement obligations visible?</w:t>
      </w:r>
    </w:p>
    <w:p>
      <w:pPr>
        <w:pStyle w:val="ListBullet"/>
        <w:spacing w:after="60"/>
      </w:pPr>
      <w:r>
        <w:t>Would a copied body reveal private, proprietary, or operational information?</w:t>
      </w:r>
    </w:p>
    <w:p>
      <w:pPr>
        <w:pStyle w:val="ListBullet"/>
        <w:spacing w:after="60"/>
      </w:pPr>
      <w:r>
        <w:t>Can metadata-only linking satisfy the demonstration need?</w:t>
      </w:r>
    </w:p>
    <w:p>
      <w:r>
        <w:br w:type="page"/>
      </w:r>
    </w:p>
    <w:p>
      <w:pPr>
        <w:pStyle w:val="Heading1"/>
      </w:pPr>
      <w:r>
        <w:t>Committed OGL subset</w:t>
      </w:r>
    </w:p>
    <w:p>
      <w:r>
        <w:t>The selected 2023 snapshot covers annual and monthly demand, peaks, generation mix, imports, exports, and electricity emissions. English source-note files are retained beside their matching CSVs where supplied.</w:t>
      </w:r>
    </w:p>
    <w:p>
      <w:pPr>
        <w:pStyle w:val="Heading2"/>
      </w:pPr>
      <w:r>
        <w:t>Use in the workspace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760"/>
      </w:tblGrid>
      <w:tr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Curated consumer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Annual demand CSV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Annual demand contract and 2023 annual demand finding</w:t>
            </w:r>
          </w:p>
        </w:tc>
      </w:tr>
      <w:tr>
        <w:tc>
          <w:tcPr>
            <w:tcW w:type="dxa" w:w="446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Monthly demand CSV</w:t>
            </w:r>
          </w:p>
        </w:tc>
        <w:tc>
          <w:tcPr>
            <w:tcW w:type="dxa" w:w="576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Monthly demand range contract and peak finding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Generation tables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Generation output contract and mix finding</w:t>
            </w:r>
          </w:p>
        </w:tc>
      </w:tr>
      <w:tr>
        <w:tc>
          <w:tcPr>
            <w:tcW w:type="dxa" w:w="446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Import/export tables</w:t>
            </w:r>
          </w:p>
        </w:tc>
        <w:tc>
          <w:tcPr>
            <w:tcW w:type="dxa" w:w="576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Intertie flow contract and trade-flow finding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Emissions tables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Emissions contract and historical finding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Recheck source metadata, terms, schema, and downstream conclusions before any snapshot refresh.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88A"/>
        <w:sz w:val="16"/>
      </w:rPr>
      <w:t>MirrorArc Example  |  Clean-room public corpus  | 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6" w:color="CFD9E2"/>
      </w:pBdr>
    </w:pPr>
    <w:r>
      <w:rPr>
        <w:rFonts w:ascii="Aptos" w:hAnsi="Aptos"/>
        <w:b/>
        <w:color w:val="1976A3"/>
        <w:sz w:val="16"/>
      </w:rPr>
      <w:t>MIRRORARC  /  ONTARIO GRID EVIDENCE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MirrorArc Example</dc:title>
  <dc:subject/>
  <dc:creator>MirrorArc</dc:creator>
  <cp:keywords/>
  <dc:description/>
  <cp:lastModifiedBy>MirrorArc</cp:lastModifiedBy>
  <cp:revision>1</cp:revision>
  <dcterms:created xsi:type="dcterms:W3CDTF">2013-12-23T23:15:00Z</dcterms:created>
  <dcterms:modified xsi:type="dcterms:W3CDTF">2013-12-23T23:15:00Z</dcterms:modified>
  <cp:category/>
</cp:coreProperties>
</file>