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100"/>
      </w:pPr>
      <w:r>
        <w:rPr>
          <w:rFonts w:ascii="Aptos" w:hAnsi="Aptos"/>
          <w:b/>
          <w:color w:val="1976A3"/>
          <w:sz w:val="18"/>
        </w:rPr>
        <w:t>CONTROL DESIGN</w:t>
      </w:r>
    </w:p>
    <w:p>
      <w:pPr>
        <w:pStyle w:val="Title"/>
        <w:spacing w:after="180"/>
        <w:pBdr>
          <w:bottom w:val="single" w:sz="12" w:color="1976A3"/>
        </w:pBdr>
      </w:pPr>
      <w:r>
        <w:t>Clean-room Corpus Governance Memo</w:t>
      </w:r>
    </w:p>
    <w:p>
      <w:pPr>
        <w:spacing w:after="200"/>
      </w:pPr>
      <w:r>
        <w:rPr>
          <w:color w:val="66788A"/>
          <w:sz w:val="24"/>
        </w:rPr>
        <w:t>Controls that keep a public evidence workspace useful, reproducible, and separate from private OntarioGrid project work.</w:t>
      </w:r>
    </w:p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1944"/>
        <w:gridCol w:w="8280"/>
      </w:tblGrid>
      <w:tr>
        <w:tc>
          <w:tcPr>
            <w:tcW w:type="dxa" w:w="5040"/>
            <w:shd w:fill="1976A3"/>
            <w:vAlign w:val="center"/>
          </w:tcPr>
          <w:p>
            <w:r/>
            <w:r>
              <w:rPr>
                <w:rFonts w:ascii="Aptos" w:hAnsi="Aptos"/>
                <w:b/>
                <w:color w:val="FFFFFF"/>
                <w:sz w:val="19"/>
              </w:rPr>
              <w:t>DECISION</w:t>
            </w:r>
          </w:p>
        </w:tc>
        <w:tc>
          <w:tcPr>
            <w:tcW w:type="dxa" w:w="5040"/>
            <w:shd w:fill="E8F4FA"/>
            <w:vAlign w:val="center"/>
          </w:tcPr>
          <w:p>
            <w:r/>
            <w:r>
              <w:rPr>
                <w:rFonts w:ascii="Aptos" w:hAnsi="Aptos"/>
                <w:b/>
                <w:color w:val="243B53"/>
                <w:sz w:val="19"/>
              </w:rPr>
              <w:t>Use public licensed sources and synthetic fixtures; connect private project context only through an ignored local overlay.</w:t>
            </w:r>
          </w:p>
        </w:tc>
      </w:tr>
    </w:tbl>
    <w:p>
      <w:pPr>
        <w:spacing w:after="20"/>
      </w:pPr>
    </w:p>
    <w:p>
      <w:pPr>
        <w:pStyle w:val="Heading1"/>
      </w:pPr>
      <w:r>
        <w:t>Control objectives</w:t>
      </w:r>
    </w:p>
    <w:tbl>
      <w:tblPr>
        <w:tblStyle w:val="TableGrid"/>
        <w:tblW w:type="auto" w:w="0"/>
        <w:tblLayout w:type="fixed"/>
        <w:tblLook w:firstColumn="1" w:firstRow="1" w:lastColumn="0" w:lastRow="0" w:noHBand="0" w:noVBand="1" w:val="04A0"/>
      </w:tblPr>
      <w:tblGrid>
        <w:gridCol w:w="3024"/>
        <w:gridCol w:w="7200"/>
      </w:tblGrid>
      <w:tr>
        <w:tc>
          <w:tcPr>
            <w:tcW w:type="dxa" w:w="5040"/>
            <w:shd w:fill="102A43"/>
            <w:vAlign w:val="center"/>
          </w:tcPr>
          <w:p>
            <w:r/>
            <w:r>
              <w:rPr>
                <w:rFonts w:ascii="Aptos" w:hAnsi="Aptos"/>
                <w:b/>
                <w:color w:val="FFFFFF"/>
                <w:sz w:val="19"/>
              </w:rPr>
              <w:t>Objective</w:t>
            </w:r>
          </w:p>
        </w:tc>
        <w:tc>
          <w:tcPr>
            <w:tcW w:type="dxa" w:w="5040"/>
            <w:shd w:fill="102A43"/>
            <w:vAlign w:val="center"/>
          </w:tcPr>
          <w:p>
            <w:r/>
            <w:r>
              <w:rPr>
                <w:rFonts w:ascii="Aptos" w:hAnsi="Aptos"/>
                <w:b/>
                <w:color w:val="FFFFFF"/>
                <w:sz w:val="19"/>
              </w:rPr>
              <w:t>Control evidence</w:t>
            </w:r>
          </w:p>
        </w:tc>
      </w:tr>
      <w:tr>
        <w:tc>
          <w:tcPr>
            <w:tcW w:type="dxa" w:w="3024"/>
            <w:vAlign w:val="center"/>
          </w:tcPr>
          <w:p>
            <w:r/>
            <w:r>
              <w:rPr>
                <w:rFonts w:ascii="Aptos" w:hAnsi="Aptos"/>
                <w:b w:val="0"/>
                <w:color w:val="243B53"/>
                <w:sz w:val="19"/>
              </w:rPr>
              <w:t>License clarity</w:t>
            </w:r>
          </w:p>
        </w:tc>
        <w:tc>
          <w:tcPr>
            <w:tcW w:type="dxa" w:w="7200"/>
            <w:vAlign w:val="center"/>
          </w:tcPr>
          <w:p>
            <w:r/>
            <w:r>
              <w:rPr>
                <w:rFonts w:ascii="Aptos" w:hAnsi="Aptos"/>
                <w:b w:val="0"/>
                <w:color w:val="243B53"/>
                <w:sz w:val="19"/>
              </w:rPr>
              <w:t>Exact paths, URLs, resource hashes, license status, and attribution in DATA_PROVENANCE.md</w:t>
            </w:r>
          </w:p>
        </w:tc>
      </w:tr>
      <w:tr>
        <w:tc>
          <w:tcPr>
            <w:tcW w:type="dxa" w:w="3024"/>
            <w:vAlign w:val="center"/>
            <w:shd w:fill="F4F8FB"/>
          </w:tcPr>
          <w:p>
            <w:r/>
            <w:r>
              <w:rPr>
                <w:rFonts w:ascii="Aptos" w:hAnsi="Aptos"/>
                <w:b w:val="0"/>
                <w:color w:val="243B53"/>
                <w:sz w:val="19"/>
              </w:rPr>
              <w:t>Private-data exclusion</w:t>
            </w:r>
          </w:p>
        </w:tc>
        <w:tc>
          <w:tcPr>
            <w:tcW w:type="dxa" w:w="7200"/>
            <w:vAlign w:val="center"/>
            <w:shd w:fill="F4F8FB"/>
          </w:tcPr>
          <w:p>
            <w:r/>
            <w:r>
              <w:rPr>
                <w:rFonts w:ascii="Aptos" w:hAnsi="Aptos"/>
                <w:b w:val="0"/>
                <w:color w:val="243B53"/>
                <w:sz w:val="19"/>
              </w:rPr>
              <w:t>No-data scan, ignored overlay, independent review of binary metadata</w:t>
            </w:r>
          </w:p>
        </w:tc>
      </w:tr>
      <w:tr>
        <w:tc>
          <w:tcPr>
            <w:tcW w:type="dxa" w:w="3024"/>
            <w:vAlign w:val="center"/>
          </w:tcPr>
          <w:p>
            <w:r/>
            <w:r>
              <w:rPr>
                <w:rFonts w:ascii="Aptos" w:hAnsi="Aptos"/>
                <w:b w:val="0"/>
                <w:color w:val="243B53"/>
                <w:sz w:val="19"/>
              </w:rPr>
              <w:t>Source preservation</w:t>
            </w:r>
          </w:p>
        </w:tc>
        <w:tc>
          <w:tcPr>
            <w:tcW w:type="dxa" w:w="7200"/>
            <w:vAlign w:val="center"/>
          </w:tcPr>
          <w:p>
            <w:r/>
            <w:r>
              <w:rPr>
                <w:rFonts w:ascii="Aptos" w:hAnsi="Aptos"/>
                <w:b w:val="0"/>
                <w:color w:val="243B53"/>
                <w:sz w:val="19"/>
              </w:rPr>
              <w:t>Content hashes, manifests, machine-owned mirror regions</w:t>
            </w:r>
          </w:p>
        </w:tc>
      </w:tr>
      <w:tr>
        <w:tc>
          <w:tcPr>
            <w:tcW w:type="dxa" w:w="3024"/>
            <w:vAlign w:val="center"/>
            <w:shd w:fill="F4F8FB"/>
          </w:tcPr>
          <w:p>
            <w:r/>
            <w:r>
              <w:rPr>
                <w:rFonts w:ascii="Aptos" w:hAnsi="Aptos"/>
                <w:b w:val="0"/>
                <w:color w:val="243B53"/>
                <w:sz w:val="19"/>
              </w:rPr>
              <w:t>Agent safety</w:t>
            </w:r>
          </w:p>
        </w:tc>
        <w:tc>
          <w:tcPr>
            <w:tcW w:type="dxa" w:w="7200"/>
            <w:vAlign w:val="center"/>
            <w:shd w:fill="F4F8FB"/>
          </w:tcPr>
          <w:p>
            <w:r/>
            <w:r>
              <w:rPr>
                <w:rFonts w:ascii="Aptos" w:hAnsi="Aptos"/>
                <w:b w:val="0"/>
                <w:color w:val="243B53"/>
                <w:sz w:val="19"/>
              </w:rPr>
              <w:t>Shared agent rules and untrusted-source treatment</w:t>
            </w:r>
          </w:p>
        </w:tc>
      </w:tr>
      <w:tr>
        <w:tc>
          <w:tcPr>
            <w:tcW w:type="dxa" w:w="3024"/>
            <w:vAlign w:val="center"/>
          </w:tcPr>
          <w:p>
            <w:r/>
            <w:r>
              <w:rPr>
                <w:rFonts w:ascii="Aptos" w:hAnsi="Aptos"/>
                <w:b w:val="0"/>
                <w:color w:val="243B53"/>
                <w:sz w:val="19"/>
              </w:rPr>
              <w:t>Publication restraint</w:t>
            </w:r>
          </w:p>
        </w:tc>
        <w:tc>
          <w:tcPr>
            <w:tcW w:type="dxa" w:w="7200"/>
            <w:vAlign w:val="center"/>
          </w:tcPr>
          <w:p>
            <w:r/>
            <w:r>
              <w:rPr>
                <w:rFonts w:ascii="Aptos" w:hAnsi="Aptos"/>
                <w:b w:val="0"/>
                <w:color w:val="243B53"/>
                <w:sz w:val="19"/>
              </w:rPr>
              <w:t>Synthetic model gate fails closed at MAPE above 5%</w:t>
            </w:r>
          </w:p>
        </w:tc>
      </w:tr>
    </w:tbl>
    <w:p/>
    <w:p>
      <w:pPr>
        <w:pStyle w:val="Heading2"/>
      </w:pPr>
      <w:r>
        <w:t>Operator approvals</w:t>
      </w:r>
    </w:p>
    <w:p>
      <w:pPr>
        <w:pStyle w:val="ListBullet"/>
        <w:spacing w:after="60"/>
      </w:pPr>
      <w:r>
        <w:t>Refreshing or replacing committed public source snapshots.</w:t>
      </w:r>
    </w:p>
    <w:p>
      <w:pPr>
        <w:pStyle w:val="ListBullet"/>
        <w:spacing w:after="60"/>
      </w:pPr>
      <w:r>
        <w:t>Introducing a new source license or redistribution interpretation.</w:t>
      </w:r>
    </w:p>
    <w:p>
      <w:pPr>
        <w:pStyle w:val="ListBullet"/>
        <w:spacing w:after="60"/>
      </w:pPr>
      <w:r>
        <w:t>Publishing model-derived claims, alerts, probabilities, or operational recommendations.</w:t>
      </w:r>
    </w:p>
    <w:p>
      <w:pPr>
        <w:pStyle w:val="ListBullet"/>
        <w:spacing w:after="60"/>
      </w:pPr>
      <w:r>
        <w:t>Connecting a private overlay to a public output.</w:t>
      </w:r>
    </w:p>
    <w:p>
      <w:r>
        <w:br w:type="page"/>
      </w:r>
    </w:p>
    <w:p>
      <w:pPr>
        <w:pStyle w:val="Heading1"/>
      </w:pPr>
      <w:r>
        <w:t>Failure modes and response</w:t>
      </w:r>
    </w:p>
    <w:tbl>
      <w:tblPr>
        <w:tblStyle w:val="TableGrid"/>
        <w:tblW w:type="auto" w:w="0"/>
        <w:tblLayout w:type="fixed"/>
        <w:tblLook w:firstColumn="1" w:firstRow="1" w:lastColumn="0" w:lastRow="0" w:noHBand="0" w:noVBand="1" w:val="04A0"/>
      </w:tblPr>
      <w:tblGrid>
        <w:gridCol w:w="3384"/>
        <w:gridCol w:w="6840"/>
      </w:tblGrid>
      <w:tr>
        <w:tc>
          <w:tcPr>
            <w:tcW w:type="dxa" w:w="5040"/>
            <w:shd w:fill="102A43"/>
            <w:vAlign w:val="center"/>
          </w:tcPr>
          <w:p>
            <w:r/>
            <w:r>
              <w:rPr>
                <w:rFonts w:ascii="Aptos" w:hAnsi="Aptos"/>
                <w:b/>
                <w:color w:val="FFFFFF"/>
                <w:sz w:val="19"/>
              </w:rPr>
              <w:t>Signal</w:t>
            </w:r>
          </w:p>
        </w:tc>
        <w:tc>
          <w:tcPr>
            <w:tcW w:type="dxa" w:w="5040"/>
            <w:shd w:fill="102A43"/>
            <w:vAlign w:val="center"/>
          </w:tcPr>
          <w:p>
            <w:r/>
            <w:r>
              <w:rPr>
                <w:rFonts w:ascii="Aptos" w:hAnsi="Aptos"/>
                <w:b/>
                <w:color w:val="FFFFFF"/>
                <w:sz w:val="19"/>
              </w:rPr>
              <w:t>Response</w:t>
            </w:r>
          </w:p>
        </w:tc>
      </w:tr>
      <w:tr>
        <w:tc>
          <w:tcPr>
            <w:tcW w:type="dxa" w:w="3384"/>
            <w:vAlign w:val="center"/>
          </w:tcPr>
          <w:p>
            <w:r/>
            <w:r>
              <w:rPr>
                <w:rFonts w:ascii="Aptos" w:hAnsi="Aptos"/>
                <w:b w:val="0"/>
                <w:color w:val="243B53"/>
                <w:sz w:val="19"/>
              </w:rPr>
              <w:t>Terms or metadata changed</w:t>
            </w:r>
          </w:p>
        </w:tc>
        <w:tc>
          <w:tcPr>
            <w:tcW w:type="dxa" w:w="6840"/>
            <w:vAlign w:val="center"/>
          </w:tcPr>
          <w:p>
            <w:r/>
            <w:r>
              <w:rPr>
                <w:rFonts w:ascii="Aptos" w:hAnsi="Aptos"/>
                <w:b w:val="0"/>
                <w:color w:val="243B53"/>
                <w:sz w:val="19"/>
              </w:rPr>
              <w:t>Freeze refresh; verify authorization and update provenance.</w:t>
            </w:r>
          </w:p>
        </w:tc>
      </w:tr>
      <w:tr>
        <w:tc>
          <w:tcPr>
            <w:tcW w:type="dxa" w:w="3384"/>
            <w:vAlign w:val="center"/>
            <w:shd w:fill="F4F8FB"/>
          </w:tcPr>
          <w:p>
            <w:r/>
            <w:r>
              <w:rPr>
                <w:rFonts w:ascii="Aptos" w:hAnsi="Aptos"/>
                <w:b w:val="0"/>
                <w:color w:val="243B53"/>
                <w:sz w:val="19"/>
              </w:rPr>
              <w:t>Generated mirror edited</w:t>
            </w:r>
          </w:p>
        </w:tc>
        <w:tc>
          <w:tcPr>
            <w:tcW w:type="dxa" w:w="6840"/>
            <w:vAlign w:val="center"/>
            <w:shd w:fill="F4F8FB"/>
          </w:tcPr>
          <w:p>
            <w:r/>
            <w:r>
              <w:rPr>
                <w:rFonts w:ascii="Aptos" w:hAnsi="Aptos"/>
                <w:b w:val="0"/>
                <w:color w:val="243B53"/>
                <w:sz w:val="19"/>
              </w:rPr>
              <w:t>Preserve human context in a curated note or sidecar; regenerate from source.</w:t>
            </w:r>
          </w:p>
        </w:tc>
      </w:tr>
      <w:tr>
        <w:tc>
          <w:tcPr>
            <w:tcW w:type="dxa" w:w="3384"/>
            <w:vAlign w:val="center"/>
          </w:tcPr>
          <w:p>
            <w:r/>
            <w:r>
              <w:rPr>
                <w:rFonts w:ascii="Aptos" w:hAnsi="Aptos"/>
                <w:b w:val="0"/>
                <w:color w:val="243B53"/>
                <w:sz w:val="19"/>
              </w:rPr>
              <w:t>Source schema changed</w:t>
            </w:r>
          </w:p>
        </w:tc>
        <w:tc>
          <w:tcPr>
            <w:tcW w:type="dxa" w:w="6840"/>
            <w:vAlign w:val="center"/>
          </w:tcPr>
          <w:p>
            <w:r/>
            <w:r>
              <w:rPr>
                <w:rFonts w:ascii="Aptos" w:hAnsi="Aptos"/>
                <w:b w:val="0"/>
                <w:color w:val="243B53"/>
                <w:sz w:val="19"/>
              </w:rPr>
              <w:t>Fail the contract, review the parser, and reassess downstream findings.</w:t>
            </w:r>
          </w:p>
        </w:tc>
      </w:tr>
      <w:tr>
        <w:tc>
          <w:tcPr>
            <w:tcW w:type="dxa" w:w="3384"/>
            <w:vAlign w:val="center"/>
            <w:shd w:fill="F4F8FB"/>
          </w:tcPr>
          <w:p>
            <w:r/>
            <w:r>
              <w:rPr>
                <w:rFonts w:ascii="Aptos" w:hAnsi="Aptos"/>
                <w:b w:val="0"/>
                <w:color w:val="243B53"/>
                <w:sz w:val="19"/>
              </w:rPr>
              <w:t>Model misses gate</w:t>
            </w:r>
          </w:p>
        </w:tc>
        <w:tc>
          <w:tcPr>
            <w:tcW w:type="dxa" w:w="6840"/>
            <w:vAlign w:val="center"/>
            <w:shd w:fill="F4F8FB"/>
          </w:tcPr>
          <w:p>
            <w:r/>
            <w:r>
              <w:rPr>
                <w:rFonts w:ascii="Aptos" w:hAnsi="Aptos"/>
                <w:b w:val="0"/>
                <w:color w:val="243B53"/>
                <w:sz w:val="19"/>
              </w:rPr>
              <w:t>Retain evaluation evidence and keep publication suppressed.</w:t>
            </w:r>
          </w:p>
        </w:tc>
      </w:tr>
      <w:tr>
        <w:tc>
          <w:tcPr>
            <w:tcW w:type="dxa" w:w="3384"/>
            <w:vAlign w:val="center"/>
          </w:tcPr>
          <w:p>
            <w:r/>
            <w:r>
              <w:rPr>
                <w:rFonts w:ascii="Aptos" w:hAnsi="Aptos"/>
                <w:b w:val="0"/>
                <w:color w:val="243B53"/>
                <w:sz w:val="19"/>
              </w:rPr>
              <w:t>Private content detected</w:t>
            </w:r>
          </w:p>
        </w:tc>
        <w:tc>
          <w:tcPr>
            <w:tcW w:type="dxa" w:w="6840"/>
            <w:vAlign w:val="center"/>
          </w:tcPr>
          <w:p>
            <w:r/>
            <w:r>
              <w:rPr>
                <w:rFonts w:ascii="Aptos" w:hAnsi="Aptos"/>
                <w:b w:val="0"/>
                <w:color w:val="243B53"/>
                <w:sz w:val="19"/>
              </w:rPr>
              <w:t>Remove before commit; assess history exposure and escalate if necessary.</w:t>
            </w:r>
          </w:p>
        </w:tc>
      </w:tr>
    </w:tbl>
    <w:p/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1944"/>
        <w:gridCol w:w="8280"/>
      </w:tblGrid>
      <w:tr>
        <w:tc>
          <w:tcPr>
            <w:tcW w:type="dxa" w:w="5040"/>
            <w:shd w:fill="1976A3"/>
            <w:vAlign w:val="center"/>
          </w:tcPr>
          <w:p>
            <w:r/>
            <w:r>
              <w:rPr>
                <w:rFonts w:ascii="Aptos" w:hAnsi="Aptos"/>
                <w:b/>
                <w:color w:val="FFFFFF"/>
                <w:sz w:val="19"/>
              </w:rPr>
              <w:t>PRINCIPLE</w:t>
            </w:r>
          </w:p>
        </w:tc>
        <w:tc>
          <w:tcPr>
            <w:tcW w:type="dxa" w:w="5040"/>
            <w:shd w:fill="E8F4FA"/>
            <w:vAlign w:val="center"/>
          </w:tcPr>
          <w:p>
            <w:r/>
            <w:r>
              <w:rPr>
                <w:rFonts w:ascii="Aptos" w:hAnsi="Aptos"/>
                <w:b/>
                <w:color w:val="243B53"/>
                <w:sz w:val="19"/>
              </w:rPr>
              <w:t>A green mirror or model test is evidence of a bounded check, not proof of live truth or authorization.</w:t>
            </w:r>
          </w:p>
        </w:tc>
      </w:tr>
    </w:tbl>
    <w:p>
      <w:pPr>
        <w:spacing w:after="20"/>
      </w:pPr>
    </w:p>
    <w:sectPr w:rsidR="00FC693F" w:rsidRPr="0006063C" w:rsidSect="00034616">
      <w:headerReference w:type="default" r:id="rId9"/>
      <w:footerReference w:type="default" r:id="rId10"/>
      <w:pgSz w:w="12240" w:h="15840"/>
      <w:pgMar w:top="936" w:right="1080" w:bottom="936" w:left="108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right"/>
    </w:pPr>
    <w:r>
      <w:rPr>
        <w:rFonts w:ascii="Aptos" w:hAnsi="Aptos"/>
        <w:color w:val="66788A"/>
        <w:sz w:val="16"/>
      </w:rPr>
      <w:t>MirrorArc Example  |  Clean-room public corpus  |  2026-07-19</w:t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Caption"/>
      <w:pBdr>
        <w:bottom w:val="single" w:sz="6" w:color="CFD9E2"/>
      </w:pBdr>
    </w:pPr>
    <w:r>
      <w:rPr>
        <w:rFonts w:ascii="Aptos" w:hAnsi="Aptos"/>
        <w:b/>
        <w:color w:val="1976A3"/>
        <w:sz w:val="16"/>
      </w:rPr>
      <w:t>MIRRORARC  /  ONTARIO GRID EVIDENCE WORKSPACE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20" w:line="269" w:lineRule="auto"/>
    </w:pPr>
    <w:rPr>
      <w:rFonts w:ascii="Aptos" w:hAnsi="Aptos"/>
      <w:color w:val="243B53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200" w:after="100"/>
      <w:outlineLvl w:val="0"/>
    </w:pPr>
    <w:rPr>
      <w:rFonts w:asciiTheme="majorHAnsi" w:eastAsiaTheme="majorEastAsia" w:hAnsiTheme="majorHAnsi" w:cstheme="majorBidi" w:ascii="Aptos Display" w:hAnsi="Aptos Display"/>
      <w:b/>
      <w:bCs/>
      <w:color w:val="102A43"/>
      <w:sz w:val="36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100"/>
      <w:outlineLvl w:val="1"/>
    </w:pPr>
    <w:rPr>
      <w:rFonts w:asciiTheme="majorHAnsi" w:eastAsiaTheme="majorEastAsia" w:hAnsiTheme="majorHAnsi" w:cstheme="majorBidi" w:ascii="Aptos" w:hAnsi="Aptos"/>
      <w:b/>
      <w:bCs/>
      <w:color w:val="1976A3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100" w:line="240" w:lineRule="auto" w:before="200"/>
      <w:contextualSpacing/>
    </w:pPr>
    <w:rPr>
      <w:rFonts w:asciiTheme="majorHAnsi" w:eastAsiaTheme="majorEastAsia" w:hAnsiTheme="majorHAnsi" w:cstheme="majorBidi" w:ascii="Aptos Display" w:hAnsi="Aptos Display"/>
      <w:b/>
      <w:color w:val="102A43"/>
      <w:spacing w:val="5"/>
      <w:kern w:val="28"/>
      <w:sz w:val="60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MirrorArc Example</dc:title>
  <dc:subject/>
  <dc:creator>MirrorArc</dc:creator>
  <cp:keywords/>
  <dc:description/>
  <cp:lastModifiedBy>MirrorArc</cp:lastModifiedBy>
  <cp:revision>1</cp:revision>
  <dcterms:created xsi:type="dcterms:W3CDTF">2013-12-23T23:15:00Z</dcterms:created>
  <dcterms:modified xsi:type="dcterms:W3CDTF">2013-12-23T23:15:00Z</dcterms:modified>
  <cp:category/>
</cp:coreProperties>
</file>