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Manufacturing Discovery Brief</w:t>
      </w:r>
    </w:p>
    <w:p>
      <w:r>
        <w:t>Synthetic fictional source document for Vaultwright example testing.</w:t>
      </w:r>
    </w:p>
    <w:p>
      <w:pPr>
        <w:pStyle w:val="Heading1"/>
      </w:pPr>
      <w:r>
        <w:t>Client Context</w:t>
      </w:r>
    </w:p>
    <w:p>
      <w:r>
        <w:t>Acme Manufacturing wants a compact inspection cell for a regional packaging line.</w:t>
      </w:r>
    </w:p>
    <w:p>
      <w:pPr>
        <w:pStyle w:val="Heading1"/>
      </w:pPr>
      <w:r>
        <w:t>Discovery Notes</w:t>
      </w:r>
    </w:p>
    <w:p>
      <w:pPr>
        <w:pStyle w:val="ListBullet"/>
      </w:pPr>
      <w:r>
        <w:t>Primary workflow: carton inspection before palletizing.</w:t>
      </w:r>
    </w:p>
    <w:p>
      <w:pPr>
        <w:pStyle w:val="ListBullet"/>
      </w:pPr>
      <w:r>
        <w:t>Success metric: reduce manual inspection time by 30 percent.</w:t>
      </w:r>
    </w:p>
    <w:p>
      <w:pPr>
        <w:pStyle w:val="ListBullet"/>
      </w:pPr>
      <w:r>
        <w:t>Open question: barcode validation versus visual defect detection priority.</w:t>
      </w:r>
    </w:p>
    <w:p>
      <w:pPr>
        <w:pStyle w:val="Heading1"/>
      </w:pPr>
      <w:r>
        <w:t>Recommended Next Step</w:t>
      </w:r>
    </w:p>
    <w:p>
      <w:r>
        <w:t>Prepare a pilot implementation plan and link it from the client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Vaultwright Example</dc:creator>
  <cp:keywords/>
  <dc:description>Vaultwright Example</dc:description>
  <cp:lastModifiedBy>Vaultwright Example</cp:lastModifiedBy>
  <cp:revision>1</cp:revision>
  <dcterms:created xsi:type="dcterms:W3CDTF">2013-12-23T23:15:00Z</dcterms:created>
  <dcterms:modified xsi:type="dcterms:W3CDTF">2013-12-23T23:15:00Z</dcterms:modified>
  <cp:category/>
</cp:coreProperties>
</file>