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>Initialize conda: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/home1/08005/cz5959/anaconda3/bin/activate</w:t>
      </w:r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 init</w:t>
      </w:r>
    </w:p>
    <w:p w14:paraId="0F192A7B" w14:textId="36EA0C2E" w:rsidR="006F35BE" w:rsidRDefault="006F35BE">
      <w:r>
        <w:t>Activate conda</w:t>
      </w:r>
      <w:r w:rsidR="002D4398">
        <w:t xml:space="preserve"> and ldsc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r w:rsidRPr="00F95577">
        <w:rPr>
          <w:rFonts w:ascii="Arial" w:hAnsi="Arial" w:cs="Arial"/>
          <w:color w:val="414042"/>
          <w:shd w:val="pct15" w:color="auto" w:fill="FFFFFF"/>
        </w:rPr>
        <w:t>conda activate /scratch1/08005/cz5959/ldsc/env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r>
        <w:rPr>
          <w:rFonts w:ascii="Arial" w:hAnsi="Arial" w:cs="Arial"/>
          <w:color w:val="414042"/>
          <w:shd w:val="pct15" w:color="auto" w:fill="FFFFFF"/>
        </w:rPr>
        <w:t>source activate ldsc</w:t>
      </w:r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>This will create a eur_w_ld_chr/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-jxvf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>Currently, bulik recommends using those same LD scores for both –w-ld-chr and –ref-ld-chr flags for non-partitioned ldsc</w:t>
      </w:r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A65D8E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>Convert your results to .sumstats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>Requires following information: rsid;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>Check log file for errors with:</w:t>
      </w:r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42.75pt" o:ole="">
            <v:imagedata r:id="rId7" o:title=""/>
          </v:shape>
          <o:OLEObject Type="Embed" ProgID="Word.OpenDocumentText.12" ShapeID="_x0000_i1025" DrawAspect="Content" ObjectID="_1690152487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5pt;height:368.25pt" o:ole="">
            <v:imagedata r:id="rId9" o:title=""/>
          </v:shape>
          <o:OLEObject Type="Embed" ProgID="Word.OpenDocumentText.12" ShapeID="_x0000_i1026" DrawAspect="Content" ObjectID="_1690152488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5pt;height:28.5pt" o:ole="">
            <v:imagedata r:id="rId11" o:title=""/>
          </v:shape>
          <o:OLEObject Type="Embed" ProgID="Word.OpenDocumentText.12" ShapeID="_x0000_i1027" DrawAspect="Content" ObjectID="_1690152489" r:id="rId12"/>
        </w:object>
      </w:r>
    </w:p>
    <w:p w14:paraId="7D2A9EDB" w14:textId="77777777" w:rsidR="00E237B6" w:rsidRDefault="00E237B6">
      <w:r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r>
        <w:t xml:space="preserve">Cahoy: </w:t>
      </w:r>
      <w:r w:rsidRPr="006A5958">
        <w:t>isolates the cell types [astrocytes, neurons, oligodendrites] and extracts the mRNA and use Affymetric GeneChip Arrays to determine expression levels. They then use Significance Analysis of Microarrays (SAM) to find significant genes by cell type.</w:t>
      </w:r>
    </w:p>
    <w:p w14:paraId="5CB934B1" w14:textId="77777777" w:rsidR="00623C64" w:rsidRDefault="006A5958">
      <w:r>
        <w:t>GTEx: isolates genotypes by tissue, annotate variants based on expression levels in specific cell type</w:t>
      </w:r>
    </w:p>
    <w:p w14:paraId="20F36617" w14:textId="770BA0CF" w:rsidR="00B816D8" w:rsidRDefault="00623C64">
      <w:r>
        <w:t>Cell Type: annotations from 1000G, using Ensembl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53C83C20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</w:t>
            </w:r>
            <w:r w:rsidR="0051111F">
              <w:t>1511</w:t>
            </w:r>
          </w:p>
        </w:tc>
        <w:tc>
          <w:tcPr>
            <w:tcW w:w="832" w:type="dxa"/>
          </w:tcPr>
          <w:p w14:paraId="6949AD13" w14:textId="7639419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13</w:t>
            </w:r>
          </w:p>
        </w:tc>
        <w:tc>
          <w:tcPr>
            <w:tcW w:w="1056" w:type="dxa"/>
          </w:tcPr>
          <w:p w14:paraId="4A81A2D2" w14:textId="7E29D78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1.1823</w:t>
            </w:r>
          </w:p>
        </w:tc>
        <w:tc>
          <w:tcPr>
            <w:tcW w:w="1244" w:type="dxa"/>
          </w:tcPr>
          <w:p w14:paraId="6A5021DC" w14:textId="0693249E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</w:t>
            </w:r>
          </w:p>
        </w:tc>
        <w:tc>
          <w:tcPr>
            <w:tcW w:w="830" w:type="dxa"/>
          </w:tcPr>
          <w:p w14:paraId="1F2FF161" w14:textId="4036AD09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0.0436</w:t>
            </w:r>
          </w:p>
        </w:tc>
        <w:tc>
          <w:tcPr>
            <w:tcW w:w="1064" w:type="dxa"/>
          </w:tcPr>
          <w:p w14:paraId="0D4BE4C4" w14:textId="7E308DFB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1.135</w:t>
            </w: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398BAAE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51111F">
              <w:t>1904</w:t>
            </w:r>
          </w:p>
        </w:tc>
        <w:tc>
          <w:tcPr>
            <w:tcW w:w="832" w:type="dxa"/>
          </w:tcPr>
          <w:p w14:paraId="7E3E70A5" w14:textId="00339E75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51111F">
              <w:t>195</w:t>
            </w:r>
          </w:p>
        </w:tc>
        <w:tc>
          <w:tcPr>
            <w:tcW w:w="1056" w:type="dxa"/>
          </w:tcPr>
          <w:p w14:paraId="3C7462E0" w14:textId="2E592104" w:rsidR="00C2726D" w:rsidRDefault="0051111F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1.1027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6B1CC5A2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0.1602</w:t>
            </w:r>
          </w:p>
        </w:tc>
        <w:tc>
          <w:tcPr>
            <w:tcW w:w="832" w:type="dxa"/>
          </w:tcPr>
          <w:p w14:paraId="699FC4E4" w14:textId="55ED0B09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</w:t>
            </w:r>
            <w:r w:rsidR="0051111F">
              <w:t>216</w:t>
            </w:r>
          </w:p>
        </w:tc>
        <w:tc>
          <w:tcPr>
            <w:tcW w:w="1056" w:type="dxa"/>
          </w:tcPr>
          <w:p w14:paraId="31514601" w14:textId="1A7D3D05" w:rsidR="00C2726D" w:rsidRDefault="0051111F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1.0698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7A43A9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0.270</w:t>
            </w:r>
          </w:p>
        </w:tc>
        <w:tc>
          <w:tcPr>
            <w:tcW w:w="830" w:type="dxa"/>
          </w:tcPr>
          <w:p w14:paraId="3577E6E9" w14:textId="60392991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0.0100</w:t>
            </w:r>
          </w:p>
        </w:tc>
        <w:tc>
          <w:tcPr>
            <w:tcW w:w="1064" w:type="dxa"/>
          </w:tcPr>
          <w:p w14:paraId="53E24020" w14:textId="76B37C93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1.151</w:t>
            </w: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049F901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0.275</w:t>
            </w:r>
          </w:p>
        </w:tc>
        <w:tc>
          <w:tcPr>
            <w:tcW w:w="830" w:type="dxa"/>
          </w:tcPr>
          <w:p w14:paraId="3F710354" w14:textId="32545BC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0.0101</w:t>
            </w:r>
          </w:p>
        </w:tc>
        <w:tc>
          <w:tcPr>
            <w:tcW w:w="1064" w:type="dxa"/>
          </w:tcPr>
          <w:p w14:paraId="6D999583" w14:textId="7EF80C27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1.144</w:t>
            </w: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r>
              <w:t>Eosinophill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3C9759F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</w:t>
            </w:r>
          </w:p>
        </w:tc>
        <w:tc>
          <w:tcPr>
            <w:tcW w:w="830" w:type="dxa"/>
          </w:tcPr>
          <w:p w14:paraId="559C7A71" w14:textId="23D03C7F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64" w:type="dxa"/>
          </w:tcPr>
          <w:p w14:paraId="6F1219B0" w14:textId="324FD944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1.004</w:t>
            </w: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58E28F3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0.163</w:t>
            </w:r>
          </w:p>
        </w:tc>
        <w:tc>
          <w:tcPr>
            <w:tcW w:w="830" w:type="dxa"/>
          </w:tcPr>
          <w:p w14:paraId="4100039F" w14:textId="4FFC5C02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64" w:type="dxa"/>
          </w:tcPr>
          <w:p w14:paraId="3897BA90" w14:textId="67FECBB6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1.098</w:t>
            </w: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2F87C7CE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</w:t>
            </w:r>
          </w:p>
        </w:tc>
        <w:tc>
          <w:tcPr>
            <w:tcW w:w="830" w:type="dxa"/>
          </w:tcPr>
          <w:p w14:paraId="6487459E" w14:textId="7643108B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64" w:type="dxa"/>
          </w:tcPr>
          <w:p w14:paraId="34869C9F" w14:textId="2FA445AC" w:rsidR="00C2726D" w:rsidRDefault="00A8605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</w:t>
            </w: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3163AC91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0.223</w:t>
            </w:r>
          </w:p>
        </w:tc>
        <w:tc>
          <w:tcPr>
            <w:tcW w:w="830" w:type="dxa"/>
          </w:tcPr>
          <w:p w14:paraId="2FA56B95" w14:textId="4C96D5C0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0.0078</w:t>
            </w:r>
          </w:p>
        </w:tc>
        <w:tc>
          <w:tcPr>
            <w:tcW w:w="1064" w:type="dxa"/>
          </w:tcPr>
          <w:p w14:paraId="781D0ADE" w14:textId="73D5725F" w:rsidR="00C2726D" w:rsidRDefault="00A8605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</w:t>
            </w: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28FDA1A9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0.143</w:t>
            </w:r>
          </w:p>
        </w:tc>
        <w:tc>
          <w:tcPr>
            <w:tcW w:w="830" w:type="dxa"/>
          </w:tcPr>
          <w:p w14:paraId="50F7D115" w14:textId="72B1AAD2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0.0058</w:t>
            </w:r>
          </w:p>
        </w:tc>
        <w:tc>
          <w:tcPr>
            <w:tcW w:w="1064" w:type="dxa"/>
          </w:tcPr>
          <w:p w14:paraId="4E1CFCBA" w14:textId="6484AB53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7F002F2E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0.151</w:t>
            </w:r>
          </w:p>
        </w:tc>
        <w:tc>
          <w:tcPr>
            <w:tcW w:w="830" w:type="dxa"/>
          </w:tcPr>
          <w:p w14:paraId="67434358" w14:textId="041B9309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64" w:type="dxa"/>
          </w:tcPr>
          <w:p w14:paraId="1A7B7019" w14:textId="1DF485BC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1.092</w:t>
            </w: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FFD6165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0.145</w:t>
            </w:r>
          </w:p>
        </w:tc>
        <w:tc>
          <w:tcPr>
            <w:tcW w:w="830" w:type="dxa"/>
          </w:tcPr>
          <w:p w14:paraId="51636735" w14:textId="0F714994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64" w:type="dxa"/>
          </w:tcPr>
          <w:p w14:paraId="6D7B4201" w14:textId="416820BF" w:rsidR="00C37032" w:rsidRDefault="00A8605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1.096</w:t>
            </w: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4A922DDD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</w:t>
            </w:r>
          </w:p>
        </w:tc>
        <w:tc>
          <w:tcPr>
            <w:tcW w:w="830" w:type="dxa"/>
          </w:tcPr>
          <w:p w14:paraId="27B5DB1D" w14:textId="40D2E768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64" w:type="dxa"/>
          </w:tcPr>
          <w:p w14:paraId="06A39EE9" w14:textId="641CB593" w:rsidR="00C37032" w:rsidRDefault="00A8605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1.068</w:t>
            </w: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1C943BD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37042DC" w14:textId="3CABFA2C" w:rsidR="00AC4D35" w:rsidRDefault="00AC4D35" w:rsidP="00AC4D35">
            <w:r>
              <w:t>Waist to hip ratio ( BMI adjusted )</w:t>
            </w:r>
          </w:p>
        </w:tc>
        <w:tc>
          <w:tcPr>
            <w:tcW w:w="868" w:type="dxa"/>
          </w:tcPr>
          <w:p w14:paraId="04C1AB2C" w14:textId="5BB8E8EA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4D061C5" w14:textId="317B961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832" w:type="dxa"/>
          </w:tcPr>
          <w:p w14:paraId="1943918B" w14:textId="0738F9ED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0334634" w14:textId="54967B1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1.2023</w:t>
            </w:r>
          </w:p>
        </w:tc>
        <w:tc>
          <w:tcPr>
            <w:tcW w:w="1244" w:type="dxa"/>
          </w:tcPr>
          <w:p w14:paraId="5A192862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22F1C3C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5ADB1A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4D35" w14:paraId="7865587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BC52987" w14:textId="77777777" w:rsidR="00AC4D35" w:rsidRDefault="00AC4D35" w:rsidP="00AC4D35"/>
        </w:tc>
        <w:tc>
          <w:tcPr>
            <w:tcW w:w="868" w:type="dxa"/>
          </w:tcPr>
          <w:p w14:paraId="25D6D744" w14:textId="5FCC49A0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E0D2086" w14:textId="64CFFB4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0.1811</w:t>
            </w:r>
          </w:p>
        </w:tc>
        <w:tc>
          <w:tcPr>
            <w:tcW w:w="832" w:type="dxa"/>
          </w:tcPr>
          <w:p w14:paraId="18A57FD6" w14:textId="074A8F34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0.0123</w:t>
            </w:r>
          </w:p>
        </w:tc>
        <w:tc>
          <w:tcPr>
            <w:tcW w:w="1056" w:type="dxa"/>
          </w:tcPr>
          <w:p w14:paraId="2025EF57" w14:textId="3E1ECDE9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1.1629</w:t>
            </w:r>
          </w:p>
        </w:tc>
        <w:tc>
          <w:tcPr>
            <w:tcW w:w="1244" w:type="dxa"/>
          </w:tcPr>
          <w:p w14:paraId="6A5B91BA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F28474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D047F5" w14:textId="77777777" w:rsidR="00AC4D35" w:rsidRDefault="00AC4D35" w:rsidP="00AC4D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C4D35" w14:paraId="300471D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FD928AD" w14:textId="77777777" w:rsidR="00AC4D35" w:rsidRDefault="00AC4D35" w:rsidP="00AC4D35"/>
        </w:tc>
        <w:tc>
          <w:tcPr>
            <w:tcW w:w="868" w:type="dxa"/>
          </w:tcPr>
          <w:p w14:paraId="18FA3F1B" w14:textId="3B315930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353A282" w14:textId="1EAF6D71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0.125</w:t>
            </w:r>
          </w:p>
        </w:tc>
        <w:tc>
          <w:tcPr>
            <w:tcW w:w="832" w:type="dxa"/>
          </w:tcPr>
          <w:p w14:paraId="4A8E3BCE" w14:textId="64BE971B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4D991ADD" w14:textId="5FEC8896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1.073</w:t>
            </w:r>
          </w:p>
        </w:tc>
        <w:tc>
          <w:tcPr>
            <w:tcW w:w="1244" w:type="dxa"/>
          </w:tcPr>
          <w:p w14:paraId="05A85FA3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69B167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CC7974F" w14:textId="77777777" w:rsidR="00AC4D35" w:rsidRDefault="00AC4D35" w:rsidP="00AC4D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GTEx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325"/>
        <w:gridCol w:w="1170"/>
        <w:gridCol w:w="1260"/>
      </w:tblGrid>
      <w:tr w:rsidR="00D719A0" w:rsidRPr="004863B0" w14:paraId="59A50273" w14:textId="77777777" w:rsidTr="00D163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BCA1A2E" w14:textId="77777777" w:rsidR="00D719A0" w:rsidRPr="004863B0" w:rsidRDefault="00D719A0" w:rsidP="00D92929"/>
        </w:tc>
        <w:tc>
          <w:tcPr>
            <w:tcW w:w="243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170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0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170" w:type="dxa"/>
          </w:tcPr>
          <w:p w14:paraId="14F5DABD" w14:textId="2E9B814C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0.8816</w:t>
            </w:r>
          </w:p>
        </w:tc>
        <w:tc>
          <w:tcPr>
            <w:tcW w:w="1260" w:type="dxa"/>
          </w:tcPr>
          <w:p w14:paraId="36D53E6E" w14:textId="723DB7BD" w:rsidR="00D719A0" w:rsidRDefault="00C605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0.0223</w:t>
            </w:r>
          </w:p>
        </w:tc>
      </w:tr>
      <w:tr w:rsidR="00D719A0" w14:paraId="025295A1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170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60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170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60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BD8FE0B" w14:textId="79F30352" w:rsidR="00D719A0" w:rsidRDefault="00D719A0" w:rsidP="00D719A0">
            <w:r>
              <w:t>Eosinophil percentage</w:t>
            </w:r>
          </w:p>
        </w:tc>
        <w:tc>
          <w:tcPr>
            <w:tcW w:w="1170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60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170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60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170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60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170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60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170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60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170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60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170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60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170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60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163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170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60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  <w:tr w:rsidR="00D163BE" w14:paraId="46F3B423" w14:textId="77777777" w:rsidTr="00D163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5" w:type="dxa"/>
          </w:tcPr>
          <w:p w14:paraId="3E160A86" w14:textId="761BEBA7" w:rsidR="00D163BE" w:rsidRDefault="00D163BE" w:rsidP="00D719A0">
            <w:r>
              <w:t>Wait to hip ratio (BMI adjusted)</w:t>
            </w:r>
          </w:p>
        </w:tc>
        <w:tc>
          <w:tcPr>
            <w:tcW w:w="1170" w:type="dxa"/>
          </w:tcPr>
          <w:p w14:paraId="6E9E8C9F" w14:textId="76FA6B70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0.615</w:t>
            </w:r>
          </w:p>
        </w:tc>
        <w:tc>
          <w:tcPr>
            <w:tcW w:w="1260" w:type="dxa"/>
          </w:tcPr>
          <w:p w14:paraId="538596B6" w14:textId="0F2484A2" w:rsidR="00D163BE" w:rsidRDefault="00D163B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0.0254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linux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>Neale doesn’t have rsid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>Create sumstats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5pt;height:42.75pt" o:ole="">
            <v:imagedata r:id="rId20" o:title=""/>
          </v:shape>
          <o:OLEObject Type="Embed" ProgID="Word.OpenDocumentText.12" ShapeID="_x0000_i1028" DrawAspect="Content" ObjectID="_1690152490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>Calculate heritability and ldsc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>: IndexError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>Forgot to add the “/” after eur_w_ld_chr</w:t>
      </w:r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>What is lamda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>Format Neale lab to be suitable for munge_py</w:t>
      </w:r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>Get ldsc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>Create a format_plink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>Get ldsc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>Reformat script for Neale Lab Manhattan plot and format_neale</w:t>
      </w:r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>My plink and my neale more similar than actual neale</w:t>
      </w:r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r>
        <w:t>FetalDHS</w:t>
      </w:r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r>
        <w:t>Adrenal_Pancreas; Cardiovascular; CNS; Connective_Bone</w:t>
      </w:r>
      <w:r w:rsidR="004505CA">
        <w:t>; GI; Immune; Kidney; Liver; SkeletalMuscle;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ldsc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A65D8E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GeneChip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>Affymetrix GeneChip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r>
        <w:t>GTEx Brain: Genotype Tissue Expression</w:t>
      </w:r>
    </w:p>
    <w:p w14:paraId="157C4B85" w14:textId="357E0EDC" w:rsidR="00A550D5" w:rsidRDefault="00A65D8E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A65D8E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r>
        <w:t xml:space="preserve">eQTLs: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>segment genome to determine state (enhancer, promoter, etc)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>L2: ld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>Ch22 adrenal: 129365 annot, 17193 ldq:q!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>141124 annot, 17490 ld</w:t>
      </w:r>
    </w:p>
    <w:p w14:paraId="11100078" w14:textId="6A48EF23" w:rsidR="00CA058C" w:rsidRDefault="00CA058C" w:rsidP="00F44A3C">
      <w:r>
        <w:lastRenderedPageBreak/>
        <w:tab/>
        <w:t>Ch22 3: 141124 annot, 17490 ld</w:t>
      </w:r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>Mismatch between set of variants in LD score files and frqfile</w:t>
      </w:r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>Created partitioned bar plots for Cahoy and GTEx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>Get ldsc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>Create scatterplot for heritabilities</w:t>
      </w:r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>Create scatterplot comparing with Neale heritabilities</w:t>
      </w:r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>Rank normalized probably contributing to why Neale heritability is consistently greater than ours; otherwise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>Create scatterplot for relative heritabilities,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>SE = ( (h2+SE)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4143127D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5292BC3" w14:textId="4AABEAE1" w:rsidR="009265E8" w:rsidRDefault="009265E8" w:rsidP="00515E32">
      <w:pPr>
        <w:pStyle w:val="Heading3"/>
      </w:pPr>
      <w:r>
        <w:t>8/9/2021</w:t>
      </w:r>
    </w:p>
    <w:p w14:paraId="405E9035" w14:textId="07B7ED92" w:rsidR="009265E8" w:rsidRDefault="009265E8" w:rsidP="009265E8">
      <w:pPr>
        <w:pStyle w:val="ListParagraph"/>
        <w:numPr>
          <w:ilvl w:val="0"/>
          <w:numId w:val="17"/>
        </w:numPr>
      </w:pPr>
      <w:r>
        <w:t>Remake baseline, celltypes, and Cahoy with corrected “2 SEM” error bars</w:t>
      </w:r>
    </w:p>
    <w:p w14:paraId="3621B42F" w14:textId="63A18158" w:rsidR="00080BD1" w:rsidRDefault="00080BD1" w:rsidP="00080BD1">
      <w:pPr>
        <w:pStyle w:val="Heading3"/>
      </w:pPr>
      <w:r>
        <w:lastRenderedPageBreak/>
        <w:t>8/10/2021</w:t>
      </w:r>
    </w:p>
    <w:p w14:paraId="45EC0BD3" w14:textId="050E6D9F" w:rsidR="00080BD1" w:rsidRDefault="001E572A" w:rsidP="00080BD1">
      <w:pPr>
        <w:pStyle w:val="ListParagraph"/>
        <w:numPr>
          <w:ilvl w:val="0"/>
          <w:numId w:val="17"/>
        </w:numPr>
      </w:pPr>
      <w:r>
        <w:t>Difference in male and female blood pressure, hypertension</w:t>
      </w:r>
    </w:p>
    <w:p w14:paraId="15902376" w14:textId="36C1A53C" w:rsidR="001E572A" w:rsidRDefault="001E572A" w:rsidP="001E572A">
      <w:pPr>
        <w:pStyle w:val="ListParagraph"/>
        <w:numPr>
          <w:ilvl w:val="1"/>
          <w:numId w:val="17"/>
        </w:numPr>
      </w:pPr>
      <w:hyperlink r:id="rId49" w:history="1">
        <w:r>
          <w:rPr>
            <w:rStyle w:val="Hyperlink"/>
          </w:rPr>
          <w:t>Gender Differences in the Regulation of Blood Pressure | Hypertension (ahajournals.org)</w:t>
        </w:r>
      </w:hyperlink>
    </w:p>
    <w:p w14:paraId="3DECBCA6" w14:textId="3D49D464" w:rsidR="00E76836" w:rsidRDefault="00E76836" w:rsidP="001E572A">
      <w:pPr>
        <w:pStyle w:val="ListParagraph"/>
        <w:numPr>
          <w:ilvl w:val="1"/>
          <w:numId w:val="17"/>
        </w:numPr>
      </w:pPr>
      <w:r>
        <w:t>Measure mean arterial pressure ~ ((2xDBP) + SBP) / 3</w:t>
      </w:r>
    </w:p>
    <w:p w14:paraId="17E34658" w14:textId="4FBA417F" w:rsidR="001E572A" w:rsidRDefault="001E572A" w:rsidP="001E572A">
      <w:pPr>
        <w:pStyle w:val="ListParagraph"/>
        <w:numPr>
          <w:ilvl w:val="1"/>
          <w:numId w:val="17"/>
        </w:numPr>
      </w:pPr>
      <w:r>
        <w:t>Men are at greater risk for cardiovascular and renal disease than age-matched, premenopausal women</w:t>
      </w:r>
    </w:p>
    <w:p w14:paraId="376F8293" w14:textId="58C50C78" w:rsidR="001E572A" w:rsidRDefault="001E572A" w:rsidP="001E572A">
      <w:pPr>
        <w:pStyle w:val="ListParagraph"/>
        <w:numPr>
          <w:ilvl w:val="1"/>
          <w:numId w:val="17"/>
        </w:numPr>
      </w:pPr>
      <w:r>
        <w:t>BP higher in men than women</w:t>
      </w:r>
    </w:p>
    <w:p w14:paraId="1A7C2A3E" w14:textId="30C1AA7B" w:rsidR="001E572A" w:rsidRDefault="001E572A" w:rsidP="001E572A">
      <w:pPr>
        <w:pStyle w:val="ListParagraph"/>
        <w:numPr>
          <w:ilvl w:val="1"/>
          <w:numId w:val="17"/>
        </w:numPr>
      </w:pPr>
      <w:r>
        <w:t>Role of testosterone: evidence of androgens playing role in BP regulation</w:t>
      </w:r>
    </w:p>
    <w:p w14:paraId="10B5FE63" w14:textId="46D3227C" w:rsidR="001E572A" w:rsidRDefault="001E572A" w:rsidP="001E572A">
      <w:pPr>
        <w:pStyle w:val="ListParagraph"/>
        <w:numPr>
          <w:ilvl w:val="2"/>
          <w:numId w:val="17"/>
        </w:numPr>
      </w:pPr>
      <w:r>
        <w:t>BP increases in both boys and girls, but after puberty, boys have higher BP</w:t>
      </w:r>
    </w:p>
    <w:p w14:paraId="2CDED3C1" w14:textId="11ACF41E" w:rsidR="001E572A" w:rsidRDefault="001E572A" w:rsidP="001E572A">
      <w:pPr>
        <w:pStyle w:val="ListParagraph"/>
        <w:numPr>
          <w:ilvl w:val="2"/>
          <w:numId w:val="17"/>
        </w:numPr>
      </w:pPr>
      <w:r>
        <w:t xml:space="preserve">Castration studies in rats: castration at young age decrease development of </w:t>
      </w:r>
      <w:r w:rsidR="00BE1BA2">
        <w:t>hypertension</w:t>
      </w:r>
    </w:p>
    <w:p w14:paraId="19A61F53" w14:textId="721774D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blockade of androgen receptor in male SHR rat reduce BP to level of female SHR </w:t>
      </w:r>
    </w:p>
    <w:p w14:paraId="08EB55AC" w14:textId="42DA57CE" w:rsidR="00BE1BA2" w:rsidRDefault="00BE1BA2" w:rsidP="001E572A">
      <w:pPr>
        <w:pStyle w:val="ListParagraph"/>
        <w:numPr>
          <w:ilvl w:val="2"/>
          <w:numId w:val="17"/>
        </w:numPr>
      </w:pPr>
      <w:r>
        <w:t xml:space="preserve">Chronic testosterone treatment in normotensive and hypertensive female rats increases BP </w:t>
      </w:r>
    </w:p>
    <w:p w14:paraId="4D674F41" w14:textId="798F2145" w:rsidR="00BE1BA2" w:rsidRDefault="00BE1BA2" w:rsidP="001E572A">
      <w:pPr>
        <w:pStyle w:val="ListParagraph"/>
        <w:numPr>
          <w:ilvl w:val="2"/>
          <w:numId w:val="17"/>
        </w:numPr>
      </w:pPr>
      <w:r>
        <w:t>BP increase in menopausal females take 5-20 years to develop, so lack of estrogen may not be only cause</w:t>
      </w:r>
    </w:p>
    <w:p w14:paraId="02FC6043" w14:textId="2E9F4A7E" w:rsidR="00BE1BA2" w:rsidRDefault="00BE1BA2" w:rsidP="00BE1BA2">
      <w:pPr>
        <w:pStyle w:val="ListParagraph"/>
        <w:numPr>
          <w:ilvl w:val="3"/>
          <w:numId w:val="17"/>
        </w:numPr>
      </w:pPr>
      <w:r>
        <w:t>Estrogen HRT not found to decrease BP</w:t>
      </w:r>
    </w:p>
    <w:p w14:paraId="2FF99812" w14:textId="78F7FA6F" w:rsidR="00BE1BA2" w:rsidRDefault="00BE1BA2" w:rsidP="00BE1BA2">
      <w:pPr>
        <w:pStyle w:val="ListParagraph"/>
        <w:numPr>
          <w:ilvl w:val="1"/>
          <w:numId w:val="17"/>
        </w:numPr>
      </w:pPr>
      <w:r>
        <w:t xml:space="preserve">Curtis et al: BP returns to normal when transplant HTN kidney with normotensive </w:t>
      </w:r>
    </w:p>
    <w:p w14:paraId="5C4F59DA" w14:textId="78E60B82" w:rsidR="00BE1BA2" w:rsidRDefault="00BE1BA2" w:rsidP="00BE1BA2">
      <w:pPr>
        <w:pStyle w:val="ListParagraph"/>
        <w:numPr>
          <w:ilvl w:val="1"/>
          <w:numId w:val="17"/>
        </w:numPr>
      </w:pPr>
      <w:r>
        <w:t>Renal body fluid feedback: long term increase in BP occurs as result of reduction in renal excretory function</w:t>
      </w:r>
    </w:p>
    <w:p w14:paraId="2C5484D8" w14:textId="14E8C515" w:rsidR="00BE1BA2" w:rsidRDefault="00BE1BA2" w:rsidP="00BE1BA2">
      <w:pPr>
        <w:pStyle w:val="ListParagraph"/>
        <w:numPr>
          <w:ilvl w:val="2"/>
          <w:numId w:val="17"/>
        </w:numPr>
      </w:pPr>
      <w:r>
        <w:t>Pressure-natriuresis: increased BP, increase in sodium excretion</w:t>
      </w:r>
    </w:p>
    <w:p w14:paraId="40DD83CE" w14:textId="77114F90" w:rsidR="00BE1BA2" w:rsidRDefault="00BE1BA2" w:rsidP="00BE1BA2">
      <w:pPr>
        <w:pStyle w:val="ListParagraph"/>
        <w:numPr>
          <w:ilvl w:val="1"/>
          <w:numId w:val="17"/>
        </w:numPr>
      </w:pPr>
      <w:r>
        <w:t>Androgen receptor located predominately in proximal tubule segments of nephron</w:t>
      </w:r>
    </w:p>
    <w:p w14:paraId="6E262C8A" w14:textId="6D0D49E9" w:rsidR="00BE1BA2" w:rsidRDefault="00BE1BA2" w:rsidP="00BE1BA2">
      <w:pPr>
        <w:pStyle w:val="ListParagraph"/>
        <w:numPr>
          <w:ilvl w:val="2"/>
          <w:numId w:val="17"/>
        </w:numPr>
      </w:pPr>
      <w:r>
        <w:t>Proximal nephron:</w:t>
      </w:r>
      <w:r w:rsidR="00E743C1">
        <w:t xml:space="preserve"> most</w:t>
      </w:r>
      <w:r>
        <w:t xml:space="preserve"> </w:t>
      </w:r>
      <w:r w:rsidR="00E743C1">
        <w:t>sodium reabsorption</w:t>
      </w:r>
    </w:p>
    <w:p w14:paraId="31D95D91" w14:textId="2F761EDD" w:rsidR="00E743C1" w:rsidRDefault="00E743C1" w:rsidP="00E743C1">
      <w:pPr>
        <w:pStyle w:val="ListParagraph"/>
        <w:numPr>
          <w:ilvl w:val="1"/>
          <w:numId w:val="17"/>
        </w:numPr>
      </w:pPr>
      <w:r>
        <w:t>When kidney of SHR transplanted into normotensive rat, BP increases</w:t>
      </w:r>
    </w:p>
    <w:p w14:paraId="618AD834" w14:textId="2C56B43C" w:rsidR="00E743C1" w:rsidRDefault="00E743C1" w:rsidP="00E743C1">
      <w:pPr>
        <w:pStyle w:val="ListParagraph"/>
        <w:numPr>
          <w:ilvl w:val="2"/>
          <w:numId w:val="17"/>
        </w:numPr>
      </w:pPr>
      <w:r>
        <w:t>Male SHR kidney to female SHR, no sig rise in BP, still same as before</w:t>
      </w:r>
    </w:p>
    <w:p w14:paraId="1CEC41AB" w14:textId="2E0C69B6" w:rsidR="00E743C1" w:rsidRDefault="00E743C1" w:rsidP="00E743C1">
      <w:pPr>
        <w:pStyle w:val="ListParagraph"/>
        <w:numPr>
          <w:ilvl w:val="2"/>
          <w:numId w:val="17"/>
        </w:numPr>
      </w:pPr>
      <w:r>
        <w:t>Female SHR to male SHR, no sig decrease</w:t>
      </w:r>
    </w:p>
    <w:p w14:paraId="2D404209" w14:textId="26AF0448" w:rsidR="00E743C1" w:rsidRDefault="00E743C1" w:rsidP="00E743C1">
      <w:pPr>
        <w:pStyle w:val="ListParagraph"/>
        <w:numPr>
          <w:ilvl w:val="2"/>
          <w:numId w:val="17"/>
        </w:numPr>
      </w:pPr>
      <w:r>
        <w:t>Difference not due to kidney, but rather external effect (androgens)</w:t>
      </w:r>
    </w:p>
    <w:p w14:paraId="2343FFCC" w14:textId="3950D9D1" w:rsidR="00E743C1" w:rsidRDefault="00E743C1" w:rsidP="00E743C1">
      <w:pPr>
        <w:pStyle w:val="ListParagraph"/>
        <w:numPr>
          <w:ilvl w:val="1"/>
          <w:numId w:val="17"/>
        </w:numPr>
      </w:pPr>
      <w:r>
        <w:t>Aldosterone: Miller: higher BP and aldosterone levels in male than female</w:t>
      </w:r>
    </w:p>
    <w:p w14:paraId="768E862E" w14:textId="6C5E1591" w:rsidR="00E743C1" w:rsidRDefault="00E743C1" w:rsidP="00E743C1">
      <w:pPr>
        <w:pStyle w:val="ListParagraph"/>
        <w:numPr>
          <w:ilvl w:val="1"/>
          <w:numId w:val="17"/>
        </w:numPr>
      </w:pPr>
      <w:r>
        <w:t>Plasma renin activity: (produced by kidneys) James: PRA 27% higher in males than females regardless of age and ethnicity</w:t>
      </w:r>
    </w:p>
    <w:p w14:paraId="706E4B51" w14:textId="68F74CD5" w:rsidR="00E743C1" w:rsidRDefault="00E743C1" w:rsidP="00E743C1">
      <w:pPr>
        <w:pStyle w:val="ListParagraph"/>
        <w:numPr>
          <w:ilvl w:val="2"/>
          <w:numId w:val="17"/>
        </w:numPr>
      </w:pPr>
      <w:r>
        <w:t>Pos linear correlation in rats between testosterone and PRA</w:t>
      </w:r>
    </w:p>
    <w:p w14:paraId="724B6855" w14:textId="0C4CCA5B" w:rsidR="00E743C1" w:rsidRDefault="00E743C1" w:rsidP="00E743C1">
      <w:pPr>
        <w:pStyle w:val="ListParagraph"/>
        <w:numPr>
          <w:ilvl w:val="2"/>
          <w:numId w:val="17"/>
        </w:numPr>
      </w:pPr>
      <w:r>
        <w:t>Castration decreases renal angiotensin mRNA, chronic testosterone increases</w:t>
      </w:r>
    </w:p>
    <w:p w14:paraId="78FBC15F" w14:textId="28749403" w:rsidR="00E743C1" w:rsidRDefault="00E743C1" w:rsidP="00E743C1">
      <w:pPr>
        <w:pStyle w:val="ListParagraph"/>
        <w:numPr>
          <w:ilvl w:val="3"/>
          <w:numId w:val="17"/>
        </w:numPr>
      </w:pPr>
      <w:r>
        <w:t>Increases in gene copy cause increase in BP</w:t>
      </w:r>
    </w:p>
    <w:p w14:paraId="1B5EEFF7" w14:textId="32F37BBE" w:rsidR="00F04D6E" w:rsidRDefault="00F04D6E" w:rsidP="00F04D6E">
      <w:pPr>
        <w:pStyle w:val="ListParagraph"/>
        <w:numPr>
          <w:ilvl w:val="2"/>
          <w:numId w:val="17"/>
        </w:numPr>
      </w:pPr>
      <w:r>
        <w:t>Blockade of AngII-converting enzyme result in normalize of BP regardless of gender; RAS mediates androgen exacerbation of BP</w:t>
      </w:r>
    </w:p>
    <w:p w14:paraId="41DEEFBB" w14:textId="242F0EE7" w:rsidR="008A65B9" w:rsidRDefault="00380EB9" w:rsidP="008A65B9">
      <w:pPr>
        <w:pStyle w:val="ListParagraph"/>
        <w:numPr>
          <w:ilvl w:val="0"/>
          <w:numId w:val="17"/>
        </w:numPr>
      </w:pPr>
      <w:r>
        <w:t>Systolic vs diastolic BP</w:t>
      </w:r>
    </w:p>
    <w:p w14:paraId="45DF0CE3" w14:textId="2BB4117D" w:rsidR="00380EB9" w:rsidRDefault="00380EB9" w:rsidP="00380EB9">
      <w:pPr>
        <w:pStyle w:val="ListParagraph"/>
        <w:numPr>
          <w:ilvl w:val="1"/>
          <w:numId w:val="17"/>
        </w:numPr>
      </w:pPr>
      <w:hyperlink r:id="rId50" w:history="1">
        <w:r w:rsidRPr="00235D20">
          <w:rPr>
            <w:rStyle w:val="Hyperlink"/>
          </w:rPr>
          <w:t>https://www.nature.com/articles/1001373</w:t>
        </w:r>
      </w:hyperlink>
    </w:p>
    <w:p w14:paraId="411267C8" w14:textId="22ED4B58" w:rsidR="00380EB9" w:rsidRDefault="00380EB9" w:rsidP="00380EB9">
      <w:pPr>
        <w:pStyle w:val="ListParagraph"/>
        <w:numPr>
          <w:ilvl w:val="1"/>
          <w:numId w:val="17"/>
        </w:numPr>
      </w:pPr>
      <w:r>
        <w:t xml:space="preserve">Systolic BP better predictor of risk </w:t>
      </w:r>
    </w:p>
    <w:p w14:paraId="04703F4C" w14:textId="28421AE2" w:rsidR="00E76836" w:rsidRDefault="00E76836" w:rsidP="00380EB9">
      <w:pPr>
        <w:pStyle w:val="ListParagraph"/>
        <w:numPr>
          <w:ilvl w:val="1"/>
          <w:numId w:val="17"/>
        </w:numPr>
      </w:pPr>
      <w:r>
        <w:t>SBP rises with age, DBP does not</w:t>
      </w:r>
    </w:p>
    <w:p w14:paraId="0B0E181C" w14:textId="63610BF1" w:rsidR="009F20A6" w:rsidRDefault="009F20A6" w:rsidP="009F20A6">
      <w:pPr>
        <w:pStyle w:val="ListParagraph"/>
        <w:numPr>
          <w:ilvl w:val="0"/>
          <w:numId w:val="17"/>
        </w:numPr>
      </w:pPr>
      <w:r>
        <w:t>Sex difference in obesity and lipid metabolism</w:t>
      </w:r>
    </w:p>
    <w:p w14:paraId="4068B7B0" w14:textId="7AE81DF8" w:rsidR="009C3E2D" w:rsidRDefault="009C3E2D" w:rsidP="009F20A6">
      <w:pPr>
        <w:pStyle w:val="ListParagraph"/>
        <w:numPr>
          <w:ilvl w:val="1"/>
          <w:numId w:val="17"/>
        </w:numPr>
      </w:pPr>
      <w:hyperlink r:id="rId51" w:history="1">
        <w:r w:rsidRPr="00235D20">
          <w:rPr>
            <w:rStyle w:val="Hyperlink"/>
          </w:rPr>
          <w:t>https://www.ncbi.nlm.nih.gov/pmc/articles/PMC4507503/</w:t>
        </w:r>
      </w:hyperlink>
    </w:p>
    <w:p w14:paraId="08BDE749" w14:textId="0512E1AF" w:rsidR="009F20A6" w:rsidRDefault="009F20A6" w:rsidP="009F20A6">
      <w:pPr>
        <w:pStyle w:val="ListParagraph"/>
        <w:numPr>
          <w:ilvl w:val="1"/>
          <w:numId w:val="17"/>
        </w:numPr>
      </w:pPr>
      <w:r>
        <w:t>Females favor adipose tissue storage, males fat store mobilization more efficient</w:t>
      </w:r>
    </w:p>
    <w:p w14:paraId="48148A66" w14:textId="57A91EFE" w:rsidR="009F20A6" w:rsidRDefault="009F20A6" w:rsidP="009F20A6">
      <w:pPr>
        <w:pStyle w:val="ListParagraph"/>
        <w:numPr>
          <w:ilvl w:val="1"/>
          <w:numId w:val="17"/>
        </w:numPr>
      </w:pPr>
      <w:r>
        <w:t>Pre -&gt; post menopause: altered fat distribution</w:t>
      </w:r>
    </w:p>
    <w:p w14:paraId="0E16E2FF" w14:textId="00D16271" w:rsidR="009F20A6" w:rsidRDefault="009F20A6" w:rsidP="009F20A6">
      <w:pPr>
        <w:pStyle w:val="ListParagraph"/>
        <w:numPr>
          <w:ilvl w:val="1"/>
          <w:numId w:val="17"/>
        </w:numPr>
      </w:pPr>
      <w:r>
        <w:lastRenderedPageBreak/>
        <w:t xml:space="preserve">Low testosterone levels associated with increased body fat </w:t>
      </w:r>
    </w:p>
    <w:p w14:paraId="7BBA42BE" w14:textId="11869BDF" w:rsidR="009C3E2D" w:rsidRDefault="009C3E2D" w:rsidP="009F20A6">
      <w:pPr>
        <w:pStyle w:val="ListParagraph"/>
        <w:numPr>
          <w:ilvl w:val="1"/>
          <w:numId w:val="17"/>
        </w:numPr>
      </w:pPr>
      <w:r>
        <w:t>Catecholamines trigger lipolysis, which pos correlates with sympathetic CNS</w:t>
      </w:r>
    </w:p>
    <w:p w14:paraId="74167F35" w14:textId="51EDF7CF" w:rsidR="009C3E2D" w:rsidRDefault="009C3E2D" w:rsidP="009C3E2D">
      <w:pPr>
        <w:pStyle w:val="ListParagraph"/>
        <w:numPr>
          <w:ilvl w:val="2"/>
          <w:numId w:val="17"/>
        </w:numPr>
      </w:pPr>
      <w:r>
        <w:t>From adrenal (dopamine, epinephrine, etc)</w:t>
      </w:r>
    </w:p>
    <w:p w14:paraId="31489C10" w14:textId="1737BC0B" w:rsidR="009C3E2D" w:rsidRDefault="009C3E2D" w:rsidP="009C3E2D">
      <w:pPr>
        <w:pStyle w:val="ListParagraph"/>
        <w:numPr>
          <w:ilvl w:val="1"/>
          <w:numId w:val="17"/>
        </w:numPr>
      </w:pPr>
      <w:r>
        <w:t>Visceral (abdominal) adipose tissue uptake of triglycerides higher in men</w:t>
      </w:r>
    </w:p>
    <w:p w14:paraId="1031FA18" w14:textId="77777777" w:rsidR="00CA6E1C" w:rsidRDefault="009C3E2D" w:rsidP="009C3E2D">
      <w:pPr>
        <w:pStyle w:val="ListParagraph"/>
        <w:numPr>
          <w:ilvl w:val="1"/>
          <w:numId w:val="17"/>
        </w:numPr>
      </w:pPr>
      <w:r>
        <w:t>Regulation of body weight by estrogen:</w:t>
      </w:r>
      <w:r w:rsidR="00CA6E1C">
        <w:t xml:space="preserve"> </w:t>
      </w:r>
    </w:p>
    <w:p w14:paraId="5035ADB7" w14:textId="651F799B" w:rsidR="009C3E2D" w:rsidRDefault="00CA6E1C" w:rsidP="00CA6E1C">
      <w:pPr>
        <w:pStyle w:val="ListParagraph"/>
        <w:numPr>
          <w:ilvl w:val="2"/>
          <w:numId w:val="17"/>
        </w:numPr>
      </w:pPr>
      <w:r>
        <w:t>see inverse relationship between estrogen levels and food intake, hard to measure (follicular stage and ovariectomy)</w:t>
      </w:r>
    </w:p>
    <w:p w14:paraId="7EC0E4D4" w14:textId="59D7C473" w:rsidR="00CA6E1C" w:rsidRDefault="00CA6E1C" w:rsidP="00CA6E1C">
      <w:pPr>
        <w:pStyle w:val="ListParagraph"/>
        <w:numPr>
          <w:ilvl w:val="2"/>
          <w:numId w:val="17"/>
        </w:numPr>
      </w:pPr>
      <w:r>
        <w:t>cyclic treatment of estradiol to OVX rats normalizes food intake and weight gain</w:t>
      </w:r>
    </w:p>
    <w:p w14:paraId="459863E1" w14:textId="28D45486" w:rsidR="00CA6E1C" w:rsidRDefault="00CA6E1C" w:rsidP="00CA6E1C">
      <w:pPr>
        <w:pStyle w:val="ListParagraph"/>
        <w:numPr>
          <w:ilvl w:val="1"/>
          <w:numId w:val="17"/>
        </w:numPr>
      </w:pPr>
      <w:r>
        <w:t>leptin and insulin are adiposity signals, estrogen and leptin have overlapping target nuclei (hypothalamus)</w:t>
      </w:r>
    </w:p>
    <w:p w14:paraId="74BB6973" w14:textId="0E2C82D8" w:rsidR="00CA6E1C" w:rsidRDefault="00CA6E1C" w:rsidP="00CA6E1C">
      <w:pPr>
        <w:pStyle w:val="ListParagraph"/>
        <w:numPr>
          <w:ilvl w:val="2"/>
          <w:numId w:val="17"/>
        </w:numPr>
      </w:pPr>
      <w:r>
        <w:t xml:space="preserve">leptin inhibits hunger, decrease fat storage </w:t>
      </w:r>
    </w:p>
    <w:p w14:paraId="5AB43CE8" w14:textId="77777777" w:rsidR="00CB323D" w:rsidRPr="00CB323D" w:rsidRDefault="00CB323D" w:rsidP="00CB323D">
      <w:pPr>
        <w:pStyle w:val="ListParagraph"/>
        <w:numPr>
          <w:ilvl w:val="2"/>
          <w:numId w:val="17"/>
        </w:numPr>
      </w:pPr>
      <w:r w:rsidRPr="00CB323D">
        <w:t>Increased subcutaneous fat in females vs males</w:t>
      </w:r>
    </w:p>
    <w:p w14:paraId="5CA45CF4" w14:textId="3A111C62" w:rsidR="00CB323D" w:rsidRDefault="00CB323D" w:rsidP="00CB323D">
      <w:pPr>
        <w:pStyle w:val="ListParagraph"/>
        <w:numPr>
          <w:ilvl w:val="2"/>
          <w:numId w:val="17"/>
        </w:numPr>
      </w:pPr>
      <w:r w:rsidRPr="00CB323D">
        <w:t>Estrogen increase lipolysis for visceral fat specifically, increasing fat in subcutaneous region</w:t>
      </w:r>
    </w:p>
    <w:p w14:paraId="43A2B706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higher in females compared to males, independent of body composition</w:t>
      </w:r>
    </w:p>
    <w:p w14:paraId="54544A9A" w14:textId="77777777" w:rsidR="008911BB" w:rsidRPr="008911BB" w:rsidRDefault="008911BB" w:rsidP="008911BB">
      <w:pPr>
        <w:pStyle w:val="ListParagraph"/>
        <w:numPr>
          <w:ilvl w:val="2"/>
          <w:numId w:val="17"/>
        </w:numPr>
      </w:pPr>
      <w:r w:rsidRPr="008911BB">
        <w:t>Leptin levels inversely correlated with testosterone</w:t>
      </w:r>
    </w:p>
    <w:p w14:paraId="2502B40B" w14:textId="433B1D6B" w:rsidR="008911BB" w:rsidRDefault="008911BB" w:rsidP="008911BB">
      <w:pPr>
        <w:pStyle w:val="ListParagraph"/>
        <w:numPr>
          <w:ilvl w:val="2"/>
          <w:numId w:val="17"/>
        </w:numPr>
      </w:pPr>
      <w:r w:rsidRPr="008911BB">
        <w:t xml:space="preserve">In obese </w:t>
      </w:r>
      <w:r>
        <w:t xml:space="preserve">and aging men, increase conversion of androgens to estrogen </w:t>
      </w:r>
    </w:p>
    <w:p w14:paraId="6ACADEB3" w14:textId="3F431D1F" w:rsidR="00BD0044" w:rsidRDefault="00BD0044" w:rsidP="00CA6E1C">
      <w:pPr>
        <w:pStyle w:val="ListParagraph"/>
        <w:numPr>
          <w:ilvl w:val="2"/>
          <w:numId w:val="17"/>
        </w:numPr>
      </w:pPr>
      <w:hyperlink r:id="rId52" w:history="1">
        <w:r w:rsidRPr="00235D20">
          <w:rPr>
            <w:rStyle w:val="Hyperlink"/>
          </w:rPr>
          <w:t>https://pubmed.ncbi.nlm.nih.gov/10098489/</w:t>
        </w:r>
      </w:hyperlink>
    </w:p>
    <w:p w14:paraId="30EB7182" w14:textId="0A543413" w:rsidR="00BD0044" w:rsidRDefault="00BD0044" w:rsidP="00CA6E1C">
      <w:pPr>
        <w:pStyle w:val="ListParagraph"/>
        <w:numPr>
          <w:ilvl w:val="2"/>
          <w:numId w:val="17"/>
        </w:numPr>
      </w:pPr>
      <w:r>
        <w:t>Androgens and estrogen modulate leptin levels</w:t>
      </w:r>
    </w:p>
    <w:p w14:paraId="5B5E6E81" w14:textId="18061995" w:rsidR="00C510CC" w:rsidRDefault="00C510CC" w:rsidP="00C510CC">
      <w:pPr>
        <w:pStyle w:val="ListParagraph"/>
        <w:numPr>
          <w:ilvl w:val="1"/>
          <w:numId w:val="17"/>
        </w:numPr>
      </w:pPr>
      <w:r>
        <w:t>Insulin not as stable adiposity signal, but male rate are more sensitive to insulin while female rat more sensitive to leptin</w:t>
      </w:r>
    </w:p>
    <w:p w14:paraId="3D10279F" w14:textId="5DC95242" w:rsidR="00C510CC" w:rsidRDefault="00C510CC" w:rsidP="00C510CC">
      <w:pPr>
        <w:pStyle w:val="ListParagraph"/>
        <w:numPr>
          <w:ilvl w:val="2"/>
          <w:numId w:val="17"/>
        </w:numPr>
      </w:pPr>
      <w:r>
        <w:t>In humans, men and not women, lose weight, fat, and waist circumference following insulin administration</w:t>
      </w:r>
    </w:p>
    <w:p w14:paraId="285B640A" w14:textId="01609A14" w:rsidR="00CA6E1C" w:rsidRDefault="00F73A21" w:rsidP="00CA6E1C">
      <w:pPr>
        <w:pStyle w:val="ListParagraph"/>
        <w:numPr>
          <w:ilvl w:val="0"/>
          <w:numId w:val="17"/>
        </w:numPr>
      </w:pPr>
      <w:r>
        <w:t>fat free mass</w:t>
      </w:r>
      <w:r w:rsidR="00493709">
        <w:t xml:space="preserve"> and estrogen</w:t>
      </w:r>
    </w:p>
    <w:p w14:paraId="7203ABA2" w14:textId="752FF62E" w:rsidR="00493709" w:rsidRDefault="00493709" w:rsidP="00493709">
      <w:pPr>
        <w:pStyle w:val="ListParagraph"/>
        <w:numPr>
          <w:ilvl w:val="1"/>
          <w:numId w:val="17"/>
        </w:numPr>
      </w:pPr>
      <w:hyperlink r:id="rId53" w:history="1">
        <w:r w:rsidRPr="00A6002A">
          <w:rPr>
            <w:rStyle w:val="Hyperlink"/>
          </w:rPr>
          <w:t>https://www.ncbi.nlm.nih.gov/pmc/articles/PMC4555869/</w:t>
        </w:r>
      </w:hyperlink>
    </w:p>
    <w:p w14:paraId="2B7F58ED" w14:textId="6C930235" w:rsidR="00493709" w:rsidRDefault="00493709" w:rsidP="00493709">
      <w:pPr>
        <w:pStyle w:val="ListParagraph"/>
        <w:numPr>
          <w:ilvl w:val="1"/>
          <w:numId w:val="17"/>
        </w:numPr>
      </w:pPr>
      <w:r>
        <w:t xml:space="preserve">Fat-free mass decreased in response to ovarian hormone </w:t>
      </w:r>
      <w:r w:rsidR="00D0319F">
        <w:t>suppression</w:t>
      </w:r>
    </w:p>
    <w:p w14:paraId="317AE5CF" w14:textId="39394073" w:rsidR="00D0319F" w:rsidRDefault="00D0319F" w:rsidP="00493709">
      <w:pPr>
        <w:pStyle w:val="ListParagraph"/>
        <w:numPr>
          <w:ilvl w:val="1"/>
          <w:numId w:val="17"/>
        </w:numPr>
      </w:pPr>
      <w:hyperlink r:id="rId54" w:history="1">
        <w:r w:rsidRPr="00A6002A">
          <w:rPr>
            <w:rStyle w:val="Hyperlink"/>
          </w:rPr>
          <w:t>https://journals.physiology.org/doi/full/10.1152/advan.90111.2008</w:t>
        </w:r>
      </w:hyperlink>
    </w:p>
    <w:p w14:paraId="696225B2" w14:textId="4D252A08" w:rsidR="00D0319F" w:rsidRDefault="00D0319F" w:rsidP="00493709">
      <w:pPr>
        <w:pStyle w:val="ListParagraph"/>
        <w:numPr>
          <w:ilvl w:val="1"/>
          <w:numId w:val="17"/>
        </w:numPr>
      </w:pPr>
      <w:r>
        <w:t>Both testosterone and estrogen have anabolic effects on lean mass</w:t>
      </w:r>
    </w:p>
    <w:p w14:paraId="0A11BAE6" w14:textId="468DC7D4" w:rsidR="00397352" w:rsidRDefault="00397352" w:rsidP="00397352">
      <w:pPr>
        <w:pStyle w:val="ListParagraph"/>
        <w:numPr>
          <w:ilvl w:val="0"/>
          <w:numId w:val="17"/>
        </w:numPr>
      </w:pPr>
      <w:r>
        <w:t>Skeletal muscle sex differences</w:t>
      </w:r>
    </w:p>
    <w:p w14:paraId="148CD355" w14:textId="4779C9D7" w:rsidR="00397352" w:rsidRDefault="00397352" w:rsidP="00397352">
      <w:pPr>
        <w:pStyle w:val="ListParagraph"/>
        <w:numPr>
          <w:ilvl w:val="1"/>
          <w:numId w:val="17"/>
        </w:numPr>
      </w:pPr>
      <w:hyperlink r:id="rId55" w:history="1">
        <w:r w:rsidRPr="00A6002A">
          <w:rPr>
            <w:rStyle w:val="Hyperlink"/>
          </w:rPr>
          <w:t>https://www.ncbi.nlm.nih.gov/pmc/articles/PMC2148100/</w:t>
        </w:r>
      </w:hyperlink>
    </w:p>
    <w:p w14:paraId="26411393" w14:textId="4B63E907" w:rsidR="00D549ED" w:rsidRDefault="00D549ED" w:rsidP="00397352">
      <w:pPr>
        <w:pStyle w:val="ListParagraph"/>
        <w:numPr>
          <w:ilvl w:val="1"/>
          <w:numId w:val="17"/>
        </w:numPr>
      </w:pPr>
      <w:r>
        <w:t>Myostatin receptor expressed more in women</w:t>
      </w:r>
    </w:p>
    <w:p w14:paraId="52EF86F6" w14:textId="58216FB3" w:rsidR="00D549ED" w:rsidRDefault="00D549ED" w:rsidP="00397352">
      <w:pPr>
        <w:pStyle w:val="ListParagraph"/>
        <w:numPr>
          <w:ilvl w:val="1"/>
          <w:numId w:val="17"/>
        </w:numPr>
      </w:pPr>
      <w:r>
        <w:t>Myostatin inhibits muscle cell growth</w:t>
      </w:r>
    </w:p>
    <w:p w14:paraId="15C71167" w14:textId="2C2CEFEC" w:rsidR="00A65D8E" w:rsidRDefault="00A65D8E" w:rsidP="00397352">
      <w:pPr>
        <w:pStyle w:val="ListParagraph"/>
        <w:numPr>
          <w:ilvl w:val="1"/>
          <w:numId w:val="17"/>
        </w:numPr>
      </w:pPr>
      <w:hyperlink r:id="rId56" w:history="1">
        <w:r w:rsidRPr="00A6002A">
          <w:rPr>
            <w:rStyle w:val="Hyperlink"/>
          </w:rPr>
          <w:t>https://pubmed.ncbi.nlm.nih.gov/15738643/</w:t>
        </w:r>
      </w:hyperlink>
    </w:p>
    <w:p w14:paraId="1EDB05A3" w14:textId="7FE0068F" w:rsidR="00A65D8E" w:rsidRDefault="00A65D8E" w:rsidP="00397352">
      <w:pPr>
        <w:pStyle w:val="ListParagraph"/>
        <w:numPr>
          <w:ilvl w:val="1"/>
          <w:numId w:val="17"/>
        </w:numPr>
      </w:pPr>
      <w:r>
        <w:t>Addison’s disease: skeletal muscle wasting common symptom in adrenal insufficiency</w:t>
      </w:r>
    </w:p>
    <w:p w14:paraId="331C3C26" w14:textId="7E41C4EA" w:rsidR="007F5C83" w:rsidRDefault="009555C1" w:rsidP="00CA6E1C">
      <w:pPr>
        <w:pStyle w:val="ListParagraph"/>
        <w:numPr>
          <w:ilvl w:val="0"/>
          <w:numId w:val="17"/>
        </w:numPr>
      </w:pPr>
      <w:r>
        <w:t>waist circumference and visceral fat in CKD</w:t>
      </w:r>
    </w:p>
    <w:p w14:paraId="017FC472" w14:textId="42970B1B" w:rsidR="009555C1" w:rsidRDefault="009555C1" w:rsidP="009555C1">
      <w:pPr>
        <w:pStyle w:val="ListParagraph"/>
        <w:numPr>
          <w:ilvl w:val="1"/>
          <w:numId w:val="17"/>
        </w:numPr>
      </w:pPr>
      <w:hyperlink r:id="rId57" w:history="1">
        <w:r w:rsidRPr="00235D20">
          <w:rPr>
            <w:rStyle w:val="Hyperlink"/>
          </w:rPr>
          <w:t>https://pubmed.ncbi.nlm.nih.gov/21087417/</w:t>
        </w:r>
      </w:hyperlink>
    </w:p>
    <w:p w14:paraId="67CF122C" w14:textId="78133E38" w:rsidR="009555C1" w:rsidRDefault="009555C1" w:rsidP="009555C1">
      <w:pPr>
        <w:pStyle w:val="ListParagraph"/>
        <w:numPr>
          <w:ilvl w:val="1"/>
          <w:numId w:val="17"/>
        </w:numPr>
      </w:pPr>
      <w:r>
        <w:t>Higher BMI associated with lower mortality in CKD kidney transplant patients after adjustment for waist circumference</w:t>
      </w:r>
    </w:p>
    <w:p w14:paraId="1546D80B" w14:textId="6FCA08E4" w:rsidR="009555C1" w:rsidRDefault="009555C1" w:rsidP="009555C1">
      <w:pPr>
        <w:pStyle w:val="ListParagraph"/>
        <w:numPr>
          <w:ilvl w:val="2"/>
          <w:numId w:val="17"/>
        </w:numPr>
      </w:pPr>
      <w:r>
        <w:t>Opposite effect: higher waist circumference (bmi adj)</w:t>
      </w:r>
      <w:r w:rsidR="00D729C8">
        <w:t xml:space="preserve"> more strongly associated with higher mortality</w:t>
      </w:r>
    </w:p>
    <w:p w14:paraId="34C40458" w14:textId="7E5C8796" w:rsidR="00D729C8" w:rsidRDefault="00D729C8" w:rsidP="00D729C8">
      <w:pPr>
        <w:pStyle w:val="ListParagraph"/>
        <w:numPr>
          <w:ilvl w:val="0"/>
          <w:numId w:val="17"/>
        </w:numPr>
      </w:pPr>
      <w:r>
        <w:t>Waist to hip ratio, bmi and kidney</w:t>
      </w:r>
    </w:p>
    <w:p w14:paraId="3ECA82B3" w14:textId="58C6F9AD" w:rsidR="00D729C8" w:rsidRDefault="00D729C8" w:rsidP="00D729C8">
      <w:pPr>
        <w:pStyle w:val="ListParagraph"/>
        <w:numPr>
          <w:ilvl w:val="1"/>
          <w:numId w:val="17"/>
        </w:numPr>
      </w:pPr>
      <w:hyperlink r:id="rId58" w:history="1">
        <w:r w:rsidRPr="00235D20">
          <w:rPr>
            <w:rStyle w:val="Hyperlink"/>
          </w:rPr>
          <w:t>https://www.ncbi.nlm.nih.gov/pmc/articles/PMC4052757/</w:t>
        </w:r>
      </w:hyperlink>
    </w:p>
    <w:p w14:paraId="5D37A9AF" w14:textId="252E5BA6" w:rsidR="00D729C8" w:rsidRDefault="00D729C8" w:rsidP="00D729C8">
      <w:pPr>
        <w:pStyle w:val="ListParagraph"/>
        <w:numPr>
          <w:ilvl w:val="1"/>
          <w:numId w:val="17"/>
        </w:numPr>
      </w:pPr>
      <w:r>
        <w:lastRenderedPageBreak/>
        <w:t>WHR, but not BMI is associated with incident CKD and mortality; BMI appears to be protective, although WHR and BMI are often highly correlated</w:t>
      </w:r>
    </w:p>
    <w:p w14:paraId="7E7EB8BB" w14:textId="0D13AE7E" w:rsidR="00493709" w:rsidRDefault="00E40858" w:rsidP="00493709">
      <w:pPr>
        <w:pStyle w:val="ListParagraph"/>
        <w:numPr>
          <w:ilvl w:val="0"/>
          <w:numId w:val="17"/>
        </w:numPr>
      </w:pPr>
      <w:r>
        <w:t>Testosterone and body composition</w:t>
      </w:r>
    </w:p>
    <w:p w14:paraId="4B09975E" w14:textId="748097DA" w:rsidR="003736D0" w:rsidRDefault="003736D0" w:rsidP="003736D0">
      <w:pPr>
        <w:pStyle w:val="ListParagraph"/>
        <w:numPr>
          <w:ilvl w:val="1"/>
          <w:numId w:val="17"/>
        </w:numPr>
      </w:pPr>
      <w:hyperlink r:id="rId59" w:history="1">
        <w:r w:rsidRPr="00A6002A">
          <w:rPr>
            <w:rStyle w:val="Hyperlink"/>
          </w:rPr>
          <w:t>https://www.ncbi.nlm.nih.gov/pmc/articles/PMC4154787/</w:t>
        </w:r>
      </w:hyperlink>
    </w:p>
    <w:p w14:paraId="2487CB3C" w14:textId="4187B96D" w:rsidR="003736D0" w:rsidRDefault="003736D0" w:rsidP="003736D0">
      <w:pPr>
        <w:pStyle w:val="ListParagraph"/>
        <w:numPr>
          <w:ilvl w:val="1"/>
          <w:numId w:val="17"/>
        </w:numPr>
      </w:pPr>
      <w:r>
        <w:t>Testosterone therapy linked to increased lean body mass, decreased fat mass, weight loss</w:t>
      </w:r>
    </w:p>
    <w:p w14:paraId="0EE15D19" w14:textId="152ED86F" w:rsidR="00DA6B15" w:rsidRDefault="00DA6B15" w:rsidP="00DA6B15">
      <w:pPr>
        <w:pStyle w:val="ListParagraph"/>
        <w:numPr>
          <w:ilvl w:val="2"/>
          <w:numId w:val="17"/>
        </w:numPr>
      </w:pPr>
      <w:r>
        <w:t>Reduction in waist circumference and BMI</w:t>
      </w:r>
    </w:p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75pt;height:590.25pt" o:ole="">
            <v:imagedata r:id="rId60" o:title=""/>
          </v:shape>
          <o:OLEObject Type="Embed" ProgID="Word.OpenDocumentText.12" ShapeID="_x0000_i1029" DrawAspect="Content" ObjectID="_1690152491" r:id="rId61"/>
        </w:object>
      </w:r>
    </w:p>
    <w:bookmarkStart w:id="8" w:name="_MON_1686663387"/>
    <w:bookmarkEnd w:id="8"/>
    <w:p w14:paraId="08715009" w14:textId="65980B87" w:rsidR="004505CA" w:rsidRDefault="00C719D8" w:rsidP="00226F25">
      <w:r>
        <w:object w:dxaOrig="9360" w:dyaOrig="2182" w14:anchorId="0FC61F2A">
          <v:shape id="_x0000_i1030" type="#_x0000_t75" style="width:468.75pt;height:108.75pt" o:ole="">
            <v:imagedata r:id="rId62" o:title=""/>
          </v:shape>
          <o:OLEObject Type="Embed" ProgID="Word.OpenDocumentText.12" ShapeID="_x0000_i1030" DrawAspect="Content" ObjectID="_1690152492" r:id="rId63"/>
        </w:object>
      </w:r>
    </w:p>
    <w:p w14:paraId="7B024886" w14:textId="1250FF57" w:rsidR="00F17276" w:rsidRDefault="00F17276" w:rsidP="00696C39">
      <w:pPr>
        <w:pStyle w:val="Heading3"/>
      </w:pPr>
      <w:r>
        <w:t>Format Neale</w:t>
      </w:r>
    </w:p>
    <w:bookmarkStart w:id="9" w:name="_MON_1685800431"/>
    <w:bookmarkEnd w:id="9"/>
    <w:p w14:paraId="58E701CF" w14:textId="226645C3" w:rsidR="00696C39" w:rsidRPr="001C7A32" w:rsidRDefault="00541554">
      <w:r>
        <w:object w:dxaOrig="9360" w:dyaOrig="8641" w14:anchorId="7B3D1FAC">
          <v:shape id="_x0000_i1031" type="#_x0000_t75" style="width:468.75pt;height:6in" o:ole="">
            <v:imagedata r:id="rId64" o:title=""/>
          </v:shape>
          <o:OLEObject Type="Embed" ProgID="Word.OpenDocumentText.12" ShapeID="_x0000_i1031" DrawAspect="Content" ObjectID="_1690152493" r:id="rId65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0" w:name="_MON_1686050876"/>
    <w:bookmarkEnd w:id="10"/>
    <w:p w14:paraId="167FAE6F" w14:textId="42B16587" w:rsidR="00696C39" w:rsidRDefault="00696C39" w:rsidP="00696C39">
      <w:r>
        <w:object w:dxaOrig="9360" w:dyaOrig="8641" w14:anchorId="4A24665A">
          <v:shape id="_x0000_i1032" type="#_x0000_t75" style="width:468.75pt;height:6in" o:ole="">
            <v:imagedata r:id="rId66" o:title=""/>
          </v:shape>
          <o:OLEObject Type="Embed" ProgID="Word.OpenDocumentText.12" ShapeID="_x0000_i1032" DrawAspect="Content" ObjectID="_1690152494" r:id="rId67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1" w:name="_MON_1686395970"/>
    <w:bookmarkEnd w:id="11"/>
    <w:p w14:paraId="2AB21F9F" w14:textId="04BCC523" w:rsidR="00A13CC5" w:rsidRPr="00696C39" w:rsidRDefault="00FD7457" w:rsidP="00696C39">
      <w:r>
        <w:object w:dxaOrig="9360" w:dyaOrig="12552" w14:anchorId="157469DB">
          <v:shape id="_x0000_i1033" type="#_x0000_t75" style="width:468.75pt;height:627.75pt" o:ole="">
            <v:imagedata r:id="rId68" o:title=""/>
          </v:shape>
          <o:OLEObject Type="Embed" ProgID="Word.OpenDocumentText.12" ShapeID="_x0000_i1033" DrawAspect="Content" ObjectID="_1690152495" r:id="rId69"/>
        </w:object>
      </w:r>
    </w:p>
    <w:p w14:paraId="28ECE6C7" w14:textId="1A750903" w:rsidR="00696C39" w:rsidRDefault="00A274FB" w:rsidP="00A274FB">
      <w:pPr>
        <w:pStyle w:val="Heading3"/>
      </w:pPr>
      <w:r>
        <w:lastRenderedPageBreak/>
        <w:t>Heritability Plots – Jupyter Notebook</w:t>
      </w:r>
    </w:p>
    <w:bookmarkStart w:id="12" w:name="_MON_1687874152"/>
    <w:bookmarkEnd w:id="12"/>
    <w:p w14:paraId="16E77F20" w14:textId="78740911" w:rsidR="00A274FB" w:rsidRDefault="00A274FB" w:rsidP="00A274FB">
      <w:r>
        <w:object w:dxaOrig="9360" w:dyaOrig="6955" w14:anchorId="06A3089D">
          <v:shape id="_x0000_i1034" type="#_x0000_t75" style="width:468pt;height:348pt" o:ole="">
            <v:imagedata r:id="rId70" o:title=""/>
          </v:shape>
          <o:OLEObject Type="Embed" ProgID="Word.OpenDocumentText.12" ShapeID="_x0000_i1034" DrawAspect="Content" ObjectID="_1690152496" r:id="rId71"/>
        </w:object>
      </w:r>
    </w:p>
    <w:bookmarkStart w:id="13" w:name="_MON_1687874563"/>
    <w:bookmarkEnd w:id="13"/>
    <w:p w14:paraId="168CC432" w14:textId="358C3AB4" w:rsidR="00A274FB" w:rsidRDefault="00A274FB" w:rsidP="00A274FB">
      <w:r>
        <w:object w:dxaOrig="9360" w:dyaOrig="4847" w14:anchorId="711A01ED">
          <v:shape id="_x0000_i1035" type="#_x0000_t75" style="width:468pt;height:242.25pt" o:ole="">
            <v:imagedata r:id="rId72" o:title=""/>
          </v:shape>
          <o:OLEObject Type="Embed" ProgID="Word.OpenDocumentText.12" ShapeID="_x0000_i1035" DrawAspect="Content" ObjectID="_1690152497" r:id="rId73"/>
        </w:object>
      </w:r>
    </w:p>
    <w:bookmarkStart w:id="14" w:name="_MON_1687874595"/>
    <w:bookmarkEnd w:id="14"/>
    <w:p w14:paraId="5FB4CC5A" w14:textId="67DF22D6" w:rsidR="00A274FB" w:rsidRPr="00A274FB" w:rsidRDefault="00A274FB" w:rsidP="00A274FB">
      <w:r>
        <w:object w:dxaOrig="9360" w:dyaOrig="9484" w14:anchorId="33EF44DA">
          <v:shape id="_x0000_i1036" type="#_x0000_t75" style="width:468pt;height:474.75pt" o:ole="">
            <v:imagedata r:id="rId74" o:title=""/>
          </v:shape>
          <o:OLEObject Type="Embed" ProgID="Word.OpenDocumentText.12" ShapeID="_x0000_i1036" DrawAspect="Content" ObjectID="_1690152498" r:id="rId75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F400C9"/>
    <w:multiLevelType w:val="hybridMultilevel"/>
    <w:tmpl w:val="7DF21546"/>
    <w:lvl w:ilvl="0" w:tplc="8CC6E9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4670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6C2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6C0A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D60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647D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46C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F24E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309E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8921D7D"/>
    <w:multiLevelType w:val="hybridMultilevel"/>
    <w:tmpl w:val="171CE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D864E2"/>
    <w:multiLevelType w:val="hybridMultilevel"/>
    <w:tmpl w:val="18CA4B66"/>
    <w:lvl w:ilvl="0" w:tplc="E17E4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450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CAA6D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0E0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4299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E1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EE0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0EA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305F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5"/>
  </w:num>
  <w:num w:numId="6">
    <w:abstractNumId w:val="16"/>
  </w:num>
  <w:num w:numId="7">
    <w:abstractNumId w:val="12"/>
  </w:num>
  <w:num w:numId="8">
    <w:abstractNumId w:val="0"/>
  </w:num>
  <w:num w:numId="9">
    <w:abstractNumId w:val="18"/>
  </w:num>
  <w:num w:numId="10">
    <w:abstractNumId w:val="3"/>
  </w:num>
  <w:num w:numId="11">
    <w:abstractNumId w:val="17"/>
  </w:num>
  <w:num w:numId="12">
    <w:abstractNumId w:val="6"/>
  </w:num>
  <w:num w:numId="13">
    <w:abstractNumId w:val="9"/>
  </w:num>
  <w:num w:numId="14">
    <w:abstractNumId w:val="2"/>
  </w:num>
  <w:num w:numId="15">
    <w:abstractNumId w:val="4"/>
  </w:num>
  <w:num w:numId="16">
    <w:abstractNumId w:val="10"/>
  </w:num>
  <w:num w:numId="17">
    <w:abstractNumId w:val="8"/>
  </w:num>
  <w:num w:numId="18">
    <w:abstractNumId w:val="7"/>
  </w:num>
  <w:num w:numId="19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80BD1"/>
    <w:rsid w:val="000C6E09"/>
    <w:rsid w:val="000E12CF"/>
    <w:rsid w:val="00113FAD"/>
    <w:rsid w:val="00120336"/>
    <w:rsid w:val="00145354"/>
    <w:rsid w:val="00151653"/>
    <w:rsid w:val="00175852"/>
    <w:rsid w:val="0018488A"/>
    <w:rsid w:val="001A1A32"/>
    <w:rsid w:val="001C5DB4"/>
    <w:rsid w:val="001C7A32"/>
    <w:rsid w:val="001D0862"/>
    <w:rsid w:val="001D75B9"/>
    <w:rsid w:val="001E572A"/>
    <w:rsid w:val="001E740A"/>
    <w:rsid w:val="001F6A3B"/>
    <w:rsid w:val="00225DBE"/>
    <w:rsid w:val="00226F25"/>
    <w:rsid w:val="00234666"/>
    <w:rsid w:val="00255F1D"/>
    <w:rsid w:val="00287E41"/>
    <w:rsid w:val="00295DDC"/>
    <w:rsid w:val="002D0F65"/>
    <w:rsid w:val="002D4398"/>
    <w:rsid w:val="002F7C8F"/>
    <w:rsid w:val="0032115C"/>
    <w:rsid w:val="00335F50"/>
    <w:rsid w:val="00347C35"/>
    <w:rsid w:val="003736D0"/>
    <w:rsid w:val="00380EB9"/>
    <w:rsid w:val="00397352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0410"/>
    <w:rsid w:val="004271A6"/>
    <w:rsid w:val="00441B2C"/>
    <w:rsid w:val="00442267"/>
    <w:rsid w:val="004505CA"/>
    <w:rsid w:val="00475F62"/>
    <w:rsid w:val="004840F1"/>
    <w:rsid w:val="004863B0"/>
    <w:rsid w:val="00493709"/>
    <w:rsid w:val="004958D9"/>
    <w:rsid w:val="004A0F7C"/>
    <w:rsid w:val="004C286A"/>
    <w:rsid w:val="004D3673"/>
    <w:rsid w:val="004D3A73"/>
    <w:rsid w:val="004D5CFC"/>
    <w:rsid w:val="004E6E32"/>
    <w:rsid w:val="00507DA1"/>
    <w:rsid w:val="0051111F"/>
    <w:rsid w:val="00515306"/>
    <w:rsid w:val="00515E32"/>
    <w:rsid w:val="005328EC"/>
    <w:rsid w:val="00541554"/>
    <w:rsid w:val="00543659"/>
    <w:rsid w:val="00560D22"/>
    <w:rsid w:val="00563813"/>
    <w:rsid w:val="005A5693"/>
    <w:rsid w:val="005A61B7"/>
    <w:rsid w:val="005D5CBA"/>
    <w:rsid w:val="00615198"/>
    <w:rsid w:val="0062270E"/>
    <w:rsid w:val="00623C64"/>
    <w:rsid w:val="00624870"/>
    <w:rsid w:val="00624D54"/>
    <w:rsid w:val="00633049"/>
    <w:rsid w:val="00637CDA"/>
    <w:rsid w:val="00641040"/>
    <w:rsid w:val="006523D5"/>
    <w:rsid w:val="00687FE0"/>
    <w:rsid w:val="00695C3A"/>
    <w:rsid w:val="00696C39"/>
    <w:rsid w:val="006A5958"/>
    <w:rsid w:val="006A7AED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5C83"/>
    <w:rsid w:val="007F6F81"/>
    <w:rsid w:val="008055C9"/>
    <w:rsid w:val="008258B4"/>
    <w:rsid w:val="00837CDB"/>
    <w:rsid w:val="008465C6"/>
    <w:rsid w:val="00852F80"/>
    <w:rsid w:val="00865CC1"/>
    <w:rsid w:val="00872987"/>
    <w:rsid w:val="008868FB"/>
    <w:rsid w:val="008911BB"/>
    <w:rsid w:val="008A65B9"/>
    <w:rsid w:val="008E3B47"/>
    <w:rsid w:val="009043E2"/>
    <w:rsid w:val="009043FE"/>
    <w:rsid w:val="009066F1"/>
    <w:rsid w:val="009265E8"/>
    <w:rsid w:val="0093536A"/>
    <w:rsid w:val="0094181D"/>
    <w:rsid w:val="00947903"/>
    <w:rsid w:val="009555C1"/>
    <w:rsid w:val="00957B6E"/>
    <w:rsid w:val="00981AED"/>
    <w:rsid w:val="00990AEC"/>
    <w:rsid w:val="0099525D"/>
    <w:rsid w:val="009A2D7B"/>
    <w:rsid w:val="009C3E2D"/>
    <w:rsid w:val="009C449B"/>
    <w:rsid w:val="009D35A3"/>
    <w:rsid w:val="009D7C94"/>
    <w:rsid w:val="009E1C3B"/>
    <w:rsid w:val="009E6D73"/>
    <w:rsid w:val="009F20A6"/>
    <w:rsid w:val="009F7627"/>
    <w:rsid w:val="00A13CC5"/>
    <w:rsid w:val="00A21694"/>
    <w:rsid w:val="00A274FB"/>
    <w:rsid w:val="00A31C04"/>
    <w:rsid w:val="00A4074F"/>
    <w:rsid w:val="00A550D5"/>
    <w:rsid w:val="00A604A2"/>
    <w:rsid w:val="00A609EA"/>
    <w:rsid w:val="00A65D8E"/>
    <w:rsid w:val="00A65F60"/>
    <w:rsid w:val="00A715C4"/>
    <w:rsid w:val="00A86056"/>
    <w:rsid w:val="00A874E6"/>
    <w:rsid w:val="00A905BD"/>
    <w:rsid w:val="00AC0FA0"/>
    <w:rsid w:val="00AC4D35"/>
    <w:rsid w:val="00AD1FDB"/>
    <w:rsid w:val="00AD52E4"/>
    <w:rsid w:val="00AD7972"/>
    <w:rsid w:val="00B12868"/>
    <w:rsid w:val="00B76B40"/>
    <w:rsid w:val="00B816D8"/>
    <w:rsid w:val="00B93EAC"/>
    <w:rsid w:val="00B970D8"/>
    <w:rsid w:val="00BD0044"/>
    <w:rsid w:val="00BE1BA2"/>
    <w:rsid w:val="00C1234D"/>
    <w:rsid w:val="00C23FB5"/>
    <w:rsid w:val="00C2726D"/>
    <w:rsid w:val="00C307D4"/>
    <w:rsid w:val="00C37032"/>
    <w:rsid w:val="00C510CC"/>
    <w:rsid w:val="00C605BE"/>
    <w:rsid w:val="00C659C1"/>
    <w:rsid w:val="00C719D8"/>
    <w:rsid w:val="00C919D3"/>
    <w:rsid w:val="00CA058C"/>
    <w:rsid w:val="00CA6E1C"/>
    <w:rsid w:val="00CB323D"/>
    <w:rsid w:val="00CD2DEE"/>
    <w:rsid w:val="00D0319F"/>
    <w:rsid w:val="00D06C4B"/>
    <w:rsid w:val="00D163BE"/>
    <w:rsid w:val="00D22053"/>
    <w:rsid w:val="00D2699C"/>
    <w:rsid w:val="00D35FC2"/>
    <w:rsid w:val="00D46B61"/>
    <w:rsid w:val="00D549ED"/>
    <w:rsid w:val="00D719A0"/>
    <w:rsid w:val="00D729C8"/>
    <w:rsid w:val="00D815E0"/>
    <w:rsid w:val="00DA6B15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40858"/>
    <w:rsid w:val="00E71287"/>
    <w:rsid w:val="00E743C1"/>
    <w:rsid w:val="00E76836"/>
    <w:rsid w:val="00EC2870"/>
    <w:rsid w:val="00EF347A"/>
    <w:rsid w:val="00F04D6E"/>
    <w:rsid w:val="00F17276"/>
    <w:rsid w:val="00F27BDC"/>
    <w:rsid w:val="00F44A3C"/>
    <w:rsid w:val="00F70E82"/>
    <w:rsid w:val="00F73A21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E408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5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5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59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340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hyperlink" Target="https://www.nature.com/articles/1001373" TargetMode="External"/><Relationship Id="rId55" Type="http://schemas.openxmlformats.org/officeDocument/2006/relationships/hyperlink" Target="https://www.ncbi.nlm.nih.gov/pmc/articles/PMC2148100/" TargetMode="External"/><Relationship Id="rId63" Type="http://schemas.openxmlformats.org/officeDocument/2006/relationships/oleObject" Target="embeddings/oleObject6.bin"/><Relationship Id="rId68" Type="http://schemas.openxmlformats.org/officeDocument/2006/relationships/image" Target="media/image34.emf"/><Relationship Id="rId76" Type="http://schemas.openxmlformats.org/officeDocument/2006/relationships/fontTable" Target="fontTable.xml"/><Relationship Id="rId7" Type="http://schemas.openxmlformats.org/officeDocument/2006/relationships/image" Target="media/image1.emf"/><Relationship Id="rId71" Type="http://schemas.openxmlformats.org/officeDocument/2006/relationships/oleObject" Target="embeddings/oleObject10.bin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hyperlink" Target="https://www.ncbi.nlm.nih.gov/pmc/articles/PMC4555869/" TargetMode="External"/><Relationship Id="rId58" Type="http://schemas.openxmlformats.org/officeDocument/2006/relationships/hyperlink" Target="https://www.ncbi.nlm.nih.gov/pmc/articles/PMC4052757/" TargetMode="External"/><Relationship Id="rId66" Type="http://schemas.openxmlformats.org/officeDocument/2006/relationships/image" Target="media/image33.emf"/><Relationship Id="rId74" Type="http://schemas.openxmlformats.org/officeDocument/2006/relationships/image" Target="media/image37.emf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ahajournals.org/doi/10.1161/01.HYP.37.5.1199" TargetMode="External"/><Relationship Id="rId57" Type="http://schemas.openxmlformats.org/officeDocument/2006/relationships/hyperlink" Target="https://pubmed.ncbi.nlm.nih.gov/21087417/" TargetMode="External"/><Relationship Id="rId61" Type="http://schemas.openxmlformats.org/officeDocument/2006/relationships/oleObject" Target="embeddings/oleObject5.bin"/><Relationship Id="rId10" Type="http://schemas.openxmlformats.org/officeDocument/2006/relationships/oleObject" Target="embeddings/oleObject2.bin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hyperlink" Target="https://pubmed.ncbi.nlm.nih.gov/10098489/" TargetMode="External"/><Relationship Id="rId60" Type="http://schemas.openxmlformats.org/officeDocument/2006/relationships/image" Target="media/image30.emf"/><Relationship Id="rId65" Type="http://schemas.openxmlformats.org/officeDocument/2006/relationships/oleObject" Target="embeddings/oleObject7.bin"/><Relationship Id="rId73" Type="http://schemas.openxmlformats.org/officeDocument/2006/relationships/oleObject" Target="embeddings/oleObject11.bin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hyperlink" Target="https://pubmed.ncbi.nlm.nih.gov/15738643/" TargetMode="External"/><Relationship Id="rId64" Type="http://schemas.openxmlformats.org/officeDocument/2006/relationships/image" Target="media/image32.emf"/><Relationship Id="rId69" Type="http://schemas.openxmlformats.org/officeDocument/2006/relationships/oleObject" Target="embeddings/oleObject9.bin"/><Relationship Id="rId77" Type="http://schemas.microsoft.com/office/2011/relationships/people" Target="people.xml"/><Relationship Id="rId8" Type="http://schemas.openxmlformats.org/officeDocument/2006/relationships/oleObject" Target="embeddings/oleObject1.bin"/><Relationship Id="rId51" Type="http://schemas.openxmlformats.org/officeDocument/2006/relationships/hyperlink" Target="https://www.ncbi.nlm.nih.gov/pmc/articles/PMC4507503/" TargetMode="External"/><Relationship Id="rId72" Type="http://schemas.openxmlformats.org/officeDocument/2006/relationships/image" Target="media/image36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www.ncbi.nlm.nih.gov/pmc/articles/PMC4154787/" TargetMode="External"/><Relationship Id="rId67" Type="http://schemas.openxmlformats.org/officeDocument/2006/relationships/oleObject" Target="embeddings/oleObject8.bin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hyperlink" Target="https://journals.physiology.org/doi/full/10.1152/advan.90111.2008" TargetMode="External"/><Relationship Id="rId62" Type="http://schemas.openxmlformats.org/officeDocument/2006/relationships/image" Target="media/image31.emf"/><Relationship Id="rId70" Type="http://schemas.openxmlformats.org/officeDocument/2006/relationships/image" Target="media/image35.emf"/><Relationship Id="rId75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11939</TotalTime>
  <Pages>25</Pages>
  <Words>3011</Words>
  <Characters>17168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160</cp:revision>
  <dcterms:created xsi:type="dcterms:W3CDTF">2021-06-10T19:19:00Z</dcterms:created>
  <dcterms:modified xsi:type="dcterms:W3CDTF">2021-08-11T06:57:00Z</dcterms:modified>
</cp:coreProperties>
</file>