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left"/>
      </w:pPr>
      <w:r>
        <w:rPr>
          <w:rFonts w:ascii="Arial" w:hAnsi="Arial" w:cs="Arial"/>
          <w:b w:val="0"/>
          <w:i w:val="0"/>
          <w:color w:val="969696"/>
          <w:sz w:val="18"/>
        </w:rPr>
        <w:t>Tendência futura 00.04 - horizonte 2027-2035</w:t>
      </w:r>
    </w:p>
    <w:p>
      <w:pPr>
        <w:spacing w:after="100" w:before="0"/>
        <w:jc w:val="left"/>
      </w:pPr>
      <w:r>
        <w:rPr>
          <w:rFonts w:ascii="Arial" w:hAnsi="Arial" w:cs="Arial"/>
          <w:b/>
          <w:i w:val="0"/>
          <w:sz w:val="40"/>
        </w:rPr>
        <w:t>A Hora Certa da Proteína</w:t>
      </w:r>
    </w:p>
    <w:p>
      <w:pPr>
        <w:spacing w:after="440" w:before="0"/>
        <w:jc w:val="left"/>
      </w:pPr>
      <w:r>
        <w:rPr>
          <w:rFonts w:ascii="Arial" w:hAnsi="Arial" w:cs="Arial"/>
          <w:b w:val="0"/>
          <w:i/>
          <w:color w:val="5A5A5A"/>
          <w:sz w:val="22"/>
        </w:rPr>
      </w:r>
      <w:r>
        <w:rPr>
          <w:rFonts w:ascii="Arial" w:hAnsi="Arial" w:cs="Arial"/>
          <w:i/>
          <w:color w:val="5A5A5A"/>
          <w:sz w:val="22"/>
        </w:rPr>
        <w:t>A ciência dos ritmos circadianos demonstrou que o horário em que a proteína é consumida altera o resultado fisiológico de forma mensurável. O produto capaz de entregar essa precisão ao consumidor ainda não existe.</w:t>
      </w:r>
    </w:p>
    <w:p>
      <w:pPr>
        <w:spacing w:after="200" w:before="0"/>
        <w:jc w:val="both"/>
      </w:pPr>
      <w:r>
        <w:rPr>
          <w:rFonts w:ascii="Arial" w:hAnsi="Arial" w:cs="Arial"/>
          <w:b w:val="0"/>
          <w:i w:val="0"/>
          <w:sz w:val="22"/>
        </w:rPr>
        <w:t>Desde que o mercado de suplementação proteica se consolidou, a grande obsessão da indústria foi a dose. Quanto de proteína por quilo de peso corporal? Quantas gramas por refeição? Quantas doses por dia? O quando ficou em segundo plano, reduzido a uma recomendação genérica de "tomar após o treino". O problema é que essa simplificação ignora uma camada inteira da biologia muscular: o músculo tem um relógio interno. E esse relógio determina, com precisão molecular, em que momentos do dia o tecido muscular está programado para construir proteína e em que momentos está programado para degradá-la. A crononutrição proteica é a tendência que emerge da convergência entre a biologia circadiana, a nutrição esportiva e a tecnologia de monitoramento contínuo, e ela aponta para uma conclusão que ainda não chegou às prateleiras de suplementos: o horário de consumo da proteína é uma variável ativa no resultado, não um detalhe logístico.</w:t>
      </w:r>
    </w:p>
    <w:p>
      <w:pPr>
        <w:spacing w:after="200" w:before="0"/>
        <w:jc w:val="both"/>
      </w:pPr>
      <w:r>
        <w:rPr>
          <w:rFonts w:ascii="Arial" w:hAnsi="Arial" w:cs="Arial"/>
          <w:b w:val="0"/>
          <w:i w:val="0"/>
          <w:sz w:val="22"/>
        </w:rPr>
        <w:t>A base molecular dessa afirmação foi estabelecida ao longo da última década, mas ganhou resolução científica significativa em estudos publicados entre 2024 e 2025. O músculo esquelético possui um relógio periférico autônomo, regulado por proteínas chamadas genes do relógio, sendo o BMAL1 o principal ativador transcricional desse sistema. Um estudo publicado nos Proceedings of the National Academy of Sciences (PNAS) em 2025 demonstrou que o relógio circadiano periférico do músculo controla ativamente a degradação proteica noturna por meio do equilíbrio entre as proteínas ROR e REV-ERB. Quando esse relógio funciona corretamente, ele suprime a autofagia muscular nas horas que antecedem o despertar, protegendo a massa construída durante o dia. Quando é perturbado, por alimentação fora de fase, privação de sono ou padrões irregulares de treino, o músculo degrada proteína em momentos nos quais deveria preservá-la. Outro estudo publicado no PNAS no mesmo ano demonstrou que a sinalização mTOR, via central da síntese proteica muscular, apresenta pico de sensibilidade durante a fase ativa do organismo, quando a insulina e os hormônios anabólicos estão em maior concentração plasmática. Consumir proteína fora dessa janela não equivale, necessariamente, a consumir proteína com o mesmo resultado.</w:t>
      </w:r>
    </w:p>
    <w:p>
      <w:pPr>
        <w:spacing w:after="200" w:before="0"/>
        <w:jc w:val="both"/>
      </w:pPr>
      <w:r>
        <w:rPr>
          <w:rFonts w:ascii="Arial" w:hAnsi="Arial" w:cs="Arial"/>
          <w:b w:val="0"/>
          <w:i w:val="0"/>
          <w:sz w:val="22"/>
        </w:rPr>
        <w:t>Os ensaios clínicos que investigaram o efeito do horário de consumo proteico sobre a composição corporal revelam um cenário mais complexo do que a recomendação genérica sugere. Uma meta-análise publicada no PMC em 2025, que revisou sistematicamente ensaios sobre timing proteico e adaptações ao exercício, identificou que o efeito do horário é modulado pelo cronótipo individual, pelo momento do treino em relação ao ciclo circadiano e pelo tipo de proteína consumida. Em um estudo publicado na Frontiers in Nutrition (2024) com homens treinados em resistência, diferentes distribuições temporais da proteína diária produziram resultados distintos em composição corporal e performance muscular, mesmo com ingestão total idêntica. Estudos anteriores já haviam demonstrado que consumo de 20 a 30 gramas de proteína à noite produzia maior massa magra nos membros inferiores em comparação ao consumo da mesma quantidade à tarde. Outros, porém, mostraram que maior proporção do total proteico consumida pela manhã estava associada a melhor força de preensão e preservação de massa muscular em adultos mais velhos. O que os dados não mostram é um protocolo universal. O que mostram é que o horário importa, e que a variável moduladora é o relógio biológico de cada indivíduo.</w:t>
      </w:r>
    </w:p>
    <w:p>
      <w:pPr>
        <w:spacing w:after="200" w:before="0"/>
        <w:jc w:val="both"/>
      </w:pPr>
      <w:r>
        <w:rPr>
          <w:rFonts w:ascii="Arial" w:hAnsi="Arial" w:cs="Arial"/>
          <w:b w:val="0"/>
          <w:i w:val="0"/>
          <w:sz w:val="22"/>
        </w:rPr>
        <w:t>O motivo pelo qual essa descoberta ainda não gerou uma categoria de produto é técnico: até recentemente, não havia forma acessível de identificar em que fase circadiana um consumidor específico se encontra no momento em que considera tomar seu suplemento. O cronótipo, a tendência biológica de cada pessoa para ser matutina ou vespertina, é apenas uma aproximação grosseira do estado circadiano real, que varia com a estação do ano, padrões de sono, exposição à luz e histórico recente de alimentação. Determinar com precisão a janela anabólica circadiana de um indivíduo exige monitoramento contínuo de biomarcadores como temperatura corporal periférica, cortisol e melatonina, que são justamente os dados que wearables de nova geração, como anéis inteligentes e monitores contínuos de glicose, passaram a capturar em escala comercial a partir de 2024 e 2025. É essa convergência tecnológica que abre a janela para a crononutrição proteica como categoria real de produto, e não apenas como protocolo experimental de laboratório.</w:t>
      </w:r>
    </w:p>
    <w:p>
      <w:pPr>
        <w:spacing w:after="200" w:before="0"/>
        <w:jc w:val="both"/>
      </w:pPr>
      <w:r>
        <w:rPr>
          <w:rFonts w:ascii="Arial" w:hAnsi="Arial" w:cs="Arial"/>
          <w:b w:val="0"/>
          <w:i w:val="0"/>
          <w:sz w:val="22"/>
        </w:rPr>
        <w:t>O cenário que se projeta para o horizonte 2027-2035 é o de suplementos proteicos que não existem para serem tomados em horário fixo, mas em horário recomendado. Um aplicativo conectado ao wearable do usuário identifica, a partir dos dados de temperatura corporal, variabilidade de frequência cardíaca e padrão de sono, em que fase do ritmo circadiano o organismo se encontra, e envia uma notificação indicando a janela ideal para consumo da proteína. A formulação pode variar conforme o horário: proteína de absorção rápida, como o whey isolado enriquecido com leucina, para momentos de pico anabólico durante a fase ativa; proteína de absorção lenta, como a caseína micelar, para o período pré-sono, aproveitando o mecanismo natural de supressão da degradação muscular noturna descrito nos estudos do PNAS. O mercado global de nutrição personalizada, avaliado em USD 15,80 bilhões em 2025 e projetado para USD 60,92 bilhões até 2035 pela GlobeNewswire, e o mercado de wearables, estimado em USD 101,8 bilhões em 2025, formam juntos o substrato econômico sobre o qual essa categoria emergirá. Nenhuma empresa lançou ainda um produto estruturado em torno do cronótipo e do ritmo circadiano como variável principal de prescrição proteica. Esse espaço está vazio.</w:t>
      </w:r>
    </w:p>
    <w:p>
      <w:pPr>
        <w:spacing w:after="200" w:before="0"/>
        <w:jc w:val="both"/>
      </w:pPr>
      <w:r>
        <w:rPr>
          <w:rFonts w:ascii="Arial" w:hAnsi="Arial" w:cs="Arial"/>
          <w:b w:val="0"/>
          <w:i w:val="0"/>
          <w:sz w:val="22"/>
        </w:rPr>
        <w:t>A implicação mais profunda da crononutrição proteica não é técnica: é conceitual. Ela propõe que o ingrediente ativo de um suplemento proteico não é apenas o aminograma da proteína, mas também o momento em que ela encontra o músculo. Isso muda o que uma marca de suplementos precisa entregar ao consumidor: não apenas uma formulação, mas um protocolo temporizado, integrado aos dados biológicos do usuário e ajustado continuamente conforme seu padrão de sono, treino e exposição à luz. O setor que primeiro transformar essa cadeia, da biologia circadiana ao produto na prateleira com instrução de horário individualizada, criará uma categoria de suplementação que não pode ser replicada por um concorrente que vende apenas pó em um pote. A pergunta que define o próximo capítulo da suplementação proteica não é mais "qual proteína tomar", mas "quando o seu corpo está pronto para recebê-la".</w:t>
      </w:r>
    </w:p>
    <w:p>
      <w:pPr>
        <w:spacing w:after="120" w:before="280"/>
        <w:jc w:val="both"/>
      </w:pPr>
      <w:r>
        <w:rPr>
          <w:rFonts w:ascii="Arial" w:hAnsi="Arial" w:cs="Arial"/>
          <w:b/>
          <w:i w:val="0"/>
          <w:sz w:val="22"/>
        </w:rPr>
        <w:t>Referências:</w:t>
      </w:r>
    </w:p>
    <w:p>
      <w:pPr>
        <w:spacing w:after="60"/>
        <w:jc w:val="left"/>
      </w:pPr>
      <w:r>
        <w:rPr>
          <w:rFonts w:ascii="Arial" w:hAnsi="Arial" w:cs="Arial"/>
          <w:b w:val="0"/>
          <w:i w:val="0"/>
          <w:sz w:val="18"/>
        </w:rPr>
        <w:t>Muscle peripheral circadian clock drives nocturnal protein degradation via raised Ror/Rev-erb balance and prevents premature sarcopenia. PNAS (2025). https://www.pnas.org/doi/10.1073/pnas.2422446122</w:t>
      </w:r>
    </w:p>
    <w:p>
      <w:pPr>
        <w:spacing w:after="60"/>
        <w:jc w:val="left"/>
      </w:pPr>
      <w:r>
        <w:rPr>
          <w:rFonts w:ascii="Arial" w:hAnsi="Arial" w:cs="Arial"/>
          <w:b w:val="0"/>
          <w:i w:val="0"/>
          <w:sz w:val="18"/>
        </w:rPr>
        <w:t>Control of circadian muscle glucose metabolism through the BMAL1-HIF axis in obesity. PNAS (2025). https://www.pnas.org/doi/10.1073/pnas.2424046122</w:t>
      </w:r>
    </w:p>
    <w:p>
      <w:pPr>
        <w:spacing w:after="60"/>
        <w:jc w:val="left"/>
      </w:pPr>
      <w:r>
        <w:rPr>
          <w:rFonts w:ascii="Arial" w:hAnsi="Arial" w:cs="Arial"/>
          <w:b w:val="0"/>
          <w:i w:val="0"/>
          <w:sz w:val="18"/>
        </w:rPr>
        <w:t>Circadian Control of Protein Synthesis. PMC / NIH (2025). https://pmc.ncbi.nlm.nih.gov/articles/PMC11848126/</w:t>
      </w:r>
    </w:p>
    <w:p>
      <w:pPr>
        <w:spacing w:after="60"/>
        <w:jc w:val="left"/>
      </w:pPr>
      <w:r>
        <w:rPr>
          <w:rFonts w:ascii="Arial" w:hAnsi="Arial" w:cs="Arial"/>
          <w:b w:val="0"/>
          <w:i w:val="0"/>
          <w:sz w:val="18"/>
        </w:rPr>
        <w:t>Does Protein Ingestion Timing Affect Exercise-Induced Adaptations? A Systematic Review with Meta-Analysis. PMC (2025). https://pmc.ncbi.nlm.nih.gov/articles/PMC12250900/</w:t>
      </w:r>
    </w:p>
    <w:p>
      <w:pPr>
        <w:spacing w:after="60"/>
        <w:jc w:val="left"/>
      </w:pPr>
      <w:r>
        <w:rPr>
          <w:rFonts w:ascii="Arial" w:hAnsi="Arial" w:cs="Arial"/>
          <w:b w:val="0"/>
          <w:i w:val="0"/>
          <w:sz w:val="18"/>
        </w:rPr>
        <w:t>Timing matters? The effects of two different timing of high protein diets on body composition, muscular performance, and biochemical markers in resistance-trained males. Frontiers in Nutrition / PMC (2024). https://pmc.ncbi.nlm.nih.gov/articles/PMC11156191/</w:t>
      </w:r>
    </w:p>
    <w:p>
      <w:pPr>
        <w:spacing w:after="60"/>
        <w:jc w:val="left"/>
      </w:pPr>
      <w:r>
        <w:rPr>
          <w:rFonts w:ascii="Arial" w:hAnsi="Arial" w:cs="Arial"/>
          <w:b w:val="0"/>
          <w:i w:val="0"/>
          <w:sz w:val="18"/>
        </w:rPr>
        <w:t>Effects of Chrono-Exercise and Chrono-Nutrition on Muscle Health: Understanding the Molecular Mechanisms Activated by Timed Exercise and Consumption of Proteins and Carbohydrates. Nutrition Reviews, Oxford Academic (2025). https://academic.oup.com/nutritionreviews/article/83/8/1571/8058742</w:t>
      </w:r>
    </w:p>
    <w:p>
      <w:pPr>
        <w:spacing w:after="60"/>
        <w:jc w:val="left"/>
      </w:pPr>
      <w:r>
        <w:rPr>
          <w:rFonts w:ascii="Arial" w:hAnsi="Arial" w:cs="Arial"/>
          <w:b w:val="0"/>
          <w:i w:val="0"/>
          <w:sz w:val="18"/>
        </w:rPr>
        <w:t>Chrononutrition and Energy Balance: How Meal Timing and Circadian Rhythms Shape Weight Regulation and Metabolic Health. PMC / Nutrients (2025). https://pmc.ncbi.nlm.nih.gov/articles/PMC12252119/</w:t>
      </w:r>
    </w:p>
    <w:p>
      <w:pPr>
        <w:spacing w:after="60"/>
        <w:jc w:val="left"/>
      </w:pPr>
      <w:r>
        <w:rPr>
          <w:rFonts w:ascii="Arial" w:hAnsi="Arial" w:cs="Arial"/>
          <w:b w:val="0"/>
          <w:i w:val="0"/>
          <w:sz w:val="18"/>
        </w:rPr>
        <w:t>Identifying Chronotype for the Preservation of Muscle Mass, Quality and Strength. PMC (2026). https://pmc.ncbi.nlm.nih.gov/articles/PMC12844850/</w:t>
      </w:r>
    </w:p>
    <w:p>
      <w:pPr>
        <w:spacing w:after="60"/>
        <w:jc w:val="left"/>
      </w:pPr>
      <w:r>
        <w:rPr>
          <w:rFonts w:ascii="Arial" w:hAnsi="Arial" w:cs="Arial"/>
          <w:b w:val="0"/>
          <w:i w:val="0"/>
          <w:sz w:val="18"/>
        </w:rPr>
        <w:t>Exercise, circadian rhythms, and muscle regeneration: a path to healthy aging. Frontiers in Neuroscience / PMC (2025). https://pmc.ncbi.nlm.nih.gov/articles/PMC12546372/</w:t>
      </w:r>
    </w:p>
    <w:p>
      <w:pPr>
        <w:spacing w:after="60"/>
        <w:jc w:val="left"/>
      </w:pPr>
      <w:r>
        <w:rPr>
          <w:rFonts w:ascii="Arial" w:hAnsi="Arial" w:cs="Arial"/>
          <w:b w:val="0"/>
          <w:i w:val="0"/>
          <w:sz w:val="18"/>
        </w:rPr>
        <w:t>The Effects of Food on Circadian Rhythm: A Comprehensive Review. eFood, Wiley (2025). https://iadns.onlinelibrary.wiley.com/doi/full/10.1002/efd2.70092</w:t>
      </w:r>
    </w:p>
    <w:p>
      <w:pPr>
        <w:spacing w:after="60"/>
        <w:jc w:val="left"/>
      </w:pPr>
      <w:r>
        <w:rPr>
          <w:rFonts w:ascii="Arial" w:hAnsi="Arial" w:cs="Arial"/>
          <w:b w:val="0"/>
          <w:i w:val="0"/>
          <w:sz w:val="18"/>
        </w:rPr>
        <w:t>Transcriptional programming of lipid and amino acid metabolism by the skeletal muscle circadian clock. PLOS Biology. https://journals.plos.org/plosbiology/article?id=10.1371%2Fjournal.pbio.2005886</w:t>
      </w:r>
    </w:p>
    <w:p>
      <w:pPr>
        <w:spacing w:after="60"/>
        <w:jc w:val="left"/>
      </w:pPr>
      <w:r>
        <w:rPr>
          <w:rFonts w:ascii="Arial" w:hAnsi="Arial" w:cs="Arial"/>
          <w:b w:val="0"/>
          <w:i w:val="0"/>
          <w:sz w:val="18"/>
        </w:rPr>
        <w:t>GlobeNewswire. Personalized Nutrition Market Size to Reach USD 60.92 Billion by 2035 (2026). https://www.globenewswire.com/news-release/2026/03/03/3248051/0/en/Personalized-Nutrition-Market-Size-to-Reach-USD-60-92-Billion-by-2035</w:t>
      </w:r>
    </w:p>
    <w:p>
      <w:pPr>
        <w:spacing w:after="60"/>
        <w:jc w:val="left"/>
      </w:pPr>
      <w:r>
        <w:rPr>
          <w:rFonts w:ascii="Arial" w:hAnsi="Arial" w:cs="Arial"/>
          <w:b w:val="0"/>
          <w:i w:val="0"/>
          <w:sz w:val="18"/>
        </w:rPr>
        <w:t>InsightAce Analytic. AI in Personalized Nutrition Market 2026 to 2035. https://www.insightaceanalytic.com/report/ai-in-personalized-nutrition-market/2691</w:t>
      </w:r>
    </w:p>
    <w:p>
      <w:pPr>
        <w:spacing w:after="60"/>
        <w:jc w:val="left"/>
      </w:pPr>
      <w:r>
        <w:rPr>
          <w:rFonts w:ascii="Arial" w:hAnsi="Arial" w:cs="Arial"/>
          <w:b w:val="0"/>
          <w:i w:val="0"/>
          <w:sz w:val="18"/>
        </w:rPr>
        <w:t>Frontiers in Nutrition. Chrononutrition and cardiometabolic health: circadian timing as a dimension of precision nutrition (2026). https://www.frontiersin.org/journals/nutrition/articles/10.3389/fnut.2026.1779033/full</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