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left"/>
      </w:pPr>
      <w:r>
        <w:rPr>
          <w:rFonts w:ascii="Arial" w:hAnsi="Arial" w:cs="Arial"/>
          <w:b/>
          <w:sz w:val="32"/>
        </w:rPr>
        <w:t>Proteína Sob Medida: Nutrigenômica e Inteligência Artificial como Futuro da Suplementação Proteica</w:t>
      </w:r>
    </w:p>
    <w:p>
      <w:pPr>
        <w:spacing w:after="320" w:before="0"/>
        <w:jc w:val="left"/>
      </w:pPr>
      <w:r>
        <w:rPr>
          <w:rFonts w:ascii="Arial" w:hAnsi="Arial" w:cs="Arial"/>
          <w:b w:val="0"/>
          <w:color w:val="808080"/>
          <w:sz w:val="22"/>
        </w:rPr>
        <w:t>Tendência futura - horizonte 2027-2035</w:t>
      </w:r>
    </w:p>
    <w:p>
      <w:pPr>
        <w:spacing w:after="160" w:before="0"/>
        <w:jc w:val="both"/>
      </w:pPr>
      <w:r>
        <w:rPr>
          <w:rFonts w:ascii="Arial" w:hAnsi="Arial" w:cs="Arial"/>
          <w:b w:val="0"/>
          <w:sz w:val="22"/>
        </w:rPr>
        <w:t>Durante décadas, a indústria de suplementação proteica funcionou com base em uma premissa simples: uma proteína serve para todos. O whey protein era prescrito com as mesmas doses e no mesmo horário para um atleta de alto rendimento e para um universitário sedentário. Esse modelo de recomendação genérica está perto do fim. A convergência de três forças tecnológicas, a nutrigenômica, a inteligência artificial e a análise multiomics, está construindo a infraestrutura para uma nova era: a da suplementação proteica verdadeiramente personalizada, calibrada ao DNA, ao microbioma e ao histórico metabólico de cada indivíduo.</w:t>
      </w:r>
    </w:p>
    <w:p>
      <w:pPr>
        <w:spacing w:after="80" w:before="200"/>
        <w:jc w:val="both"/>
      </w:pPr>
      <w:r>
        <w:rPr>
          <w:rFonts w:ascii="Arial" w:hAnsi="Arial" w:cs="Arial"/>
          <w:b/>
          <w:sz w:val="22"/>
        </w:rPr>
        <w:t>O problema do modelo universal</w:t>
      </w:r>
    </w:p>
    <w:p>
      <w:pPr>
        <w:spacing w:after="160" w:before="0"/>
        <w:jc w:val="both"/>
      </w:pPr>
      <w:r>
        <w:rPr>
          <w:rFonts w:ascii="Arial" w:hAnsi="Arial" w:cs="Arial"/>
          <w:b w:val="0"/>
          <w:sz w:val="22"/>
        </w:rPr>
        <w:t>A variabilidade individual na resposta à proteína dietética é amplamente documentada na literatura científica, mas raramente incorporada na prática de prescrição. Indivíduos com o mesmo peso corporal, o mesmo nível de atividade física e o mesmo protocolo de treino podem apresentar respostas completamente distintas ao consumo de whey protein ou caseína, tanto na síntese proteica muscular quanto na distribuição de aminoácidos no plasma. Estudos publicados no PMC e na Frontiers in Nutrition demonstram que essa variabilidade é em parte determinada geneticamente, com polimorfismos de nucleotídeo único (SNPs) influenciando diretamente a absorção, o metabolismo e a utilização de aminoácidos essenciais.</w:t>
      </w:r>
    </w:p>
    <w:p>
      <w:pPr>
        <w:spacing w:after="80" w:before="200"/>
        <w:jc w:val="both"/>
      </w:pPr>
      <w:r>
        <w:rPr>
          <w:rFonts w:ascii="Arial" w:hAnsi="Arial" w:cs="Arial"/>
          <w:b/>
          <w:sz w:val="22"/>
        </w:rPr>
        <w:t>A base genética da resposta proteica</w:t>
      </w:r>
    </w:p>
    <w:p>
      <w:pPr>
        <w:spacing w:after="160" w:before="0"/>
        <w:jc w:val="both"/>
      </w:pPr>
      <w:r>
        <w:rPr>
          <w:rFonts w:ascii="Arial" w:hAnsi="Arial" w:cs="Arial"/>
          <w:b w:val="0"/>
          <w:sz w:val="22"/>
        </w:rPr>
        <w:t>Três genes se destacam na interface entre genética e metabolismo proteico. O gene ACTN3, frequentemente chamado de gene da velocidade, codifica a alfa-actinina-3, proteína estrutural das fibras musculares de contração rápida. Indivíduos portadores do genótipo RR apresentam maior densidade de fibras do tipo II e respondem de forma mais robusta à suplementação com proteínas de alto valor biológico, como o whey protein, especialmente quando combinadas com leucina. Já portadores do genótipo XX, que carecem de alfa-actinina-3 funcional, tendem a apresentar perfil de fibras musculares mais oxidativas e podem se beneficiar mais de proteínas com liberação lenta, como a caseína. Uma revisão sistemática e meta-análise publicada no Journal of Innovative and Creativity em 2025, que compilou estudos com 2.530 atletas de força e 6.652 controles, confirmou o papel do ACTN3 na determinação do perfil de performance e, por extensão, da resposta ao suporte nutricional proteico.</w:t>
      </w:r>
    </w:p>
    <w:p>
      <w:pPr>
        <w:spacing w:after="160" w:before="0"/>
        <w:jc w:val="both"/>
      </w:pPr>
      <w:r>
        <w:rPr>
          <w:rFonts w:ascii="Arial" w:hAnsi="Arial" w:cs="Arial"/>
          <w:b w:val="0"/>
          <w:sz w:val="22"/>
        </w:rPr>
        <w:t>O gene ACE, responsável pela codificação da enzima conversora de angiotensina, modula a eficiência cardiovascular e muscular. O polimorfismo ACE DD está associado a maior hipertrofia em resposta ao treino de resistência, enquanto o ACE II apresenta vantagens em modalidades de endurance. Esses perfis genéticos implicam estratégias de suplementação proteica distintas: atletas DD tendem a se beneficiar de protocolos com ciclagem de aminoácidos de cadeia ramificada (BCAAs), enquanto atletas II necessitam de aporte proteico mais consistente ao longo do dia para sustentar a recuperação muscular em cargas de volume elevado. O gene PPARGC1A, que codifica o regulador mestre da biogênese mitocondrial PGC-1alfa, completa esse tríduo: seus polimorfismos afetam diretamente a forma como o organismo utiliza proteína como substrato energético versus anabólico, o que tem implicações diretas para o momento e o tipo de suplemento proteico mais eficaz para cada indivíduo.</w:t>
      </w:r>
    </w:p>
    <w:p>
      <w:pPr>
        <w:spacing w:after="80" w:before="200"/>
        <w:jc w:val="both"/>
      </w:pPr>
      <w:r>
        <w:rPr>
          <w:rFonts w:ascii="Arial" w:hAnsi="Arial" w:cs="Arial"/>
          <w:b/>
          <w:sz w:val="22"/>
        </w:rPr>
        <w:t>A revolução multiomics: além do DNA</w:t>
      </w:r>
    </w:p>
    <w:p>
      <w:pPr>
        <w:spacing w:after="160" w:before="0"/>
        <w:jc w:val="both"/>
      </w:pPr>
      <w:r>
        <w:rPr>
          <w:rFonts w:ascii="Arial" w:hAnsi="Arial" w:cs="Arial"/>
          <w:b w:val="0"/>
          <w:sz w:val="22"/>
        </w:rPr>
        <w:t>A nutrigenômica de segunda geração não se limita ao genoma. Ela integra dados de pelo menos quatro camadas biológicas simultaneamente: genômica (variantes genéticas herdadas), metabolômica (compostos circulantes no sangue e urina que refletem o metabolismo em tempo real), proteômica (perfil de proteínas expressas no organismo) e microbioma intestinal (composição da flora bacteriana do intestino). Uma revisão publicada no Genes &amp; Nutrition (PMC) em 2025, desenvolvida por pesquisadores de múltiplas universidades, demonstrou que modelos computacionais capazes de integrar essas quatro camadas de dados atingiram acurácia superior a 90% na predição de respostas metabólicas individuais a intervenções dietéticas, incluindo suplementação proteica. Isso representa um salto qualitativo em relação aos modelos genéticos isolados, cuja acurácia tipicamente ficava abaixo de 75%.</w:t>
      </w:r>
    </w:p>
    <w:p>
      <w:pPr>
        <w:spacing w:after="160" w:before="0"/>
        <w:jc w:val="both"/>
      </w:pPr>
      <w:r>
        <w:rPr>
          <w:rFonts w:ascii="Arial" w:hAnsi="Arial" w:cs="Arial"/>
          <w:b w:val="0"/>
          <w:sz w:val="22"/>
        </w:rPr>
        <w:t>O papel do microbioma nesse contexto merece atenção especial. Pesquisas publicadas entre 2023 e 2025 demonstraram que a composição da microbiota intestinal influencia significativamente a digestão e a absorção de proteínas dietéticas. Bactérias do gênero Bifidobacterium e Lactobacillus, por exemplo, modulam a produção de aminoácidos a partir de proteínas ingeridas, afetando a biodisponibilidade efetiva de suplementos proteicos de forma que varia substancialmente entre indivíduos. Esse achado sugere que dois consumidores com o mesmo perfil genético e a mesma dose de whey protein podem absorver quantidades significativamente diferentes de leucina biodisponível, simplesmente em função da composição de sua flora intestinal.</w:t>
      </w:r>
    </w:p>
    <w:p>
      <w:pPr>
        <w:spacing w:after="80" w:before="200"/>
        <w:jc w:val="both"/>
      </w:pPr>
      <w:r>
        <w:rPr>
          <w:rFonts w:ascii="Arial" w:hAnsi="Arial" w:cs="Arial"/>
          <w:b/>
          <w:sz w:val="22"/>
        </w:rPr>
        <w:t>Inteligência artificial como motor da personalização</w:t>
      </w:r>
    </w:p>
    <w:p>
      <w:pPr>
        <w:spacing w:after="160" w:before="0"/>
        <w:jc w:val="both"/>
      </w:pPr>
      <w:r>
        <w:rPr>
          <w:rFonts w:ascii="Arial" w:hAnsi="Arial" w:cs="Arial"/>
          <w:b w:val="0"/>
          <w:sz w:val="22"/>
        </w:rPr>
        <w:t>A inteligência artificial é o elemento que torna a nutrigenômica escalável e comercialmente viável. Sem IA, a análise integrada de dados genômicos, metabolômicos e do microbioma seria um processo laboratorial lento, caro e inacessível para o consumidor comum. Com IA, o que antes demandava meses de análise laboratorial pode ser processado em horas, gerando recomendações proteicas personalizadas entregues diretamente ao aplicativo do consumidor. A publicação mais emblemática nesse campo em 2025 veio da Nature Scientific Reports: um estudo desenvolvido na interface entre ciência do esporte e machine learning construiu um framework preditivo baseado em redes adversariais generativas para recomendar suplementação individualizada de carboidrato e proteína para atletas de endurance, utilizando 231 ensaios com 46 variáveis de entrada cobrindo características basais e ingestas dietéticas. O modelo demonstrou capacidade de capturar padrões individuais de resposta que modelos convencionais baseados em médias populacionais não conseguiam detectar.</w:t>
      </w:r>
    </w:p>
    <w:p>
      <w:pPr>
        <w:spacing w:after="160" w:before="0"/>
        <w:jc w:val="both"/>
      </w:pPr>
      <w:r>
        <w:rPr>
          <w:rFonts w:ascii="Arial" w:hAnsi="Arial" w:cs="Arial"/>
          <w:b w:val="0"/>
          <w:sz w:val="22"/>
        </w:rPr>
        <w:t>Outra publicação relevante de 2025, publicada no American Journal of Clinical Nutrition, enfatizou que a IA não apenas melhora a precisão das recomendações nutricionais, mas também resolve um dos maiores gargalos da nutrição de precisão: a coleta de dados dietéticos. Modelos de visão computacional integrados a wearables permitem estimar o consumo proteico diário com acurácia similar à pesagem direta de alimentos, eliminando a dependência de recordatórios alimentares sujeitos a vieses de auto-relato. Na Universidade Estadual do Arizona, pesquisadores desenvolveram o sistema MealMeter, que combina dados fisiológicos (frequência cardíaca, glicose sanguínea), dados de movimentação e sinais ambientais para modelar respostas metabólicas pós-refeição em tempo real, incluindo a resposta individual a diferentes tipos de proteína ingerida.</w:t>
      </w:r>
    </w:p>
    <w:p>
      <w:pPr>
        <w:spacing w:after="80" w:before="200"/>
        <w:jc w:val="both"/>
      </w:pPr>
      <w:r>
        <w:rPr>
          <w:rFonts w:ascii="Arial" w:hAnsi="Arial" w:cs="Arial"/>
          <w:b/>
          <w:sz w:val="22"/>
        </w:rPr>
        <w:t>O mercado em formação</w:t>
      </w:r>
    </w:p>
    <w:p>
      <w:pPr>
        <w:spacing w:after="160" w:before="0"/>
        <w:jc w:val="both"/>
      </w:pPr>
      <w:r>
        <w:rPr>
          <w:rFonts w:ascii="Arial" w:hAnsi="Arial" w:cs="Arial"/>
          <w:b w:val="0"/>
          <w:sz w:val="22"/>
        </w:rPr>
        <w:t>O potencial econômico dessa convergência é expressivo. O mercado global de nutrição personalizada foi avaliado em USD 15,80 bilhões em 2025 e deve atingir USD 60,92 bilhões até 2035, crescendo a uma taxa composta de 15,04% ao ano, segundo dados do GlobeNewswire (2026). Dentro desse segmento, o mercado específico de nutrição personalizada baseada em IA crescerá ainda mais rapidamente: de USD 1,59 bilhão em 2025 para USD 17,72 bilhões em 2035, a uma CAGR de 27,4%, conforme o InsightAce Analytic. O segmento de suplementos e nutraceuticos representa a fatia dominante desse mercado, com aproximadamente 42,36% da participação de receita em 2025, segundo o SNS Insider, refletindo o apetite dos consumidores por soluções de suplementação que sejam ao mesmo tempo baseadas em ciência e adaptadas ao seu perfil único.</w:t>
      </w:r>
    </w:p>
    <w:p>
      <w:pPr>
        <w:spacing w:after="160" w:before="0"/>
        <w:jc w:val="both"/>
      </w:pPr>
      <w:r>
        <w:rPr>
          <w:rFonts w:ascii="Arial" w:hAnsi="Arial" w:cs="Arial"/>
          <w:b w:val="0"/>
          <w:sz w:val="22"/>
        </w:rPr>
        <w:t>O mercado específico de nutrigenômica, que inclui testes genéticos aplicados à nutrição, está saindo de uma fase de nicho para uma fase de crescimento acelerado: avaliado em USD 613 milhões em 2025, deve atingir USD 2,62 bilhões até 2034, crescendo a 17,52% ao ano, segundo a Precedence Research. O segmento de DNA digitalizado, que integra resultados de testes genéticos diretos ao consumidor com plataformas digitais de recomendação nutricional, crescerá ainda mais rápido: a 17,82% ao ano entre 2026 e 2035. Esse dado reflete a entrada de players como Genova Diagnostics, Nutrigenomix e startups de tecnologia em saúde que estão construindo pipelines end-to-end, do swab de saliva ao suplemento proteico formulado sob encomenda.</w:t>
      </w:r>
    </w:p>
    <w:p>
      <w:pPr>
        <w:spacing w:after="160" w:before="0"/>
        <w:jc w:val="both"/>
      </w:pPr>
      <w:r>
        <w:rPr>
          <w:rFonts w:ascii="Arial" w:hAnsi="Arial" w:cs="Arial"/>
          <w:b w:val="0"/>
          <w:sz w:val="22"/>
        </w:rPr>
        <w:t>Grandes ensaios clínicos globais já validaram a eficácia superior da abordagem personalizada sobre as recomendações genéricas. Os estudos PREDICT, FOOD4ME e PRECISION-HEALTH, compilados em revisão publicada em 2025, demonstraram melhorias significativas em controle glicêmico, gestão de peso e adesão dietética em grupos que receberam recomendações nutricionais personalizadas baseadas em dados multiomics em comparação com grupos de controle que seguiram guidelines nutricionais convencionais. O estudo FOOD4ME, especificamente conduzido em oito países europeus com mais de 1.200 participantes, mostrou que a personalização baseada em dados genômicos e fenômenos metabólicos levou a melhorias significativamente maiores na qualidade da dieta e na ingestão proteica adequada em comparação com conselhos dietéticos genéricos.</w:t>
      </w:r>
    </w:p>
    <w:p>
      <w:pPr>
        <w:spacing w:after="80" w:before="200"/>
        <w:jc w:val="both"/>
      </w:pPr>
      <w:r>
        <w:rPr>
          <w:rFonts w:ascii="Arial" w:hAnsi="Arial" w:cs="Arial"/>
          <w:b/>
          <w:sz w:val="22"/>
        </w:rPr>
        <w:t>Implicações para a indústria de suplementos proteicos</w:t>
      </w:r>
    </w:p>
    <w:p>
      <w:pPr>
        <w:spacing w:after="160" w:before="0"/>
        <w:jc w:val="both"/>
      </w:pPr>
      <w:r>
        <w:rPr>
          <w:rFonts w:ascii="Arial" w:hAnsi="Arial" w:cs="Arial"/>
          <w:b w:val="0"/>
          <w:sz w:val="22"/>
        </w:rPr>
        <w:t>A transição para a suplementação proteica personalizada não é apenas uma oportunidade de mercado: é uma pressão competitiva crescente sobre os players tradicionais. Marcas que hoje competem primariamente por preço ou sabor de seus whey proteins precisarão, nos próximos cinco a oito anos, integrar capacidades de análise de dados ou estabelecer parcerias com plataformas de nutrigenômica para manter relevância. O modelo de negócio emergente não é o de um produto vendido em prateleira, mas o de uma assinatura de protocolo proteico que se ajusta trimestralmente conforme a evolução dos biomarcadores do consumidor, seus objetivos e a resposta documentada ao suplemento anterior. Empresas como Persona Nutrition, Baze e Care/of já operam em versões embrionárias desse modelo, mas ainda sem a integração genômica e metabolômica que caracterizará a próxima geração de serviços.</w:t>
      </w:r>
    </w:p>
    <w:p>
      <w:pPr>
        <w:spacing w:after="80" w:before="200"/>
        <w:jc w:val="both"/>
      </w:pPr>
      <w:r>
        <w:rPr>
          <w:rFonts w:ascii="Arial" w:hAnsi="Arial" w:cs="Arial"/>
          <w:b/>
          <w:sz w:val="22"/>
        </w:rPr>
        <w:t>SÍNTESE</w:t>
      </w:r>
    </w:p>
    <w:p>
      <w:pPr>
        <w:spacing w:after="160" w:before="0"/>
        <w:jc w:val="both"/>
      </w:pPr>
      <w:r>
        <w:rPr>
          <w:rFonts w:ascii="Arial" w:hAnsi="Arial" w:cs="Arial"/>
          <w:b w:val="0"/>
          <w:sz w:val="22"/>
        </w:rPr>
        <w:t>A suplementação proteica personalizada não é uma promessa distante de laboratório. É a convergência de três campos já maduros, a genética nutricional, a análise computacional de dados biológicos e a inteligência artificial, que estão se encontrando no momento em que o custo de testes genômicos e processamento de dados atingiu níveis acessíveis ao consumidor final. O mercado global responde a esse sinal com taxas de crescimento que superam qualquer segmento tradicional da indústria de suplementos. A questão que o setor precisa responder nos próximos anos não é se a personalização proteica vai acontecer, mas quem construirá a infraestrutura para entregá-la em escala, e se a indústria brasileira, já 15° mercado global de suplementos, conseguirá capturar essa transformação antes que ela seja importada de fora.</w:t>
      </w:r>
    </w:p>
    <w:p>
      <w:pPr>
        <w:spacing w:after="120" w:before="200"/>
        <w:jc w:val="both"/>
      </w:pPr>
      <w:r>
        <w:rPr>
          <w:rFonts w:ascii="Arial" w:hAnsi="Arial" w:cs="Arial"/>
          <w:b/>
          <w:sz w:val="22"/>
        </w:rPr>
        <w:t>Referências:</w:t>
      </w:r>
    </w:p>
    <w:p>
      <w:pPr>
        <w:spacing w:after="80" w:before="0"/>
        <w:jc w:val="left"/>
      </w:pPr>
      <w:r>
        <w:rPr>
          <w:rFonts w:ascii="Arial" w:hAnsi="Arial" w:cs="Arial"/>
          <w:b w:val="0"/>
          <w:sz w:val="18"/>
        </w:rPr>
        <w:t>Nutrigenomics meets multi-omics: integrating genetic, metabolic, and microbiome data for personalized nutrition strategies. Genes &amp; Nutrition / PMC (2025). https://pmc.ncbi.nlm.nih.gov/articles/PMC12751198/</w:t>
      </w:r>
    </w:p>
    <w:p>
      <w:pPr>
        <w:spacing w:after="80" w:before="0"/>
        <w:jc w:val="left"/>
      </w:pPr>
      <w:r>
        <w:rPr>
          <w:rFonts w:ascii="Arial" w:hAnsi="Arial" w:cs="Arial"/>
          <w:b w:val="0"/>
          <w:sz w:val="18"/>
        </w:rPr>
        <w:t>AI-Driven Personalized Nutrition: Integrating Omics, Ethics, and Digital Health. Mundt et al. Molecular Nutrition &amp; Food Research, Wiley (2025). https://onlinelibrary.wiley.com/doi/10.1002/mnfr.70293</w:t>
      </w:r>
    </w:p>
    <w:p>
      <w:pPr>
        <w:spacing w:after="80" w:before="0"/>
        <w:jc w:val="left"/>
      </w:pPr>
      <w:r>
        <w:rPr>
          <w:rFonts w:ascii="Arial" w:hAnsi="Arial" w:cs="Arial"/>
          <w:b w:val="0"/>
          <w:sz w:val="18"/>
        </w:rPr>
        <w:t>Data-augmented machine learning for personalized carbohydrate-protein supplement recommendation for endurance. Nature Scientific Reports / PMC (2025). https://pmc.ncbi.nlm.nih.gov/articles/PMC12624012/</w:t>
      </w:r>
    </w:p>
    <w:p>
      <w:pPr>
        <w:spacing w:after="80" w:before="0"/>
        <w:jc w:val="left"/>
      </w:pPr>
      <w:r>
        <w:rPr>
          <w:rFonts w:ascii="Arial" w:hAnsi="Arial" w:cs="Arial"/>
          <w:b w:val="0"/>
          <w:sz w:val="18"/>
        </w:rPr>
        <w:t>Machine Learning-Driven Precision Nutrition: A Paradigm Evolution in Dietary Assessment and Intervention. Nutrients, MDPI (2025). https://www.mdpi.com/2072-6643/18/1/45</w:t>
      </w:r>
    </w:p>
    <w:p>
      <w:pPr>
        <w:spacing w:after="80" w:before="0"/>
        <w:jc w:val="left"/>
      </w:pPr>
      <w:r>
        <w:rPr>
          <w:rFonts w:ascii="Arial" w:hAnsi="Arial" w:cs="Arial"/>
          <w:b w:val="0"/>
          <w:sz w:val="18"/>
        </w:rPr>
        <w:t>Artificial Intelligence Applications to Personalized Dietary Recommendations: A Systematic Review. PMC (2025). https://www.ncbi.nlm.nih.gov/pmc/articles/PMC12193492/</w:t>
      </w:r>
    </w:p>
    <w:p>
      <w:pPr>
        <w:spacing w:after="80" w:before="0"/>
        <w:jc w:val="left"/>
      </w:pPr>
      <w:r>
        <w:rPr>
          <w:rFonts w:ascii="Arial" w:hAnsi="Arial" w:cs="Arial"/>
          <w:b w:val="0"/>
          <w:sz w:val="18"/>
        </w:rPr>
        <w:t>Advancing Personalized Nutrition Through Genetic Nutritional Insights. PMC (2025). https://www.ncbi.nlm.nih.gov/pmc/articles/PMC12251461/</w:t>
      </w:r>
    </w:p>
    <w:p>
      <w:pPr>
        <w:spacing w:after="80" w:before="0"/>
        <w:jc w:val="left"/>
      </w:pPr>
      <w:r>
        <w:rPr>
          <w:rFonts w:ascii="Arial" w:hAnsi="Arial" w:cs="Arial"/>
          <w:b w:val="0"/>
          <w:sz w:val="18"/>
        </w:rPr>
        <w:t>Precision nutrition in sports science: an opinion on omics-based personalization and athletic outcomes. PMC (2025). https://www.ncbi.nlm.nih.gov/pmc/articles/PMC12178852/</w:t>
      </w:r>
    </w:p>
    <w:p>
      <w:pPr>
        <w:spacing w:after="80" w:before="0"/>
        <w:jc w:val="left"/>
      </w:pPr>
      <w:r>
        <w:rPr>
          <w:rFonts w:ascii="Arial" w:hAnsi="Arial" w:cs="Arial"/>
          <w:b w:val="0"/>
          <w:sz w:val="18"/>
        </w:rPr>
        <w:t>Biomarker-Guided Dietary Supplementation: A Narrative Review of Precision in Personalized Nutrition. PMC (2024). https://www.ncbi.nlm.nih.gov/pmc/articles/PMC11643751/</w:t>
      </w:r>
    </w:p>
    <w:p>
      <w:pPr>
        <w:spacing w:after="80" w:before="0"/>
        <w:jc w:val="left"/>
      </w:pPr>
      <w:r>
        <w:rPr>
          <w:rFonts w:ascii="Arial" w:hAnsi="Arial" w:cs="Arial"/>
          <w:b w:val="0"/>
          <w:sz w:val="18"/>
        </w:rPr>
        <w:t>Unraveling the Roles of ACTN3, ACE, and PPARGC1A Genes in Power Performance: A Systematic Review and Meta-Analysis. Journal of Innovative and Creativity (2025). https://joecy.org/index.php/joecy/article/view/8296</w:t>
      </w:r>
    </w:p>
    <w:p>
      <w:pPr>
        <w:spacing w:after="80" w:before="0"/>
        <w:jc w:val="left"/>
      </w:pPr>
      <w:r>
        <w:rPr>
          <w:rFonts w:ascii="Arial" w:hAnsi="Arial" w:cs="Arial"/>
          <w:b w:val="0"/>
          <w:sz w:val="18"/>
        </w:rPr>
        <w:t>Current insights into genome-based personalized nutrition technology: a patent review. Frontiers in Nutrition (2024). https://www.frontiersin.org/journals/nutrition/articles/10.3389/fnut.2024.1346144/full</w:t>
      </w:r>
    </w:p>
    <w:p>
      <w:pPr>
        <w:spacing w:after="80" w:before="0"/>
        <w:jc w:val="left"/>
      </w:pPr>
      <w:r>
        <w:rPr>
          <w:rFonts w:ascii="Arial" w:hAnsi="Arial" w:cs="Arial"/>
          <w:b w:val="0"/>
          <w:sz w:val="18"/>
        </w:rPr>
        <w:t>Integrating multi-omics data for personalized nutrition using knowledge graphs and graph neural networks. ScienceDirect (2025). https://www.sciencedirect.com/science/article/abs/pii/S1476927125004347</w:t>
      </w:r>
    </w:p>
    <w:p>
      <w:pPr>
        <w:spacing w:after="80" w:before="0"/>
        <w:jc w:val="left"/>
      </w:pPr>
      <w:r>
        <w:rPr>
          <w:rFonts w:ascii="Arial" w:hAnsi="Arial" w:cs="Arial"/>
          <w:b w:val="0"/>
          <w:sz w:val="18"/>
        </w:rPr>
        <w:t>AI and machine learning in nutrition: the promise, the challenge, and recommendations. American Journal of Clinical Nutrition (2025). https://ajcn.nutrition.org/article/S0002-9165(25)00718-X/abstract</w:t>
      </w:r>
    </w:p>
    <w:p>
      <w:pPr>
        <w:spacing w:after="80" w:before="0"/>
        <w:jc w:val="left"/>
      </w:pPr>
      <w:r>
        <w:rPr>
          <w:rFonts w:ascii="Arial" w:hAnsi="Arial" w:cs="Arial"/>
          <w:b w:val="0"/>
          <w:sz w:val="18"/>
        </w:rPr>
        <w:t>GlobeNewswire. Personalized Nutrition Market Size to Reach USD 60.92 Billion by 2035 (2026). https://www.globenewswire.com/news-release/2026/03/03/3248051/0/en/Personalized-Nutrition-Market-Size-to-Reach-USD-60-92-Billion-by-2035-Expansion-is-Driven-by-the-Surging-Consumer-Awareness-Related-to-Preventive-Healthcare-Globally.html</w:t>
      </w:r>
    </w:p>
    <w:p>
      <w:pPr>
        <w:spacing w:after="80" w:before="0"/>
        <w:jc w:val="left"/>
      </w:pPr>
      <w:r>
        <w:rPr>
          <w:rFonts w:ascii="Arial" w:hAnsi="Arial" w:cs="Arial"/>
          <w:b w:val="0"/>
          <w:sz w:val="18"/>
        </w:rPr>
        <w:t>InsightAce Analytic. AI in Personalized Nutrition Market Latest Published Study 2026 to 2035. https://www.insightaceanalytic.com/report/ai-in-personalized-nutrition-market/2691</w:t>
      </w:r>
    </w:p>
    <w:p>
      <w:pPr>
        <w:spacing w:after="80" w:before="0"/>
        <w:jc w:val="left"/>
      </w:pPr>
      <w:r>
        <w:rPr>
          <w:rFonts w:ascii="Arial" w:hAnsi="Arial" w:cs="Arial"/>
          <w:b w:val="0"/>
          <w:sz w:val="18"/>
        </w:rPr>
        <w:t>Precedence Research. Nutrigenomics Market Size, Share and Trends 2026 to 2035. https://www.precedenceresearch.com/nutrigenomics-market</w:t>
      </w:r>
    </w:p>
    <w:p>
      <w:pPr>
        <w:spacing w:after="80" w:before="0"/>
        <w:jc w:val="left"/>
      </w:pPr>
      <w:r>
        <w:rPr>
          <w:rFonts w:ascii="Arial" w:hAnsi="Arial" w:cs="Arial"/>
          <w:b w:val="0"/>
          <w:sz w:val="18"/>
        </w:rPr>
        <w:t>SNS Insider. Personalized Nutrition Market Size, Share &amp; Growth Report 2035. https://www.snsinsider.com/reports/personalized-nutrition-market-3878</w:t>
      </w:r>
    </w:p>
    <w:p>
      <w:pPr>
        <w:spacing w:after="80" w:before="0"/>
        <w:jc w:val="left"/>
      </w:pPr>
      <w:r>
        <w:rPr>
          <w:rFonts w:ascii="Arial" w:hAnsi="Arial" w:cs="Arial"/>
          <w:b w:val="0"/>
          <w:sz w:val="18"/>
        </w:rPr>
        <w:t>Precision Nutrition Innovations 2026: Digitally Advanced with AI. GreyB Research. https://www.greyb.com/blog/precision-nutrition-innovations/</w:t>
      </w:r>
    </w:p>
    <w:p>
      <w:pPr>
        <w:spacing w:after="80" w:before="0"/>
        <w:jc w:val="left"/>
      </w:pPr>
      <w:r>
        <w:rPr>
          <w:rFonts w:ascii="Arial" w:hAnsi="Arial" w:cs="Arial"/>
          <w:b w:val="0"/>
          <w:sz w:val="18"/>
        </w:rPr>
        <w:t>Frontiers in Nutrition. Artificial intelligence in personalized nutrition and food manufacturing (2025). https://www.frontiersin.org/journals/nutrition/articles/10.3389/fnut.2025.1636980/full</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