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Os estudos mostram tendências em grupos: algumas pessoas se saíram melhor tomando proteína à noite, outras de manhã. O que isso revela é que não existe um horário certo universal. O horário ideal depende do ritmo biológico de cada pessoa.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E esse ritmo é individual: cada pessoa tem o seu próprio horário de pico de construção muscular.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hora do whey, ou agora é hora da caseína. O mercado de nutrição personalizada vai de USD 15 bilhões hoje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Impacto no consumidor:</w:t>
      </w:r>
    </w:p>
    <w:p>
      <w:pPr>
        <w:spacing w:after="80" w:before="0"/>
        <w:jc w:val="left"/>
      </w:pPr>
      <w:r>
        <w:rPr>
          <w:rFonts w:ascii="Arial" w:hAnsi="Arial" w:cs="Arial"/>
          <w:b w:val="0"/>
          <w:i w:val="0"/>
          <w:sz w:val="22"/>
        </w:rPr>
        <w:t>O consumidor para de comprar um produto genérico e passa a seguir um protocolo feito pra ele. Isso muda a relação com o suplemento: de algo que se toma por hábito para algo que se usa com propósito. A expectativa de resultado aumenta, a fidelidade à marca também. Quem entrega essa experiência deixa de competir por preço e passa a competir por confiança.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Fecha com a ideia central:</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