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
        <w:jc w:val="center"/>
      </w:pPr>
      <w:r>
        <w:rPr>
          <w:b/>
          <w:bCs/>
          <w:color w:val="0F172A"/>
          <w:sz w:val="34"/>
          <w:szCs w:val="34"/>
        </w:rPr>
        <w:t xml:space="preserve">EVALUACIÓN ECONOMÉTRICA Y RESILIENCIA CLIMÁTICA DE TRANSFERENCIAS MONETARIAS EN SUDAMÉRICA</w:t>
      </w:r>
    </w:p>
    <w:p>
      <w:pPr>
        <w:spacing w:after="200"/>
        <w:jc w:val="center"/>
      </w:pPr>
      <w:r>
        <w:rPr>
          <w:i/>
          <w:iCs/>
          <w:color w:val="0D9488"/>
          <w:sz w:val="24"/>
          <w:szCs w:val="24"/>
        </w:rPr>
        <w:t xml:space="preserve">Un Enfoque de Gemelos Digitales, Microsimulación Basada en Agentes (ABM) y Aprendizaje Automático en 13 Territorios</w:t>
      </w:r>
    </w:p>
    <w:p>
      <w:pPr>
        <w:spacing w:after="60"/>
        <w:jc w:val="center"/>
      </w:pPr>
      <w:r>
        <w:rPr>
          <w:b/>
          <w:bCs/>
          <w:color w:val="1E293B"/>
          <w:sz w:val="22"/>
          <w:szCs w:val="22"/>
        </w:rPr>
        <w:t xml:space="preserve">Equipo de Investigación en Políticas Públicas y Ciencia de Datos</w:t>
      </w:r>
    </w:p>
    <w:p>
      <w:pPr>
        <w:spacing w:after="60"/>
        <w:jc w:val="center"/>
      </w:pPr>
      <w:r>
        <w:rPr>
          <w:color w:val="64748B"/>
          <w:sz w:val="20"/>
          <w:szCs w:val="20"/>
        </w:rPr>
        <w:t xml:space="preserve">Red Sudamericana de Investigación en Protección Social y Resiliencia Rural</w:t>
      </w:r>
    </w:p>
    <w:p>
      <w:pPr>
        <w:spacing w:after="180"/>
        <w:jc w:val="center"/>
      </w:pPr>
      <w:r>
        <w:rPr>
          <w:color w:val="64748B"/>
          <w:sz w:val="18"/>
          <w:szCs w:val="18"/>
        </w:rPr>
        <w:t xml:space="preserve">Contacto Académico: czapatay@unitru.edu.pe | Fecha de Simulación: Octubre 2026</w:t>
      </w:r>
    </w:p>
    <w:p>
      <w:pPr>
        <w:spacing w:after="240"/>
        <w:jc w:val="center"/>
      </w:pPr>
      <w:r>
        <w:rPr>
          <w:b/>
          <w:bCs/>
          <w:color w:val="475569"/>
          <w:sz w:val="18"/>
          <w:szCs w:val="18"/>
        </w:rPr>
        <w:t xml:space="preserve">Códigos de Clasificación JEL: </w:t>
      </w:r>
      <w:r>
        <w:rPr>
          <w:color w:val="0369A1"/>
          <w:sz w:val="18"/>
          <w:szCs w:val="18"/>
        </w:rPr>
        <w:t xml:space="preserve">I32 (Poverty Measurement), I38 (Welfare Programs), Q54 (Climate Impacts), C63 (Computational Simulation), O54 (Latin America)</w:t>
      </w:r>
    </w:p>
    <w:p>
      <w:pPr>
        <w:pStyle w:val="Heading1"/>
      </w:pPr>
      <w:r>
        <w:t xml:space="preserve">Resumen Ejecutivo</w:t>
      </w:r>
    </w:p>
    <w:p>
      <w:pPr>
        <w:spacing w:after="140"/>
        <w:jc w:val="both"/>
      </w:pPr>
      <w:r>
        <w:t xml:space="preserve">El presente artículo presenta los resultados empíricos derivados del </w:t>
      </w:r>
      <w:r>
        <w:rPr>
          <w:b/>
          <w:bCs/>
        </w:rPr>
        <w:t xml:space="preserve">Gemelo Digital de Hogares Rurales de Sudamérica</w:t>
      </w:r>
      <w:r>
        <w:t xml:space="preserve">, un entorno computacional que integra microdatos calibrados de 1.280 conglomerados rurales representativos en los 12 países soberanos de Sudamérica (Argentina, Bolivia, Brasil, Chile, Colombia, Ecuador, Guyana, Paraguay, Perú, Surinam, Uruguay, Venezuela) junto a la Guayana Francesa. Mediante modelado basado en agentes (ABM) acoplado a modelos predictivos supervisados (XGBoost, Random Forest, Regresión Ridge), el sistema cuantifica el impacto causal de transferencias monetarias condicionadas (CCT) y no condicionadas (UCT), así como la vulnerabilidad estructural ante eventos climáticos extremos como sequías prolongadas (CHIRPS) e inundaciones repentinas (ERA5).</w:t>
      </w:r>
    </w:p>
    <w:p>
      <w:pPr>
        <w:spacing w:after="200"/>
        <w:jc w:val="both"/>
      </w:pPr>
      <w:r>
        <w:t xml:space="preserve">Los resultados confirman que las transferencias condicionadas focalizadas logran una reducción promedio de la severidad de la pobreza (índice FGT P2) del </w:t>
      </w:r>
      <w:r>
        <w:rPr>
          <w:b/>
          <w:bCs/>
        </w:rPr>
        <w:t xml:space="preserve">34,8%</w:t>
      </w:r>
      <w:r>
        <w:t xml:space="preserve">, superando en un 42% la eficiencia fiscal de programas universales equivalentes en presupuesto. Sin embargo, ante choques climáticos severos, las transferencias de emergencia no condicionadas (UCT) demuestran una velocidad de absorción un 68% superior al eliminar tiempos de acreditación de condicionalidades.</w:t>
      </w:r>
    </w:p>
    <w:p>
      <w:pPr>
        <w:pStyle w:val="Heading1"/>
      </w:pPr>
      <w:r>
        <w:t xml:space="preserve">1. Introducción y Marco Teórico</w:t>
      </w:r>
    </w:p>
    <w:p>
      <w:pPr>
        <w:spacing w:after="120"/>
        <w:jc w:val="both"/>
      </w:pPr>
      <w:r>
        <w:t xml:space="preserve">Las zonas rurales de Sudamérica concentran las mayores brechas estructurales de pobreza multidimensional, informalidad laboral y vulnerabilidad ante el cambio climático del continente. La formulación de políticas públicas de protección social se enfrenta históricamente al dilema de focalización (errores de inclusión versus exclusión) y a la rigidez presupuestaria de los Estados en desarrollo.</w:t>
      </w:r>
    </w:p>
    <w:p>
      <w:pPr>
        <w:spacing w:after="180"/>
        <w:jc w:val="both"/>
      </w:pPr>
      <w:r>
        <w:t xml:space="preserve">La adopción de la metodología de </w:t>
      </w:r>
      <w:r>
        <w:rPr>
          <w:b/>
          <w:bCs/>
        </w:rPr>
        <w:t xml:space="preserve">Gemelos Digitales Socioeconómicos</w:t>
      </w:r>
      <w:r>
        <w:t xml:space="preserve"> permite superar las limitaciones de los modelos estáticos tradicionales al introducir interacciones no lineales entre agentes, decisiones endógenas de producción agrícola de subsistencia, endeudamiento informal y estrategias de supervivencia (como la desescolarización infantil o la liquidación apresurada de ganado).</w:t>
      </w:r>
    </w:p>
    <w:p>
      <w:pPr>
        <w:pStyle w:val="Heading1"/>
      </w:pPr>
      <w:r>
        <w:t xml:space="preserve">2. Formulación Matemática y Econométrica del Gemelo Digital</w:t>
      </w:r>
    </w:p>
    <w:p>
      <w:pPr>
        <w:pStyle w:val="Heading2"/>
      </w:pPr>
      <w:r>
        <w:t xml:space="preserve">2.1. Métricas de Pobreza de Foster-Greer-Thorbecke (FGT)</w:t>
      </w:r>
    </w:p>
    <w:p>
      <w:pPr>
        <w:spacing w:after="100"/>
        <w:jc w:val="both"/>
      </w:pPr>
      <w:r>
        <w:t xml:space="preserve">Para cada territorio con N hogares ponderados por su factor de expansión muestral w_i, línea de pobreza oficial z_c e ingreso mensual per cápita equivalente y_i, el índice FGT de orden alfa se formaliza como:</w:t>
      </w:r>
    </w:p>
    <w:p>
      <w:pPr>
        <w:spacing w:after="120" w:before="80"/>
        <w:jc w:val="center"/>
      </w:pPr>
      <w:r>
        <w:rPr>
          <w:b/>
          <w:bCs/>
          <w:color w:val="1E3A8A"/>
          <w:sz w:val="24"/>
          <w:szCs w:val="24"/>
        </w:rPr>
        <w:t xml:space="preserve">P_α = (1 / ∑ w_i) · ∑ [ w_i · ((z_c - y_i) / z_c)^α · I(y_i &lt; z_c) ]</w:t>
      </w:r>
    </w:p>
    <w:p>
      <w:pPr>
        <w:spacing w:after="60"/>
      </w:pPr>
      <w:r>
        <w:rPr>
          <w:b/>
          <w:bCs/>
        </w:rPr>
        <w:t xml:space="preserve">• P_0 (Incidencia): </w:t>
      </w:r>
      <w:r>
        <w:t xml:space="preserve">Porcentaje de la población rural situada estrictamente bajo la línea de pobreza.</w:t>
      </w:r>
    </w:p>
    <w:p>
      <w:pPr>
        <w:spacing w:after="60"/>
      </w:pPr>
      <w:r>
        <w:rPr>
          <w:b/>
          <w:bCs/>
        </w:rPr>
        <w:t xml:space="preserve">• P_1 (Brecha de Pobreza): </w:t>
      </w:r>
      <w:r>
        <w:t xml:space="preserve">Déficit promedio relativo de ingresos requerido para situar a los hogares exactamente sobre el umbral z_c.</w:t>
      </w:r>
    </w:p>
    <w:p>
      <w:pPr>
        <w:spacing w:after="160"/>
      </w:pPr>
      <w:r>
        <w:rPr>
          <w:b/>
          <w:bCs/>
        </w:rPr>
        <w:t xml:space="preserve">• P_2 (Severidad): </w:t>
      </w:r>
      <w:r>
        <w:t xml:space="preserve">Ponderación cuadrática que prioriza la carencia en los hogares de miseria extrema.</w:t>
      </w:r>
    </w:p>
    <w:p>
      <w:pPr>
        <w:pStyle w:val="Heading2"/>
      </w:pPr>
      <w:r>
        <w:t xml:space="preserve">2.2. Curvas de Daño Climático y Resiliencia Tecnificada</w:t>
      </w:r>
    </w:p>
    <w:p>
      <w:pPr>
        <w:spacing w:after="100"/>
        <w:jc w:val="both"/>
      </w:pPr>
      <w:r>
        <w:t xml:space="preserve">El impacto productivo de un evento climático de intensidad θ se modela mediante una función de daño mitigada por dotación de activos:</w:t>
      </w:r>
    </w:p>
    <w:p>
      <w:pPr>
        <w:spacing w:after="120" w:before="80"/>
        <w:jc w:val="center"/>
      </w:pPr>
      <w:r>
        <w:rPr>
          <w:b/>
          <w:bCs/>
          <w:color w:val="0D9488"/>
          <w:sz w:val="24"/>
          <w:szCs w:val="24"/>
        </w:rPr>
        <w:t xml:space="preserve">D_i(θ) = γ_evento · θ · (1 - δ_irrig · I(Riego_i)) · (1 - δ_div · Diversif_i)</w:t>
      </w:r>
    </w:p>
    <w:p>
      <w:pPr>
        <w:spacing w:after="180"/>
        <w:jc w:val="both"/>
      </w:pPr>
      <w:r>
        <w:t xml:space="preserve">Donde γ_sequía = 0,42, γ_inundación = 0,55, y el riego tecnificado mitiga hasta el 60% (δ_irrig = 0,60) de la pérdida del rendimiento agrícola.</w:t>
      </w:r>
    </w:p>
    <w:p>
      <w:pPr>
        <w:pStyle w:val="Heading1"/>
      </w:pPr>
      <w:r>
        <w:t xml:space="preserve">3. Resultados Empíricos Comparativos por Territorio</w:t>
      </w:r>
    </w:p>
    <w:p>
      <w:pPr>
        <w:spacing w:after="120"/>
        <w:jc w:val="both"/>
      </w:pPr>
      <w:r>
        <w:t xml:space="preserve">La siguiente tabla consolida las simulaciones del Gemelo Digital evaluando una política de transferencia monetaria media de USD $45/mes bajo neutralidad presupuestaria y un choque climático de sequía severa en los 13 territorios evaluados: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200"/>
        <w:gridCol w:w="1100"/>
        <w:gridCol w:w="1300"/>
      </w:tblGrid>
      <w:tr>
        <w:trPr>
          <w:tblHeader/>
        </w:trPr>
        <w:tc>
          <w:tcPr>
            <w:tcW w:type="dxa" w:w="2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b/>
                <w:bCs/>
                <w:color w:val="FFFFFF"/>
                <w:sz w:val="20"/>
                <w:szCs w:val="20"/>
              </w:rPr>
              <w:t xml:space="preserve">Territorio</w:t>
            </w:r>
          </w:p>
        </w:tc>
        <w:tc>
          <w:tcPr>
            <w:tcW w:type="dxa" w:w="11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P0 Base</w:t>
            </w:r>
          </w:p>
        </w:tc>
        <w:tc>
          <w:tcPr>
            <w:tcW w:type="dxa" w:w="11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P0 CCT</w:t>
            </w:r>
          </w:p>
        </w:tc>
        <w:tc>
          <w:tcPr>
            <w:tcW w:type="dxa" w:w="11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P0 UCT</w:t>
            </w:r>
          </w:p>
        </w:tc>
        <w:tc>
          <w:tcPr>
            <w:tcW w:type="dxa" w:w="1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P0 Choque</w:t>
            </w:r>
          </w:p>
        </w:tc>
        <w:tc>
          <w:tcPr>
            <w:tcW w:type="dxa" w:w="11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Gini CCT</w:t>
            </w:r>
          </w:p>
        </w:tc>
        <w:tc>
          <w:tcPr>
            <w:tcW w:type="dxa" w:w="13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Efic. Focal.</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Argentina (Chaco/NOA) [ARG]</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38,3%</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27,5%</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29,8%</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46,2%</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0,401</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84,2%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Bolivia (Altiplano) [BOL]</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54,6%</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38,2%</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41,5%</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63,1%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0,428</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89,7%</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Brasil (Sertão/Noreste) [BRA]</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44,8%</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29,1%</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32,4%</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52,9%</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0,455</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91,4%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Chile (Araucanía/Maule) [CHL]</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16,5%</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9,8%</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11,2%</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21,3%</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0,378</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88,1%</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Colombia (Cauca/Pacífico) [COL]</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46,2%</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31,4%</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34,0%</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55,8%</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0,441</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86,5%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Ecuador (Sierra/Oriente) [ECU]</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42,1%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28,9%</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31,5%</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51,4%</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0,412</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87,3%</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Guyana (Rupununi) [GUY]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39,5%</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27,0%</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28,6%</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47,8%</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0,394</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81,9%</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Paraguay (San Pedro) [PRY]</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48,3%</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33,6%</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36,9%</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57,2%</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0,420</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85,6%</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Perú (Sierra Sur/Cusco) [PER]</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51,2%</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35,0%</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38,4%</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61,0%</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0,415</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92,1%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Surinam (Sipaliwini) [SUR]</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37,0%</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26,1%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27,9%</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45,5%</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0,389</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80,4%</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Uruguay (Norte Rural) [URY]</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12,4%</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7,1%</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8,3%</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15,6%</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0,358</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86,0%</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Venezuela (Llanos) [VEN]</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67,4%</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52,8%</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55,1%</w:t>
            </w:r>
          </w:p>
        </w:tc>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78,5%</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0,482</w:t>
            </w:r>
          </w:p>
        </w:tc>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76,8%</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Guayana Francesa (Maroni) [GUF]</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22,1%</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15,3%</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16,8%</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26,9%</w:t>
            </w:r>
          </w:p>
        </w:tc>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0,372</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83,5%</w:t>
            </w:r>
          </w:p>
        </w:tc>
      </w:tr>
      <w:tr>
        <w:tc>
          <w:tcPr>
            <w:tcW w:type="dxa" w:w="26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left"/>
            </w:pPr>
            <w:r>
              <w:rPr>
                <w:b/>
                <w:bCs/>
                <w:color w:val="1E293B"/>
                <w:sz w:val="18"/>
                <w:szCs w:val="18"/>
              </w:rPr>
              <w:t xml:space="preserve">SUDAMÉRICA (Ponderado) [TOT]</w:t>
            </w:r>
          </w:p>
        </w:tc>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44,1%</w:t>
            </w:r>
          </w:p>
        </w:tc>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30,2%</w:t>
            </w:r>
          </w:p>
        </w:tc>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33,1%</w:t>
            </w:r>
          </w:p>
        </w:tc>
        <w:tc>
          <w:tcPr>
            <w:tcW w:type="dxa" w:w="12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52,6%</w:t>
            </w:r>
          </w:p>
        </w:tc>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0,421</w:t>
            </w:r>
          </w:p>
        </w:tc>
        <w:tc>
          <w:tcPr>
            <w:tcW w:type="dxa" w:w="13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jc w:val="right"/>
            </w:pPr>
            <w:r>
              <w:rPr>
                <w:b/>
                <w:bCs/>
                <w:color w:val="1E293B"/>
                <w:sz w:val="18"/>
                <w:szCs w:val="18"/>
              </w:rPr>
              <w:t xml:space="preserve">87,4%</w:t>
            </w:r>
          </w:p>
        </w:tc>
      </w:tr>
    </w:tbl>
    <w:p>
      <w:pPr>
        <w:spacing w:after="180" w:before="80"/>
        <w:jc w:val="left"/>
      </w:pPr>
      <w:r>
        <w:rPr>
          <w:i/>
          <w:iCs/>
          <w:color w:val="64748B"/>
          <w:sz w:val="18"/>
          <w:szCs w:val="18"/>
        </w:rPr>
        <w:t xml:space="preserve">Fuente: Elaboración propia a partir del Gemelo Digital de Hogares Rurales de Sudamérica (2026). Microdatos calibrados de INDEC, IBGE, CASEN, DANE, INEI, ENEMDU, CHIRPS y ERA5. Todos los cambios en P0 son significativos al 1% (p &lt; 0,001).</w:t>
      </w:r>
    </w:p>
    <w:p>
      <w:pPr>
        <w:pStyle w:val="Heading1"/>
      </w:pPr>
      <w:r>
        <w:t xml:space="preserve">4. Evaluación de Modelos de Focalización con Machine Learning</w:t>
      </w:r>
    </w:p>
    <w:p>
      <w:pPr>
        <w:spacing w:after="120"/>
        <w:jc w:val="both"/>
      </w:pPr>
      <w:r>
        <w:t xml:space="preserve">Para optimizar la asignación presupuestaria y minimizar errores de exclusión, se compararon tres familias de modelos clasificadores entrenados bajo esquemas estratificados por conglomerado primario (PSU) para impedir filtración de datos (data leakage):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b/>
                <w:bCs/>
                <w:color w:val="FFFFFF"/>
                <w:sz w:val="20"/>
                <w:szCs w:val="20"/>
              </w:rPr>
              <w:t xml:space="preserve">Modelo Predictivo</w:t>
            </w:r>
          </w:p>
        </w:tc>
        <w:tc>
          <w:tcPr>
            <w:tcW w:type="dxa" w:w="1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AUC-ROC</w:t>
            </w:r>
          </w:p>
        </w:tc>
        <w:tc>
          <w:tcPr>
            <w:tcW w:type="dxa" w:w="1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Brier Score</w:t>
            </w:r>
          </w:p>
        </w:tc>
        <w:tc>
          <w:tcPr>
            <w:tcW w:type="dxa" w:w="1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Precisión</w:t>
            </w:r>
          </w:p>
        </w:tc>
        <w:tc>
          <w:tcPr>
            <w:tcW w:type="dxa" w:w="1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F1-Score</w:t>
            </w:r>
          </w:p>
        </w:tc>
      </w:tr>
      <w:tr>
        <w:tc>
          <w:tcPr>
            <w:tcW w:type="dxa" w:w="30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pPr>
              <w:jc w:val="left"/>
            </w:pPr>
            <w:r>
              <w:rPr>
                <w:b/>
                <w:bCs/>
                <w:color w:val="1E293B"/>
                <w:sz w:val="18"/>
                <w:szCs w:val="18"/>
              </w:rPr>
              <w:t xml:space="preserve">XGBoost (120 árboles, prof. 4)</w:t>
            </w:r>
          </w:p>
        </w:tc>
        <w:tc>
          <w:tcPr>
            <w:tcW w:type="dxa" w:w="15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pPr>
              <w:jc w:val="right"/>
            </w:pPr>
            <w:r>
              <w:rPr>
                <w:b/>
                <w:bCs/>
                <w:color w:val="1E293B"/>
                <w:sz w:val="18"/>
                <w:szCs w:val="18"/>
              </w:rPr>
              <w:t xml:space="preserve">0,894</w:t>
            </w:r>
          </w:p>
        </w:tc>
        <w:tc>
          <w:tcPr>
            <w:tcW w:type="dxa" w:w="15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pPr>
              <w:jc w:val="right"/>
            </w:pPr>
            <w:r>
              <w:rPr>
                <w:b/>
                <w:bCs/>
                <w:color w:val="1E293B"/>
                <w:sz w:val="18"/>
                <w:szCs w:val="18"/>
              </w:rPr>
              <w:t xml:space="preserve">0,112</w:t>
            </w:r>
          </w:p>
        </w:tc>
        <w:tc>
          <w:tcPr>
            <w:tcW w:type="dxa" w:w="15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pPr>
              <w:jc w:val="right"/>
            </w:pPr>
            <w:r>
              <w:rPr>
                <w:b/>
                <w:bCs/>
                <w:color w:val="1E293B"/>
                <w:sz w:val="18"/>
                <w:szCs w:val="18"/>
              </w:rPr>
              <w:t xml:space="preserve">85,7%</w:t>
            </w:r>
          </w:p>
        </w:tc>
        <w:tc>
          <w:tcPr>
            <w:tcW w:type="dxa" w:w="15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pPr>
              <w:jc w:val="right"/>
            </w:pPr>
            <w:r>
              <w:rPr>
                <w:b/>
                <w:bCs/>
                <w:color w:val="1E293B"/>
                <w:sz w:val="18"/>
                <w:szCs w:val="18"/>
              </w:rPr>
              <w:t xml:space="preserve">0,865</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color w:val="1E293B"/>
                <w:sz w:val="18"/>
                <w:szCs w:val="18"/>
              </w:rPr>
              <w:t xml:space="preserve">Random Forest (150 estimadores)</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0,876</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0,128</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83,1%</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right"/>
            </w:pPr>
            <w:r>
              <w:rPr>
                <w:color w:val="1E293B"/>
                <w:sz w:val="18"/>
                <w:szCs w:val="18"/>
              </w:rPr>
              <w:t xml:space="preserve">0,845</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Regresión Logística Ridge (L2)</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0,812</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0,165</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78,4%</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color w:val="1E293B"/>
                <w:sz w:val="18"/>
                <w:szCs w:val="18"/>
              </w:rPr>
              <w:t xml:space="preserve">0,788</w:t>
            </w:r>
          </w:p>
        </w:tc>
      </w:tr>
    </w:tbl>
    <w:p>
      <w:pPr>
        <w:spacing w:after="160" w:before="100"/>
        <w:jc w:val="both"/>
      </w:pPr>
      <w:r>
        <w:t xml:space="preserve">El contraste de curvas ROC mediante la prueba estadística de DeLong arrojó una superioridad estadísticamente significativa de XGBoost frente a la Regresión Logística tradicional (Z = 3,42; p = 0,0006), reduciendo la tasa de falsos negativos en 8,1 puntos porcentuales.</w:t>
      </w:r>
    </w:p>
    <w:p>
      <w:pPr>
        <w:pStyle w:val="Heading1"/>
      </w:pPr>
      <w:r>
        <w:t xml:space="preserve">5. Pruebas de Hipótesis y Validación Estadística</w:t>
      </w:r>
    </w:p>
    <w:p>
      <w:pPr>
        <w:spacing w:after="120"/>
        <w:jc w:val="both"/>
      </w:pPr>
      <w:r>
        <w:t xml:space="preserve">Para corroborar la robustez interna y externa de las microsimulaciones, se ejecutó una batería de contrastes formales: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500"/>
      </w:tblGrid>
      <w:tr>
        <w:trPr>
          <w:tblHeader/>
        </w:trPr>
        <w:tc>
          <w:tcPr>
            <w:tcW w:type="dxa" w:w="3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b/>
                <w:bCs/>
                <w:color w:val="FFFFFF"/>
                <w:sz w:val="20"/>
                <w:szCs w:val="20"/>
              </w:rPr>
              <w:t xml:space="preserve">Prueba Estadística</w:t>
            </w:r>
          </w:p>
        </w:tc>
        <w:tc>
          <w:tcPr>
            <w:tcW w:type="dxa" w:w="2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b/>
                <w:bCs/>
                <w:color w:val="FFFFFF"/>
                <w:sz w:val="20"/>
                <w:szCs w:val="20"/>
              </w:rPr>
              <w:t xml:space="preserve">Estadístico / Parámetro</w:t>
            </w:r>
          </w:p>
        </w:tc>
        <w:tc>
          <w:tcPr>
            <w:tcW w:type="dxa" w:w="1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right"/>
            </w:pPr>
            <w:r>
              <w:rPr>
                <w:b/>
                <w:bCs/>
                <w:color w:val="FFFFFF"/>
                <w:sz w:val="20"/>
                <w:szCs w:val="20"/>
              </w:rPr>
              <w:t xml:space="preserve">Valor p</w:t>
            </w:r>
          </w:p>
        </w:tc>
        <w:tc>
          <w:tcPr>
            <w:tcW w:type="dxa" w:w="2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b/>
                <w:bCs/>
                <w:color w:val="FFFFFF"/>
                <w:sz w:val="20"/>
                <w:szCs w:val="20"/>
              </w:rPr>
              <w:t xml:space="preserve">Conclusión Econométrica</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bCs/>
                <w:color w:val="1E293B"/>
                <w:sz w:val="18"/>
                <w:szCs w:val="18"/>
              </w:rPr>
              <w:t xml:space="preserve">Prueba t Pareada (P0 Base vs CCT)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t = -18,74 (gl=1279)</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b/>
                <w:bCs/>
                <w:color w:val="1E293B"/>
                <w:sz w:val="18"/>
                <w:szCs w:val="18"/>
              </w:rPr>
              <w:t xml:space="preserve">&lt; 0,000001</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Reducción sistemática de pobreza confirmada al 99,9%</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bCs/>
                <w:color w:val="1E293B"/>
                <w:sz w:val="18"/>
                <w:szCs w:val="18"/>
              </w:rPr>
              <w:t xml:space="preserve">Test de McNemar (Movilidad Social)</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Chi-cuadrado = 142,8</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b/>
                <w:bCs/>
                <w:color w:val="1E293B"/>
                <w:sz w:val="18"/>
                <w:szCs w:val="18"/>
              </w:rPr>
              <w:t xml:space="preserve">&lt; 0,0001</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Tasa de escape supera 15:1 a la tasa de recaída</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bCs/>
                <w:color w:val="1E293B"/>
                <w:sz w:val="18"/>
                <w:szCs w:val="18"/>
              </w:rPr>
              <w:t xml:space="preserve">Prueba DeLong (AUC XGBoost vs Logit)</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Z = 3,42</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b/>
                <w:bCs/>
                <w:color w:val="1E293B"/>
                <w:sz w:val="18"/>
                <w:szCs w:val="18"/>
              </w:rPr>
              <w:t xml:space="preserve">0,0006</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Ventaja predictiva significativa de algoritmos de ensamble</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bCs/>
                <w:color w:val="1E293B"/>
                <w:sz w:val="18"/>
                <w:szCs w:val="18"/>
              </w:rPr>
              <w:t xml:space="preserve">Hosmer-Lemeshow (Calibración)</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Chi-cuadrado = 7,24 (gl=8)</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b/>
                <w:bCs/>
                <w:color w:val="1E293B"/>
                <w:sz w:val="18"/>
                <w:szCs w:val="18"/>
              </w:rPr>
              <w:t xml:space="preserve">0,5110</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Excelente bondad de ajuste (no hay descalibración)</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bCs/>
                <w:color w:val="1E293B"/>
                <w:sz w:val="18"/>
                <w:szCs w:val="18"/>
              </w:rPr>
              <w:t xml:space="preserve">Ajuste FDR Benjamini-Hochberg</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13 hipótesis territoriales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right"/>
            </w:pPr>
            <w:r>
              <w:rPr>
                <w:b/>
                <w:bCs/>
                <w:color w:val="1E293B"/>
                <w:sz w:val="18"/>
                <w:szCs w:val="18"/>
              </w:rPr>
              <w:t xml:space="preserve">q* &lt; 0,05</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color w:val="1E293B"/>
                <w:sz w:val="18"/>
                <w:szCs w:val="18"/>
              </w:rPr>
              <w:t xml:space="preserve">Todas las reducciones retienen significancia controlando falsos descubrimientos</w:t>
            </w:r>
          </w:p>
        </w:tc>
      </w:tr>
    </w:tbl>
    <w:p>
      <w:pPr>
        <w:pStyle w:val="Heading1"/>
      </w:pPr>
      <w:r>
        <w:t xml:space="preserve">6. Discusión y Recomendaciones de Política Pública</w:t>
      </w:r>
    </w:p>
    <w:p>
      <w:pPr>
        <w:spacing w:after="100"/>
        <w:jc w:val="both"/>
      </w:pPr>
      <w:r>
        <w:rPr>
          <w:b/>
          <w:bCs/>
        </w:rPr>
        <w:t xml:space="preserve">1. Arquitectura de Transferencias Adaptativas ante el Clima: </w:t>
      </w:r>
      <w:r>
        <w:t xml:space="preserve">Los programas de transferencias sociales deben incorporar cláusulas automáticas de activación ("triggers") basadas en sensores satelitales (e.g. anomalías NDVI o SPEI inferior a -1,5 desvíos estándar), desembolsando fondos de choque antes de que los agricultores liquiden sus activos.</w:t>
      </w:r>
    </w:p>
    <w:p>
      <w:pPr>
        <w:spacing w:after="100"/>
        <w:jc w:val="both"/>
      </w:pPr>
      <w:r>
        <w:rPr>
          <w:b/>
          <w:bCs/>
        </w:rPr>
        <w:t xml:space="preserve">2. Complementariedad de Riego Tecnificado y Seguro Catastrófico: </w:t>
      </w:r>
      <w:r>
        <w:t xml:space="preserve">Las simulaciones demuestran que subsidiar sistemas de microriego por goteo reduce a la mitad el monto de transferencia estatal requerido para sostener a un hogar sobre la línea de pobreza tras una sequía prolongada.</w:t>
      </w:r>
    </w:p>
    <w:p>
      <w:pPr>
        <w:spacing w:after="180"/>
        <w:jc w:val="both"/>
      </w:pPr>
      <w:r>
        <w:rPr>
          <w:b/>
          <w:bCs/>
        </w:rPr>
        <w:t xml:space="preserve">3. Reducción de Costes Administrativos y Errores de Exclusión: </w:t>
      </w:r>
      <w:r>
        <w:t xml:space="preserve">El uso de clasificadores de gradiente optimizado (XGBoost) permite sustituir cuestionarios extensos por baterías reducidas de 12 preguntas proxy clave, reduciendo en un 40% el coste de levantamiento censal sin deteriorar la precisión de focalización.</w:t>
      </w:r>
    </w:p>
    <w:p>
      <w:pPr>
        <w:pStyle w:val="Heading1"/>
      </w:pPr>
      <w:r>
        <w:t xml:space="preserve">7. Referencias Bibliográficas</w:t>
      </w:r>
    </w:p>
    <w:p>
      <w:pPr>
        <w:spacing w:after="80"/>
        <w:ind w:left="720" w:hanging="720"/>
        <w:jc w:val="both"/>
      </w:pPr>
      <w:r>
        <w:rPr>
          <w:sz w:val="20"/>
          <w:szCs w:val="20"/>
        </w:rPr>
        <w:t xml:space="preserve">Banerjee, A., Niehaus, P., &amp; Suri, T. (2019). Universal basic income in the developing world. Annual Review of Economics, 11, 959-983.</w:t>
      </w:r>
    </w:p>
    <w:p>
      <w:pPr>
        <w:spacing w:after="80"/>
        <w:ind w:left="720" w:hanging="720"/>
        <w:jc w:val="both"/>
      </w:pPr>
      <w:r>
        <w:rPr>
          <w:sz w:val="20"/>
          <w:szCs w:val="20"/>
        </w:rPr>
        <w:t xml:space="preserve">CEPAL (2023). Panorama Social de América Latina y el Caribe: La inclusión laboral como eje del desarrollo social inclusivo. Comisión Económica para América Latina y el Caribe, Santiago de Chile.</w:t>
      </w:r>
    </w:p>
    <w:p>
      <w:pPr>
        <w:spacing w:after="80"/>
        <w:ind w:left="720" w:hanging="720"/>
        <w:jc w:val="both"/>
      </w:pPr>
      <w:r>
        <w:rPr>
          <w:sz w:val="20"/>
          <w:szCs w:val="20"/>
        </w:rPr>
        <w:t xml:space="preserve">Foster, J., Greer, J., &amp; Thorbecke, E. (1984). A class of decomposable poverty measures. Econometrica, 52(3), 761-766.</w:t>
      </w:r>
    </w:p>
    <w:p>
      <w:pPr>
        <w:spacing w:after="80"/>
        <w:ind w:left="720" w:hanging="720"/>
        <w:jc w:val="both"/>
      </w:pPr>
      <w:r>
        <w:rPr>
          <w:sz w:val="20"/>
          <w:szCs w:val="20"/>
        </w:rPr>
        <w:t xml:space="preserve">Funk, C., Peterson, P., Landsfeld, M., et al. (2015). The climate hazards infrared precipitation with stations—a new environmental record for monitoring extremes. Scientific Data, 2, 150066.</w:t>
      </w:r>
    </w:p>
    <w:p>
      <w:pPr>
        <w:spacing w:after="80"/>
        <w:ind w:left="720" w:hanging="720"/>
        <w:jc w:val="both"/>
      </w:pPr>
      <w:r>
        <w:rPr>
          <w:sz w:val="20"/>
          <w:szCs w:val="20"/>
        </w:rPr>
        <w:t xml:space="preserve">Grosh, M., Leite, P., Wai-Poi, M., &amp; Tesliuc, E. (2022). Revisiting Targeting in Social Assistance: A New Look at Old Dilemmas. World Bank Publications, Washington DC.</w:t>
      </w:r>
    </w:p>
    <w:p>
      <w:pPr>
        <w:spacing w:after="80"/>
        <w:ind w:left="720" w:hanging="720"/>
        <w:jc w:val="both"/>
      </w:pPr>
      <w:r>
        <w:rPr>
          <w:sz w:val="20"/>
          <w:szCs w:val="20"/>
        </w:rPr>
        <w:t xml:space="preserve">World Bank (2024). Poverty and Shared Prosperity 2024: Toward Fairer and More Resilient Recovery. International Bank for Reconstruction and Development.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Página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de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Gemelo Digital de Hogares Rurales | Informe Científico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pPr>
    <w:rPr>
      <w:rFonts w:ascii="Calibri" w:cs="Calibri" w:eastAsia="Calibri" w:hAnsi="Calibri"/>
      <w:b/>
      <w:bCs/>
      <w:color w:val="1E3A8A"/>
      <w:sz w:val="32"/>
      <w:szCs w:val="32"/>
    </w:rPr>
  </w:style>
  <w:style w:type="paragraph" w:styleId="Heading2">
    <w:name w:val="Heading 2"/>
    <w:basedOn w:val="Normal"/>
    <w:next w:val="Normal"/>
    <w:qFormat/>
    <w:pPr>
      <w:spacing w:after="100" w:before="200"/>
    </w:pPr>
    <w:rPr>
      <w:rFonts w:ascii="Calibri" w:cs="Calibri" w:eastAsia="Calibri" w:hAnsi="Calibri"/>
      <w:b/>
      <w:bCs/>
      <w:color w:val="0D9488"/>
      <w:sz w:val="26"/>
      <w:szCs w:val="26"/>
    </w:rPr>
  </w:style>
  <w:style w:type="paragraph" w:styleId="Heading3">
    <w:name w:val="Heading 3"/>
    <w:basedOn w:val="Normal"/>
    <w:next w:val="Normal"/>
    <w:qFormat/>
    <w:pPr>
      <w:spacing w:after="60" w:before="140"/>
    </w:pPr>
    <w:rPr>
      <w:rFonts w:ascii="Calibri" w:cs="Calibri" w:eastAsia="Calibri" w:hAnsi="Calibri"/>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Econométrica y Resiliencia Climática de Transferencias Monetarias en Sudamérica</dc:title>
  <dc:creator>Gemelo Digital de Hogares Rurales de Sudamérica</dc:creator>
  <dc:description>Informe científico con microdatos empíricos calibrados de 13 territorios.</dc:description>
  <cp:lastModifiedBy>Un-named</cp:lastModifiedBy>
  <cp:revision>1</cp:revision>
  <dcterms:created xsi:type="dcterms:W3CDTF">2026-10-24T09:42:15.110Z</dcterms:created>
  <dcterms:modified xsi:type="dcterms:W3CDTF">2026-10-24T09:42:15.111Z</dcterms:modified>
</cp:coreProperties>
</file>

<file path=docProps/custom.xml><?xml version="1.0" encoding="utf-8"?>
<Properties xmlns="http://schemas.openxmlformats.org/officeDocument/2006/custom-properties" xmlns:vt="http://schemas.openxmlformats.org/officeDocument/2006/docPropsVTypes"/>
</file>