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B8CE81" w14:textId="575496C1" w:rsidR="006F3FC8" w:rsidRPr="00E91B7E" w:rsidRDefault="00E91B7E" w:rsidP="00B3025A">
      <w:pPr>
        <w:spacing w:line="360" w:lineRule="auto"/>
        <w:jc w:val="both"/>
        <w:rPr>
          <w:rFonts w:asciiTheme="majorHAnsi" w:hAnsiTheme="majorHAnsi"/>
          <w:b/>
          <w:sz w:val="22"/>
          <w:szCs w:val="22"/>
        </w:rPr>
      </w:pPr>
      <w:r w:rsidRPr="00E91B7E">
        <w:rPr>
          <w:rFonts w:asciiTheme="majorHAnsi" w:hAnsiTheme="majorHAnsi"/>
          <w:b/>
          <w:sz w:val="22"/>
          <w:szCs w:val="22"/>
        </w:rPr>
        <w:t>Supplementa</w:t>
      </w:r>
      <w:r>
        <w:rPr>
          <w:rFonts w:asciiTheme="majorHAnsi" w:hAnsiTheme="majorHAnsi"/>
          <w:b/>
          <w:sz w:val="22"/>
          <w:szCs w:val="22"/>
        </w:rPr>
        <w:t>r</w:t>
      </w:r>
      <w:r w:rsidRPr="00E91B7E">
        <w:rPr>
          <w:rFonts w:asciiTheme="majorHAnsi" w:hAnsiTheme="majorHAnsi"/>
          <w:b/>
          <w:sz w:val="22"/>
          <w:szCs w:val="22"/>
        </w:rPr>
        <w:t>y Method Description</w:t>
      </w:r>
    </w:p>
    <w:p w14:paraId="11C1EE3E" w14:textId="77777777" w:rsidR="004F276E" w:rsidRPr="00B3025A" w:rsidRDefault="004F276E" w:rsidP="00B3025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724F1559" w14:textId="622FD962" w:rsidR="00322A49" w:rsidRDefault="0015359A" w:rsidP="00B3025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15359A">
        <w:rPr>
          <w:rFonts w:asciiTheme="majorHAnsi" w:hAnsiTheme="majorHAnsi" w:cs="Arial"/>
          <w:b/>
          <w:sz w:val="22"/>
          <w:szCs w:val="22"/>
          <w:lang w:val="en-US"/>
        </w:rPr>
        <w:t>Immunohistochemistry</w:t>
      </w:r>
      <w:r>
        <w:rPr>
          <w:rFonts w:asciiTheme="majorHAnsi" w:hAnsiTheme="majorHAnsi" w:cs="Arial"/>
          <w:sz w:val="22"/>
          <w:szCs w:val="22"/>
          <w:lang w:val="en-US"/>
        </w:rPr>
        <w:t xml:space="preserve">. </w:t>
      </w:r>
      <w:r w:rsidR="00FF2F5A" w:rsidRPr="00B3025A">
        <w:rPr>
          <w:rFonts w:asciiTheme="majorHAnsi" w:hAnsiTheme="majorHAnsi" w:cs="Arial"/>
          <w:sz w:val="22"/>
          <w:szCs w:val="22"/>
          <w:lang w:val="en-US"/>
        </w:rPr>
        <w:t xml:space="preserve">CD171 and CD3 were </w:t>
      </w:r>
      <w:r w:rsidRPr="0015359A">
        <w:rPr>
          <w:rFonts w:ascii="Calibri" w:hAnsi="Calibri" w:cs="Arial"/>
          <w:sz w:val="22"/>
          <w:szCs w:val="22"/>
          <w:lang w:val="en-US"/>
        </w:rPr>
        <w:t>immunohistochemical</w:t>
      </w:r>
      <w:r>
        <w:rPr>
          <w:rFonts w:ascii="Calibri" w:hAnsi="Calibri" w:cs="Arial"/>
          <w:sz w:val="22"/>
          <w:szCs w:val="22"/>
          <w:lang w:val="en-US"/>
        </w:rPr>
        <w:t>ly</w:t>
      </w:r>
      <w:r w:rsidRPr="0015359A">
        <w:rPr>
          <w:rFonts w:ascii="Calibri" w:hAnsi="Calibri" w:cs="Arial"/>
          <w:sz w:val="22"/>
          <w:szCs w:val="22"/>
          <w:lang w:val="en-US"/>
        </w:rPr>
        <w:t xml:space="preserve"> </w:t>
      </w:r>
      <w:r w:rsidR="00FF2F5A" w:rsidRPr="00B3025A">
        <w:rPr>
          <w:rFonts w:asciiTheme="majorHAnsi" w:hAnsiTheme="majorHAnsi" w:cs="Arial"/>
          <w:sz w:val="22"/>
          <w:szCs w:val="22"/>
          <w:lang w:val="en-US"/>
        </w:rPr>
        <w:t xml:space="preserve">detected </w:t>
      </w:r>
      <w:r w:rsidR="00FF2F5A" w:rsidRPr="0015359A">
        <w:rPr>
          <w:rFonts w:asciiTheme="majorHAnsi" w:hAnsiTheme="majorHAnsi" w:cs="Arial"/>
          <w:sz w:val="22"/>
          <w:szCs w:val="22"/>
          <w:lang w:val="en-US"/>
        </w:rPr>
        <w:t xml:space="preserve">in </w:t>
      </w:r>
      <w:r w:rsidRPr="0015359A">
        <w:rPr>
          <w:rFonts w:ascii="Calibri" w:hAnsi="Calibri" w:cs="Arial"/>
          <w:sz w:val="22"/>
          <w:szCs w:val="22"/>
          <w:lang w:val="en-US"/>
        </w:rPr>
        <w:t>formalin-fixed, paraffin-embedded retinoblastoma sections on the VENTANA Benchmark XT automated staining instrument (</w:t>
      </w:r>
      <w:proofErr w:type="spellStart"/>
      <w:r w:rsidRPr="0015359A">
        <w:rPr>
          <w:rFonts w:ascii="Calibri" w:hAnsi="Calibri" w:cs="Arial"/>
          <w:sz w:val="22"/>
          <w:szCs w:val="22"/>
          <w:lang w:val="en-US"/>
        </w:rPr>
        <w:t>Ventana</w:t>
      </w:r>
      <w:proofErr w:type="spellEnd"/>
      <w:r w:rsidRPr="0015359A">
        <w:rPr>
          <w:rFonts w:ascii="Calibri" w:hAnsi="Calibri" w:cs="Arial"/>
          <w:sz w:val="22"/>
          <w:szCs w:val="22"/>
          <w:lang w:val="en-US"/>
        </w:rPr>
        <w:t xml:space="preserve"> Med</w:t>
      </w:r>
      <w:bookmarkStart w:id="0" w:name="_GoBack"/>
      <w:bookmarkEnd w:id="0"/>
      <w:r w:rsidRPr="0015359A">
        <w:rPr>
          <w:rFonts w:ascii="Calibri" w:hAnsi="Calibri" w:cs="Arial"/>
          <w:sz w:val="22"/>
          <w:szCs w:val="22"/>
          <w:lang w:val="en-US"/>
        </w:rPr>
        <w:t>ical Systems, Tucson, AZ, USA) was used according to manufacturer's instructions</w:t>
      </w:r>
      <w:r>
        <w:rPr>
          <w:rFonts w:ascii="Calibri" w:hAnsi="Calibri" w:cs="Arial"/>
          <w:sz w:val="22"/>
          <w:szCs w:val="22"/>
          <w:lang w:val="en-US"/>
        </w:rPr>
        <w:t>.</w:t>
      </w:r>
      <w:r w:rsidRPr="0015359A">
        <w:rPr>
          <w:rFonts w:ascii="Calibri" w:hAnsi="Calibri" w:cs="Arial"/>
          <w:sz w:val="22"/>
          <w:szCs w:val="22"/>
          <w:lang w:val="en-US"/>
        </w:rPr>
        <w:t xml:space="preserve"> </w:t>
      </w:r>
      <w:r w:rsidRPr="00B3025A">
        <w:rPr>
          <w:rFonts w:asciiTheme="majorHAnsi" w:hAnsiTheme="majorHAnsi" w:cs="Arial"/>
          <w:sz w:val="22"/>
          <w:szCs w:val="22"/>
          <w:lang w:val="en-US"/>
        </w:rPr>
        <w:t>Slides were de-</w:t>
      </w:r>
      <w:proofErr w:type="spellStart"/>
      <w:r w:rsidRPr="00B3025A">
        <w:rPr>
          <w:rFonts w:asciiTheme="majorHAnsi" w:hAnsiTheme="majorHAnsi" w:cs="Arial"/>
          <w:sz w:val="22"/>
          <w:szCs w:val="22"/>
          <w:lang w:val="en-US"/>
        </w:rPr>
        <w:t>paraffinized</w:t>
      </w:r>
      <w:proofErr w:type="spellEnd"/>
      <w:r w:rsidRPr="00B3025A">
        <w:rPr>
          <w:rFonts w:asciiTheme="majorHAnsi" w:hAnsiTheme="majorHAnsi" w:cs="Arial"/>
          <w:sz w:val="22"/>
          <w:szCs w:val="22"/>
          <w:lang w:val="en-US"/>
        </w:rPr>
        <w:t xml:space="preserve"> in EZ prep solution for 30 minutes at 75°C, and antigen retrieval was performed in CC1 solution (</w:t>
      </w:r>
      <w:proofErr w:type="spellStart"/>
      <w:r w:rsidRPr="00B3025A">
        <w:rPr>
          <w:rFonts w:asciiTheme="majorHAnsi" w:hAnsiTheme="majorHAnsi" w:cs="Arial"/>
          <w:sz w:val="22"/>
          <w:szCs w:val="22"/>
          <w:lang w:val="en-US"/>
        </w:rPr>
        <w:t>Ventana</w:t>
      </w:r>
      <w:proofErr w:type="spellEnd"/>
      <w:r w:rsidRPr="00B3025A">
        <w:rPr>
          <w:rFonts w:asciiTheme="majorHAnsi" w:hAnsiTheme="majorHAnsi" w:cs="Arial"/>
          <w:sz w:val="22"/>
          <w:szCs w:val="22"/>
          <w:lang w:val="en-US"/>
        </w:rPr>
        <w:t xml:space="preserve"> Medical Systems) for 60 minutes at 95°C.</w:t>
      </w:r>
      <w:r>
        <w:rPr>
          <w:rFonts w:asciiTheme="majorHAnsi" w:hAnsiTheme="majorHAnsi" w:cs="Arial"/>
          <w:sz w:val="22"/>
          <w:szCs w:val="22"/>
          <w:lang w:val="en-US"/>
        </w:rPr>
        <w:t xml:space="preserve"> </w:t>
      </w:r>
      <w:r w:rsidRPr="0015359A">
        <w:rPr>
          <w:rFonts w:ascii="Calibri" w:hAnsi="Calibri" w:cs="Arial"/>
          <w:sz w:val="22"/>
          <w:szCs w:val="22"/>
          <w:lang w:val="en-US"/>
        </w:rPr>
        <w:t xml:space="preserve">Antibodies </w:t>
      </w:r>
      <w:r>
        <w:rPr>
          <w:rFonts w:ascii="Calibri" w:hAnsi="Calibri" w:cs="Arial"/>
          <w:sz w:val="22"/>
          <w:szCs w:val="22"/>
          <w:lang w:val="en-US"/>
        </w:rPr>
        <w:t xml:space="preserve">against </w:t>
      </w:r>
      <w:r w:rsidRPr="0015359A">
        <w:rPr>
          <w:rFonts w:ascii="Calibri" w:hAnsi="Calibri" w:cs="Arial"/>
          <w:sz w:val="22"/>
          <w:szCs w:val="22"/>
          <w:lang w:val="en-US"/>
        </w:rPr>
        <w:t>CD171 (UJ127.11 clone, diluted 1:100, Thermo Scientific, Waltham, MS, USA) and C</w:t>
      </w:r>
      <w:r w:rsidRPr="0044499D">
        <w:rPr>
          <w:rFonts w:ascii="Calibri" w:hAnsi="Calibri" w:cs="Arial"/>
          <w:sz w:val="22"/>
          <w:szCs w:val="22"/>
          <w:lang w:val="en-US"/>
        </w:rPr>
        <w:t>D3 (c</w:t>
      </w:r>
      <w:r w:rsidR="0044499D" w:rsidRPr="0044499D">
        <w:rPr>
          <w:rFonts w:ascii="Calibri" w:hAnsi="Calibri" w:cs="Arial"/>
          <w:sz w:val="22"/>
          <w:szCs w:val="22"/>
          <w:lang w:val="en-US"/>
        </w:rPr>
        <w:t xml:space="preserve">at </w:t>
      </w:r>
      <w:r w:rsidRPr="0044499D">
        <w:rPr>
          <w:rFonts w:ascii="Calibri" w:hAnsi="Calibri" w:cs="Arial"/>
          <w:sz w:val="22"/>
          <w:szCs w:val="22"/>
          <w:lang w:val="en-US"/>
        </w:rPr>
        <w:t>#</w:t>
      </w:r>
      <w:r w:rsidR="0044499D">
        <w:rPr>
          <w:rFonts w:ascii="Calibri" w:hAnsi="Calibri" w:cs="Arial"/>
          <w:sz w:val="22"/>
          <w:szCs w:val="22"/>
          <w:lang w:val="en-US"/>
        </w:rPr>
        <w:t>A0452</w:t>
      </w:r>
      <w:r w:rsidRPr="0015359A">
        <w:rPr>
          <w:rFonts w:ascii="Calibri" w:hAnsi="Calibri" w:cs="Arial"/>
          <w:sz w:val="22"/>
          <w:szCs w:val="22"/>
          <w:lang w:val="en-US"/>
        </w:rPr>
        <w:t>, diluted 1:100, Agilent, Santa Clara, CA, USA)</w:t>
      </w:r>
      <w:r>
        <w:rPr>
          <w:rFonts w:ascii="Calibri" w:hAnsi="Calibri" w:cs="Arial"/>
          <w:sz w:val="22"/>
          <w:szCs w:val="22"/>
          <w:lang w:val="en-US"/>
        </w:rPr>
        <w:t xml:space="preserve"> were applied, </w:t>
      </w:r>
      <w:r w:rsidR="00475A79">
        <w:rPr>
          <w:rFonts w:ascii="Calibri" w:hAnsi="Calibri" w:cs="Arial"/>
          <w:sz w:val="22"/>
          <w:szCs w:val="22"/>
          <w:lang w:val="en-US"/>
        </w:rPr>
        <w:t xml:space="preserve">and developed </w:t>
      </w:r>
      <w:r w:rsidRPr="0015359A">
        <w:rPr>
          <w:rFonts w:ascii="Calibri" w:hAnsi="Calibri" w:cs="Arial"/>
          <w:sz w:val="22"/>
          <w:szCs w:val="22"/>
          <w:lang w:val="en-US"/>
        </w:rPr>
        <w:t xml:space="preserve">using the </w:t>
      </w:r>
      <w:proofErr w:type="spellStart"/>
      <w:r w:rsidRPr="0015359A">
        <w:rPr>
          <w:rFonts w:ascii="Calibri" w:hAnsi="Calibri" w:cs="Arial"/>
          <w:sz w:val="22"/>
          <w:szCs w:val="22"/>
          <w:lang w:val="en-US"/>
        </w:rPr>
        <w:t>iVIEW</w:t>
      </w:r>
      <w:r w:rsidR="00475A79" w:rsidRPr="00475A79">
        <w:rPr>
          <w:rFonts w:ascii="Calibri" w:hAnsi="Calibri" w:cs="Arial"/>
          <w:sz w:val="22"/>
          <w:szCs w:val="22"/>
          <w:vertAlign w:val="superscript"/>
          <w:lang w:val="en-US"/>
        </w:rPr>
        <w:t>TM</w:t>
      </w:r>
      <w:proofErr w:type="spellEnd"/>
      <w:r w:rsidRPr="0015359A">
        <w:rPr>
          <w:rFonts w:ascii="Calibri" w:hAnsi="Calibri" w:cs="Arial"/>
          <w:sz w:val="22"/>
          <w:szCs w:val="22"/>
          <w:lang w:val="en-US"/>
        </w:rPr>
        <w:t xml:space="preserve"> DAB Detection Kit (</w:t>
      </w:r>
      <w:r w:rsidR="0044499D">
        <w:rPr>
          <w:rFonts w:ascii="Calibri" w:hAnsi="Calibri" w:cs="Arial"/>
          <w:sz w:val="22"/>
          <w:szCs w:val="22"/>
          <w:lang w:val="en-US"/>
        </w:rPr>
        <w:t xml:space="preserve">cat #760-091, </w:t>
      </w:r>
      <w:proofErr w:type="spellStart"/>
      <w:r w:rsidRPr="0015359A">
        <w:rPr>
          <w:rFonts w:ascii="Calibri" w:hAnsi="Calibri" w:cs="Arial"/>
          <w:sz w:val="22"/>
          <w:szCs w:val="22"/>
          <w:lang w:val="en-US"/>
        </w:rPr>
        <w:t>Ventana</w:t>
      </w:r>
      <w:proofErr w:type="spellEnd"/>
      <w:r w:rsidRPr="0015359A">
        <w:rPr>
          <w:rFonts w:ascii="Calibri" w:hAnsi="Calibri" w:cs="Arial"/>
          <w:sz w:val="22"/>
          <w:szCs w:val="22"/>
          <w:lang w:val="en-US"/>
        </w:rPr>
        <w:t xml:space="preserve"> Medical Systems). Two experienced neuropathologists independently evaluated CD171 staining intensity with concurrence.</w:t>
      </w:r>
      <w:r w:rsidRPr="00A36166">
        <w:rPr>
          <w:rFonts w:ascii="Calibri" w:hAnsi="Calibri" w:cs="Arial"/>
          <w:sz w:val="22"/>
          <w:szCs w:val="22"/>
          <w:lang w:val="en-US"/>
        </w:rPr>
        <w:t xml:space="preserve">  </w:t>
      </w:r>
      <w:r w:rsidR="006F3FC8" w:rsidRPr="00B3025A">
        <w:rPr>
          <w:rFonts w:asciiTheme="majorHAnsi" w:hAnsiTheme="majorHAnsi" w:cs="Arial"/>
          <w:sz w:val="22"/>
          <w:szCs w:val="22"/>
          <w:lang w:val="en-US"/>
        </w:rPr>
        <w:t>Counterstaining of the tumor sections was performed with hematoxylin for 4 minutes</w:t>
      </w:r>
      <w:r w:rsidR="006F3FC8" w:rsidRPr="00C67F8C">
        <w:rPr>
          <w:rFonts w:asciiTheme="majorHAnsi" w:hAnsiTheme="majorHAnsi" w:cs="Arial"/>
          <w:sz w:val="22"/>
          <w:szCs w:val="22"/>
          <w:lang w:val="en-US"/>
        </w:rPr>
        <w:t>.</w:t>
      </w:r>
      <w:r w:rsidRPr="00C67F8C">
        <w:rPr>
          <w:rFonts w:asciiTheme="majorHAnsi" w:hAnsiTheme="majorHAnsi"/>
          <w:sz w:val="22"/>
          <w:szCs w:val="22"/>
        </w:rPr>
        <w:t xml:space="preserve"> </w:t>
      </w:r>
      <w:r w:rsidR="00322A49" w:rsidRPr="00C67F8C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CD3</w:t>
      </w:r>
      <w:r w:rsidR="00322A49" w:rsidRPr="00C67F8C">
        <w:rPr>
          <w:rFonts w:asciiTheme="majorHAnsi" w:eastAsia="Times New Roman" w:hAnsiTheme="majorHAnsi" w:cs="Tahoma"/>
          <w:color w:val="000000"/>
          <w:sz w:val="22"/>
          <w:szCs w:val="22"/>
          <w:vertAlign w:val="superscript"/>
          <w:lang w:val="en-US"/>
        </w:rPr>
        <w:t>+</w:t>
      </w:r>
      <w:r w:rsidR="00322A49" w:rsidRPr="00C67F8C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 </w:t>
      </w:r>
      <w:r w:rsidR="00A80646" w:rsidRPr="00C67F8C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lymphocyte</w:t>
      </w:r>
      <w:r w:rsidR="00A80646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 </w:t>
      </w:r>
      <w:r w:rsidR="00C67F8C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(T cell) </w:t>
      </w:r>
      <w:r w:rsidR="00322A49" w:rsidRPr="00B3025A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infiltration into </w:t>
      </w:r>
      <w:r w:rsidR="00A80646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retrospective </w:t>
      </w:r>
      <w:r w:rsidR="00322A49" w:rsidRPr="00B3025A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retinoblastoma </w:t>
      </w:r>
      <w:r w:rsidR="00A80646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tissue sections </w:t>
      </w:r>
      <w:r w:rsidR="003A4C73" w:rsidRPr="00B3025A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was assessed </w:t>
      </w:r>
      <w:r w:rsidR="003A4C73" w:rsidRPr="00C67F8C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using </w:t>
      </w:r>
      <w:r w:rsidR="00A80646" w:rsidRPr="00C67F8C">
        <w:rPr>
          <w:rFonts w:ascii="Calibri" w:hAnsi="Calibri" w:cs="Arial"/>
          <w:sz w:val="22"/>
          <w:szCs w:val="22"/>
          <w:lang w:val="en-US"/>
        </w:rPr>
        <w:t xml:space="preserve">the Stereo Investigator® </w:t>
      </w:r>
      <w:r w:rsidR="00D97ECD">
        <w:rPr>
          <w:rFonts w:ascii="Calibri" w:hAnsi="Calibri" w:cs="Arial"/>
          <w:sz w:val="22"/>
          <w:szCs w:val="22"/>
          <w:lang w:val="en-US"/>
        </w:rPr>
        <w:t>S</w:t>
      </w:r>
      <w:r w:rsidR="00EC5862">
        <w:rPr>
          <w:rFonts w:ascii="Calibri" w:hAnsi="Calibri" w:cs="Arial"/>
          <w:sz w:val="22"/>
          <w:szCs w:val="22"/>
          <w:lang w:val="en-US"/>
        </w:rPr>
        <w:t xml:space="preserve">oftware </w:t>
      </w:r>
      <w:r w:rsidR="00A80646" w:rsidRPr="00C67F8C">
        <w:rPr>
          <w:rFonts w:ascii="Calibri" w:hAnsi="Calibri" w:cs="Arial"/>
          <w:sz w:val="22"/>
          <w:szCs w:val="22"/>
          <w:lang w:val="en-US"/>
        </w:rPr>
        <w:t>system, including the Stereo Investigator® software</w:t>
      </w:r>
      <w:r w:rsidR="00C67F8C" w:rsidRPr="00C67F8C">
        <w:rPr>
          <w:rFonts w:ascii="Calibri" w:hAnsi="Calibri" w:cs="Arial"/>
          <w:sz w:val="22"/>
          <w:szCs w:val="22"/>
          <w:lang w:val="en-US"/>
        </w:rPr>
        <w:t xml:space="preserve"> </w:t>
      </w:r>
      <w:r w:rsidR="0044499D">
        <w:rPr>
          <w:rFonts w:ascii="Calibri" w:hAnsi="Calibri" w:cs="Arial"/>
          <w:sz w:val="22"/>
          <w:szCs w:val="22"/>
          <w:lang w:val="en-US"/>
        </w:rPr>
        <w:t>(</w:t>
      </w:r>
      <w:r w:rsidR="00EC5862">
        <w:rPr>
          <w:rFonts w:ascii="Calibri" w:hAnsi="Calibri" w:cs="Arial"/>
          <w:sz w:val="22"/>
          <w:szCs w:val="22"/>
          <w:lang w:val="en-US"/>
        </w:rPr>
        <w:t>v</w:t>
      </w:r>
      <w:r w:rsidR="0044499D">
        <w:rPr>
          <w:rFonts w:ascii="Calibri" w:hAnsi="Calibri" w:cs="Arial"/>
          <w:sz w:val="22"/>
          <w:szCs w:val="22"/>
          <w:lang w:val="en-US"/>
        </w:rPr>
        <w:t xml:space="preserve">ersion 11.09 64bit, </w:t>
      </w:r>
      <w:r w:rsidR="00C67F8C" w:rsidRPr="00C67F8C">
        <w:rPr>
          <w:rFonts w:ascii="Calibri" w:hAnsi="Calibri" w:cs="Arial"/>
          <w:sz w:val="22"/>
          <w:szCs w:val="22"/>
          <w:lang w:val="en-US"/>
        </w:rPr>
        <w:t>MBF Bioscience, Williston, VT, USA)</w:t>
      </w:r>
      <w:r w:rsidR="00A80646" w:rsidRPr="00C67F8C">
        <w:rPr>
          <w:rFonts w:ascii="Calibri" w:hAnsi="Calibri" w:cs="Arial"/>
          <w:sz w:val="22"/>
          <w:szCs w:val="22"/>
          <w:lang w:val="en-US"/>
        </w:rPr>
        <w:t xml:space="preserve">, an Olympus microscope BX53, the </w:t>
      </w:r>
      <w:proofErr w:type="spellStart"/>
      <w:r w:rsidR="00A80646" w:rsidRPr="00C67F8C">
        <w:rPr>
          <w:rFonts w:ascii="Calibri" w:hAnsi="Calibri" w:cs="Arial"/>
          <w:sz w:val="22"/>
          <w:szCs w:val="22"/>
          <w:lang w:val="en-US"/>
        </w:rPr>
        <w:t>QImaging</w:t>
      </w:r>
      <w:proofErr w:type="spellEnd"/>
      <w:r w:rsidR="00EC5862">
        <w:rPr>
          <w:rFonts w:ascii="Calibri" w:hAnsi="Calibri" w:cs="Arial"/>
          <w:sz w:val="22"/>
          <w:szCs w:val="22"/>
          <w:lang w:val="en-US"/>
        </w:rPr>
        <w:t>®</w:t>
      </w:r>
      <w:r w:rsidR="00A80646" w:rsidRPr="00C67F8C">
        <w:rPr>
          <w:rFonts w:ascii="Calibri" w:hAnsi="Calibri" w:cs="Arial"/>
          <w:sz w:val="22"/>
          <w:szCs w:val="22"/>
          <w:lang w:val="en-US"/>
        </w:rPr>
        <w:t xml:space="preserve"> camera COLOR 12 BIT and a </w:t>
      </w:r>
      <w:r w:rsidR="00C67F8C" w:rsidRPr="00C67F8C">
        <w:rPr>
          <w:rFonts w:ascii="Calibri" w:hAnsi="Calibri" w:cs="Arial"/>
          <w:sz w:val="22"/>
          <w:szCs w:val="22"/>
          <w:lang w:val="en-US"/>
        </w:rPr>
        <w:t xml:space="preserve">MAC 6000 </w:t>
      </w:r>
      <w:r w:rsidR="00A80646" w:rsidRPr="00C67F8C">
        <w:rPr>
          <w:rFonts w:ascii="Calibri" w:hAnsi="Calibri" w:cs="Arial"/>
          <w:sz w:val="22"/>
          <w:szCs w:val="22"/>
          <w:lang w:val="en-US"/>
        </w:rPr>
        <w:t>stage controller</w:t>
      </w:r>
      <w:r w:rsidR="0044499D">
        <w:rPr>
          <w:rFonts w:ascii="Calibri" w:hAnsi="Calibri" w:cs="Arial"/>
          <w:sz w:val="22"/>
          <w:szCs w:val="22"/>
          <w:lang w:val="en-US"/>
        </w:rPr>
        <w:t xml:space="preserve"> </w:t>
      </w:r>
      <w:r w:rsidR="00EC5862">
        <w:rPr>
          <w:rFonts w:ascii="Calibri" w:hAnsi="Calibri" w:cs="Arial"/>
          <w:sz w:val="22"/>
          <w:szCs w:val="22"/>
          <w:lang w:val="en-US"/>
        </w:rPr>
        <w:t>(</w:t>
      </w:r>
      <w:proofErr w:type="spellStart"/>
      <w:r w:rsidR="00EC5862">
        <w:rPr>
          <w:rFonts w:ascii="Calibri" w:hAnsi="Calibri" w:cs="Arial"/>
          <w:sz w:val="22"/>
          <w:szCs w:val="22"/>
          <w:lang w:val="en-US"/>
        </w:rPr>
        <w:t>Ludl</w:t>
      </w:r>
      <w:proofErr w:type="spellEnd"/>
      <w:r w:rsidR="00EC5862">
        <w:rPr>
          <w:rFonts w:ascii="Calibri" w:hAnsi="Calibri" w:cs="Arial"/>
          <w:sz w:val="22"/>
          <w:szCs w:val="22"/>
          <w:lang w:val="en-US"/>
        </w:rPr>
        <w:t xml:space="preserve"> Electronic Products Ltd., Hawthorne, NY, USA)</w:t>
      </w:r>
      <w:r w:rsidR="00A80646" w:rsidRPr="00C67F8C">
        <w:rPr>
          <w:rFonts w:ascii="Calibri" w:hAnsi="Calibri" w:cs="Arial"/>
          <w:sz w:val="22"/>
          <w:szCs w:val="22"/>
          <w:lang w:val="en-US"/>
        </w:rPr>
        <w:t xml:space="preserve">. The </w:t>
      </w:r>
      <w:r w:rsidR="00A80646" w:rsidRPr="00E91B7E">
        <w:rPr>
          <w:rFonts w:ascii="Calibri" w:hAnsi="Calibri" w:cs="Arial"/>
          <w:sz w:val="22"/>
          <w:szCs w:val="22"/>
          <w:lang w:val="en-US"/>
        </w:rPr>
        <w:t xml:space="preserve">software </w:t>
      </w:r>
      <w:r w:rsidR="00A80646" w:rsidRPr="00E91B7E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randomly selected </w:t>
      </w:r>
      <w:r w:rsidR="00875CBF" w:rsidRPr="00E91B7E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tissue areas</w:t>
      </w:r>
      <w:r w:rsidR="00875CBF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, </w:t>
      </w:r>
      <w:r w:rsidR="00875CBF" w:rsidRPr="00B3025A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outlined at low magnification (4x objective lens).</w:t>
      </w:r>
      <w:r w:rsidR="00875CBF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 In this area, the software systematically positioned </w:t>
      </w:r>
      <w:r w:rsidR="00322A49" w:rsidRPr="00C67F8C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4</w:t>
      </w:r>
      <w:r w:rsidR="003675A4" w:rsidRPr="00C67F8C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00 × 400</w:t>
      </w:r>
      <w:r w:rsidR="003675A4" w:rsidRPr="00C67F8C">
        <w:rPr>
          <w:rFonts w:asciiTheme="majorHAnsi" w:eastAsia="Times New Roman" w:hAnsiTheme="majorHAnsi" w:cs="Tahoma"/>
          <w:color w:val="000000"/>
          <w:sz w:val="22"/>
          <w:szCs w:val="22"/>
        </w:rPr>
        <w:t>µ</w:t>
      </w:r>
      <w:r w:rsidR="00875CBF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m grids. Within these grids, </w:t>
      </w:r>
      <w:r w:rsidR="00322A49" w:rsidRPr="00B3025A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T</w:t>
      </w:r>
      <w:r w:rsidR="00C67F8C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 </w:t>
      </w:r>
      <w:r w:rsidR="00322A49" w:rsidRPr="00B3025A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cells located in the two-dimensional optical dissector (85 × 85</w:t>
      </w:r>
      <w:r w:rsidR="00350BB5" w:rsidRPr="00B3025A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µ</w:t>
      </w:r>
      <w:r w:rsidR="00322A49" w:rsidRPr="00B3025A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m) were then counted at a higher magnification </w:t>
      </w:r>
      <w:proofErr w:type="gramStart"/>
      <w:r w:rsidR="00C67F8C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through the</w:t>
      </w:r>
      <w:r w:rsidR="00322A49" w:rsidRPr="00B3025A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 xml:space="preserve"> 20× objective lens at regularly pre-determined positions of the grid</w:t>
      </w:r>
      <w:proofErr w:type="gramEnd"/>
      <w:r w:rsidR="00322A49" w:rsidRPr="00B3025A">
        <w:rPr>
          <w:rFonts w:asciiTheme="majorHAnsi" w:eastAsia="Times New Roman" w:hAnsiTheme="majorHAnsi" w:cs="Tahoma"/>
          <w:color w:val="000000"/>
          <w:sz w:val="22"/>
          <w:szCs w:val="22"/>
          <w:lang w:val="en-US"/>
        </w:rPr>
        <w:t>.</w:t>
      </w:r>
    </w:p>
    <w:p w14:paraId="41552BAC" w14:textId="77777777" w:rsidR="00EC5862" w:rsidRPr="00B3025A" w:rsidRDefault="00EC5862" w:rsidP="00B3025A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14:paraId="1520A09C" w14:textId="118404A1" w:rsidR="005654F3" w:rsidRPr="005654F3" w:rsidRDefault="005654F3" w:rsidP="00B3025A">
      <w:pPr>
        <w:spacing w:line="360" w:lineRule="auto"/>
        <w:jc w:val="both"/>
        <w:rPr>
          <w:rFonts w:asciiTheme="majorHAnsi" w:hAnsiTheme="majorHAnsi"/>
          <w:sz w:val="22"/>
          <w:szCs w:val="22"/>
          <w:lang w:val="en-US"/>
        </w:rPr>
      </w:pPr>
    </w:p>
    <w:sectPr w:rsidR="005654F3" w:rsidRPr="005654F3" w:rsidSect="0025569C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3EE40A7" w15:done="0"/>
  <w15:commentEx w15:paraId="091672CA" w15:done="0"/>
  <w15:commentEx w15:paraId="3D3E6F2F" w15:done="0"/>
  <w15:commentEx w15:paraId="2EA1BDF8" w15:done="0"/>
  <w15:commentEx w15:paraId="1AA35F1D" w15:paraIdParent="2EA1BDF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E33152A" w16cid:durableId="1F58ACE8"/>
  <w16cid:commentId w16cid:paraId="661BE651" w16cid:durableId="1F58AD63"/>
  <w16cid:commentId w16cid:paraId="091672CA" w16cid:durableId="1F549A18"/>
  <w16cid:commentId w16cid:paraId="3D3E6F2F" w16cid:durableId="1F549A19"/>
  <w16cid:commentId w16cid:paraId="2EA1BDF8" w16cid:durableId="1F58B0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dersch, Lena">
    <w15:presenceInfo w15:providerId="None" w15:userId="Andersch, Lena"/>
  </w15:person>
  <w15:person w15:author="Kathy Astrahantseff">
    <w15:presenceInfo w15:providerId="None" w15:userId="Kathy Astrahantse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6BC3"/>
    <w:rsid w:val="000A7D54"/>
    <w:rsid w:val="0015359A"/>
    <w:rsid w:val="001C505F"/>
    <w:rsid w:val="001C6910"/>
    <w:rsid w:val="0025569C"/>
    <w:rsid w:val="00322A49"/>
    <w:rsid w:val="00350BB5"/>
    <w:rsid w:val="003675A4"/>
    <w:rsid w:val="003A4C73"/>
    <w:rsid w:val="003D7946"/>
    <w:rsid w:val="003E757C"/>
    <w:rsid w:val="0044499D"/>
    <w:rsid w:val="00475A79"/>
    <w:rsid w:val="00496A8A"/>
    <w:rsid w:val="004F276E"/>
    <w:rsid w:val="005228C2"/>
    <w:rsid w:val="005654F3"/>
    <w:rsid w:val="00666BC3"/>
    <w:rsid w:val="006B152E"/>
    <w:rsid w:val="006F3FC8"/>
    <w:rsid w:val="007C4FF8"/>
    <w:rsid w:val="00875CBF"/>
    <w:rsid w:val="008A566B"/>
    <w:rsid w:val="009E6CEA"/>
    <w:rsid w:val="00A21935"/>
    <w:rsid w:val="00A3273F"/>
    <w:rsid w:val="00A42B96"/>
    <w:rsid w:val="00A660F2"/>
    <w:rsid w:val="00A80646"/>
    <w:rsid w:val="00AA3609"/>
    <w:rsid w:val="00B26A4C"/>
    <w:rsid w:val="00B3025A"/>
    <w:rsid w:val="00B419B3"/>
    <w:rsid w:val="00B83598"/>
    <w:rsid w:val="00BB0464"/>
    <w:rsid w:val="00BB5909"/>
    <w:rsid w:val="00C67F8C"/>
    <w:rsid w:val="00C76F76"/>
    <w:rsid w:val="00D03C1B"/>
    <w:rsid w:val="00D227A4"/>
    <w:rsid w:val="00D61797"/>
    <w:rsid w:val="00D67297"/>
    <w:rsid w:val="00D97ECD"/>
    <w:rsid w:val="00DC7EF8"/>
    <w:rsid w:val="00E533E7"/>
    <w:rsid w:val="00E84A48"/>
    <w:rsid w:val="00E91B7E"/>
    <w:rsid w:val="00EC5862"/>
    <w:rsid w:val="00F0251F"/>
    <w:rsid w:val="00F42B9F"/>
    <w:rsid w:val="00F52461"/>
    <w:rsid w:val="00FF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286F0D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i/>
        <w:iCs/>
        <w:color w:val="000000" w:themeColor="text1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BC3"/>
    <w:rPr>
      <w:rFonts w:asciiTheme="minorHAnsi" w:hAnsiTheme="minorHAnsi" w:cstheme="minorBidi"/>
      <w:i w:val="0"/>
      <w:iCs w:val="0"/>
      <w:color w:val="auto"/>
      <w:lang w:val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3609"/>
    <w:pPr>
      <w:keepNext/>
      <w:keepLines/>
      <w:spacing w:before="480" w:line="360" w:lineRule="auto"/>
      <w:jc w:val="both"/>
      <w:outlineLvl w:val="0"/>
    </w:pPr>
    <w:rPr>
      <w:rFonts w:ascii="Arial" w:eastAsiaTheme="majorEastAsia" w:hAnsi="Arial" w:cs="Arial"/>
      <w:b/>
      <w:bCs/>
      <w:i/>
      <w:iCs/>
      <w:color w:val="000000" w:themeColor="text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3609"/>
    <w:pPr>
      <w:keepNext/>
      <w:keepLines/>
      <w:spacing w:before="200" w:line="360" w:lineRule="auto"/>
      <w:jc w:val="both"/>
      <w:outlineLvl w:val="1"/>
    </w:pPr>
    <w:rPr>
      <w:rFonts w:ascii="Arial" w:eastAsiaTheme="majorEastAsia" w:hAnsi="Arial" w:cs="Arial"/>
      <w:b/>
      <w:bCs/>
      <w:i/>
      <w:iCs/>
      <w:color w:val="000000" w:themeColor="text1"/>
      <w:sz w:val="26"/>
      <w:szCs w:val="26"/>
      <w:u w:val="single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3609"/>
    <w:pPr>
      <w:keepNext/>
      <w:keepLines/>
      <w:spacing w:before="200" w:line="276" w:lineRule="auto"/>
      <w:jc w:val="both"/>
      <w:outlineLvl w:val="2"/>
    </w:pPr>
    <w:rPr>
      <w:rFonts w:ascii="Arial" w:eastAsiaTheme="majorEastAsia" w:hAnsi="Arial" w:cs="Arial"/>
      <w:b/>
      <w:bCs/>
      <w:i/>
      <w:iCs/>
      <w:color w:val="000000" w:themeColor="text1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09"/>
    <w:rPr>
      <w:rFonts w:ascii="Arial" w:eastAsiaTheme="majorEastAsia" w:hAnsi="Arial" w:cs="Arial"/>
      <w:b/>
      <w:bCs/>
      <w:color w:val="000000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A3609"/>
    <w:rPr>
      <w:rFonts w:ascii="Arial" w:eastAsiaTheme="majorEastAsia" w:hAnsi="Arial" w:cs="Arial"/>
      <w:b/>
      <w:bCs/>
      <w:color w:val="000000" w:themeColor="text1"/>
      <w:sz w:val="26"/>
      <w:szCs w:val="26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A3609"/>
    <w:rPr>
      <w:rFonts w:ascii="Arial" w:eastAsiaTheme="majorEastAsia" w:hAnsi="Arial" w:cs="Arial"/>
      <w:b/>
      <w:bCs/>
      <w:color w:val="000000" w:themeColor="text1"/>
      <w:u w:val="single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66BC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BC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6BC3"/>
    <w:rPr>
      <w:rFonts w:asciiTheme="minorHAnsi" w:hAnsiTheme="minorHAnsi" w:cstheme="minorBidi"/>
      <w:i w:val="0"/>
      <w:iCs w:val="0"/>
      <w:color w:val="auto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BC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BC3"/>
    <w:rPr>
      <w:rFonts w:ascii="Lucida Grande" w:hAnsi="Lucida Grande" w:cs="Lucida Grande"/>
      <w:i w:val="0"/>
      <w:iCs w:val="0"/>
      <w:color w:val="auto"/>
      <w:sz w:val="18"/>
      <w:szCs w:val="18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75A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75A4"/>
    <w:rPr>
      <w:rFonts w:asciiTheme="minorHAnsi" w:hAnsiTheme="minorHAnsi" w:cstheme="minorBidi"/>
      <w:b/>
      <w:bCs/>
      <w:i w:val="0"/>
      <w:iCs w:val="0"/>
      <w:color w:val="auto"/>
      <w:sz w:val="20"/>
      <w:szCs w:val="20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i/>
        <w:iCs/>
        <w:color w:val="000000" w:themeColor="text1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BC3"/>
    <w:rPr>
      <w:rFonts w:asciiTheme="minorHAnsi" w:hAnsiTheme="minorHAnsi" w:cstheme="minorBidi"/>
      <w:i w:val="0"/>
      <w:iCs w:val="0"/>
      <w:color w:val="auto"/>
      <w:lang w:val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3609"/>
    <w:pPr>
      <w:keepNext/>
      <w:keepLines/>
      <w:spacing w:before="480" w:line="360" w:lineRule="auto"/>
      <w:jc w:val="both"/>
      <w:outlineLvl w:val="0"/>
    </w:pPr>
    <w:rPr>
      <w:rFonts w:ascii="Arial" w:eastAsiaTheme="majorEastAsia" w:hAnsi="Arial" w:cs="Arial"/>
      <w:b/>
      <w:bCs/>
      <w:i/>
      <w:iCs/>
      <w:color w:val="000000" w:themeColor="text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A3609"/>
    <w:pPr>
      <w:keepNext/>
      <w:keepLines/>
      <w:spacing w:before="200" w:line="360" w:lineRule="auto"/>
      <w:jc w:val="both"/>
      <w:outlineLvl w:val="1"/>
    </w:pPr>
    <w:rPr>
      <w:rFonts w:ascii="Arial" w:eastAsiaTheme="majorEastAsia" w:hAnsi="Arial" w:cs="Arial"/>
      <w:b/>
      <w:bCs/>
      <w:i/>
      <w:iCs/>
      <w:color w:val="000000" w:themeColor="text1"/>
      <w:sz w:val="26"/>
      <w:szCs w:val="26"/>
      <w:u w:val="single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A3609"/>
    <w:pPr>
      <w:keepNext/>
      <w:keepLines/>
      <w:spacing w:before="200" w:line="276" w:lineRule="auto"/>
      <w:jc w:val="both"/>
      <w:outlineLvl w:val="2"/>
    </w:pPr>
    <w:rPr>
      <w:rFonts w:ascii="Arial" w:eastAsiaTheme="majorEastAsia" w:hAnsi="Arial" w:cs="Arial"/>
      <w:b/>
      <w:bCs/>
      <w:i/>
      <w:iCs/>
      <w:color w:val="000000" w:themeColor="text1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09"/>
    <w:rPr>
      <w:rFonts w:ascii="Arial" w:eastAsiaTheme="majorEastAsia" w:hAnsi="Arial" w:cs="Arial"/>
      <w:b/>
      <w:bCs/>
      <w:color w:val="000000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A3609"/>
    <w:rPr>
      <w:rFonts w:ascii="Arial" w:eastAsiaTheme="majorEastAsia" w:hAnsi="Arial" w:cs="Arial"/>
      <w:b/>
      <w:bCs/>
      <w:color w:val="000000" w:themeColor="text1"/>
      <w:sz w:val="26"/>
      <w:szCs w:val="26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A3609"/>
    <w:rPr>
      <w:rFonts w:ascii="Arial" w:eastAsiaTheme="majorEastAsia" w:hAnsi="Arial" w:cs="Arial"/>
      <w:b/>
      <w:bCs/>
      <w:color w:val="000000" w:themeColor="text1"/>
      <w:u w:val="single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66BC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BC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6BC3"/>
    <w:rPr>
      <w:rFonts w:asciiTheme="minorHAnsi" w:hAnsiTheme="minorHAnsi" w:cstheme="minorBidi"/>
      <w:i w:val="0"/>
      <w:iCs w:val="0"/>
      <w:color w:val="auto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BC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BC3"/>
    <w:rPr>
      <w:rFonts w:ascii="Lucida Grande" w:hAnsi="Lucida Grande" w:cs="Lucida Grande"/>
      <w:i w:val="0"/>
      <w:iCs w:val="0"/>
      <w:color w:val="auto"/>
      <w:sz w:val="18"/>
      <w:szCs w:val="18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75A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75A4"/>
    <w:rPr>
      <w:rFonts w:asciiTheme="minorHAnsi" w:hAnsiTheme="minorHAnsi" w:cstheme="minorBidi"/>
      <w:b/>
      <w:bCs/>
      <w:i w:val="0"/>
      <w:iCs w:val="0"/>
      <w:color w:val="auto"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8" Type="http://schemas.microsoft.com/office/2011/relationships/commentsExtended" Target="commentsExtended.xml"/><Relationship Id="rId9" Type="http://schemas.microsoft.com/office/2011/relationships/people" Target="people.xml"/><Relationship Id="rId10" Type="http://schemas.microsoft.com/office/2016/09/relationships/commentsIds" Target="commentsIds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672C1-FEB3-C442-9F3C-6858CD7A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1471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Andersch</dc:creator>
  <cp:keywords/>
  <dc:description/>
  <cp:lastModifiedBy>Annette Kuenkele</cp:lastModifiedBy>
  <cp:revision>3</cp:revision>
  <dcterms:created xsi:type="dcterms:W3CDTF">2018-12-20T11:32:00Z</dcterms:created>
  <dcterms:modified xsi:type="dcterms:W3CDTF">2018-12-20T11:34:00Z</dcterms:modified>
</cp:coreProperties>
</file>