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siatki1jasna"/>
        <w:tblpPr w:leftFromText="180" w:rightFromText="180" w:horzAnchor="margin" w:tblpY="552"/>
        <w:tblW w:w="14830" w:type="dxa"/>
        <w:tblLayout w:type="fixed"/>
        <w:tblLook w:val="04A0" w:firstRow="1" w:lastRow="0" w:firstColumn="1" w:lastColumn="0" w:noHBand="0" w:noVBand="1"/>
      </w:tblPr>
      <w:tblGrid>
        <w:gridCol w:w="1785"/>
        <w:gridCol w:w="1065"/>
        <w:gridCol w:w="2253"/>
        <w:gridCol w:w="2102"/>
        <w:gridCol w:w="2198"/>
        <w:gridCol w:w="2551"/>
        <w:gridCol w:w="1563"/>
        <w:gridCol w:w="1313"/>
      </w:tblGrid>
      <w:tr w:rsidR="00B11EC5" w:rsidRPr="00DF5769" w:rsidTr="006027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vAlign w:val="center"/>
          </w:tcPr>
          <w:p w:rsidR="00B11EC5" w:rsidRPr="00DF5769" w:rsidRDefault="00B11EC5" w:rsidP="0060270A">
            <w:pPr>
              <w:jc w:val="center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Trial/Year</w:t>
            </w:r>
          </w:p>
        </w:tc>
        <w:tc>
          <w:tcPr>
            <w:tcW w:w="1065" w:type="dxa"/>
            <w:vAlign w:val="center"/>
          </w:tcPr>
          <w:p w:rsidR="00B11EC5" w:rsidRPr="00DF5769" w:rsidRDefault="00B11EC5" w:rsidP="00602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2253" w:type="dxa"/>
            <w:vAlign w:val="center"/>
          </w:tcPr>
          <w:p w:rsidR="00B11EC5" w:rsidRPr="00DF5769" w:rsidRDefault="00B11EC5" w:rsidP="00602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Patient Population</w:t>
            </w:r>
          </w:p>
        </w:tc>
        <w:tc>
          <w:tcPr>
            <w:tcW w:w="2102" w:type="dxa"/>
            <w:vAlign w:val="center"/>
          </w:tcPr>
          <w:p w:rsidR="00B11EC5" w:rsidRPr="00DF5769" w:rsidRDefault="00E20E19" w:rsidP="00602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Target Molecule</w:t>
            </w:r>
          </w:p>
        </w:tc>
        <w:tc>
          <w:tcPr>
            <w:tcW w:w="2198" w:type="dxa"/>
            <w:vAlign w:val="center"/>
          </w:tcPr>
          <w:p w:rsidR="00B11EC5" w:rsidRPr="00DF5769" w:rsidRDefault="00E20E19" w:rsidP="00602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Delivery Route</w:t>
            </w:r>
          </w:p>
        </w:tc>
        <w:tc>
          <w:tcPr>
            <w:tcW w:w="2551" w:type="dxa"/>
            <w:vAlign w:val="center"/>
          </w:tcPr>
          <w:p w:rsidR="00B11EC5" w:rsidRPr="00DF5769" w:rsidRDefault="00E20E19" w:rsidP="00602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Key Results</w:t>
            </w:r>
          </w:p>
        </w:tc>
        <w:tc>
          <w:tcPr>
            <w:tcW w:w="1563" w:type="dxa"/>
            <w:vAlign w:val="center"/>
          </w:tcPr>
          <w:p w:rsidR="00B11EC5" w:rsidRPr="00DF5769" w:rsidRDefault="00E20E19" w:rsidP="00602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Trial ID</w:t>
            </w:r>
          </w:p>
        </w:tc>
        <w:tc>
          <w:tcPr>
            <w:tcW w:w="1313" w:type="dxa"/>
            <w:vAlign w:val="center"/>
          </w:tcPr>
          <w:p w:rsidR="00B11EC5" w:rsidRPr="00DF5769" w:rsidRDefault="00E20E19" w:rsidP="00602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Reference</w:t>
            </w:r>
          </w:p>
        </w:tc>
      </w:tr>
      <w:tr w:rsidR="00B11EC5" w:rsidRPr="00DF5769" w:rsidTr="0060270A">
        <w:trPr>
          <w:trHeight w:val="1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vAlign w:val="center"/>
          </w:tcPr>
          <w:p w:rsidR="00B11EC5" w:rsidRPr="00DF5769" w:rsidRDefault="00BC12D9" w:rsidP="002D0581">
            <w:pPr>
              <w:jc w:val="both"/>
              <w:rPr>
                <w:rFonts w:ascii="Times New Roman" w:hAnsi="Times New Roman" w:cs="Times New Roman"/>
                <w:b w:val="0"/>
                <w:lang w:val="en-US"/>
              </w:rPr>
            </w:pPr>
            <w:r w:rsidRPr="00DF5769">
              <w:rPr>
                <w:rFonts w:ascii="Times New Roman" w:hAnsi="Times New Roman" w:cs="Times New Roman"/>
                <w:b w:val="0"/>
                <w:lang w:val="en-US"/>
              </w:rPr>
              <w:t>CART-EGFR-IL13Ra2 in EGFR-Amplified Recurrent GBM, 2025</w:t>
            </w:r>
          </w:p>
        </w:tc>
        <w:tc>
          <w:tcPr>
            <w:tcW w:w="1065" w:type="dxa"/>
            <w:vAlign w:val="center"/>
          </w:tcPr>
          <w:p w:rsidR="00B11EC5" w:rsidRPr="00DF5769" w:rsidRDefault="007A6FFD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253" w:type="dxa"/>
            <w:vAlign w:val="center"/>
          </w:tcPr>
          <w:p w:rsidR="00B11EC5" w:rsidRPr="00DF5769" w:rsidRDefault="00BC12D9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18 adults with recurrent glioblastoma (GBM), IDH-wildtype, EGFR-amplified</w:t>
            </w:r>
          </w:p>
        </w:tc>
        <w:tc>
          <w:tcPr>
            <w:tcW w:w="2102" w:type="dxa"/>
            <w:vAlign w:val="center"/>
          </w:tcPr>
          <w:p w:rsidR="00B11EC5" w:rsidRPr="00DF5769" w:rsidRDefault="00BC12D9" w:rsidP="002D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Dual-targeting of EGFR epitope 806 and IL-13R</w:t>
            </w:r>
            <w:r w:rsidRPr="00DF5769">
              <w:rPr>
                <w:rFonts w:ascii="Times New Roman" w:hAnsi="Times New Roman" w:cs="Times New Roman"/>
              </w:rPr>
              <w:t>α</w:t>
            </w:r>
            <w:r w:rsidRPr="00DF576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98" w:type="dxa"/>
            <w:vAlign w:val="center"/>
          </w:tcPr>
          <w:p w:rsidR="00B11EC5" w:rsidRPr="00DF5769" w:rsidRDefault="002D0581" w:rsidP="002D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Intracerebroventricul</w:t>
            </w:r>
            <w:r w:rsidR="00BC12D9" w:rsidRPr="00DF5769">
              <w:rPr>
                <w:rFonts w:ascii="Times New Roman" w:hAnsi="Times New Roman" w:cs="Times New Roman"/>
                <w:lang w:val="en-US"/>
              </w:rPr>
              <w:t>r (ICV) infusion via Ommaya reservoir</w:t>
            </w:r>
          </w:p>
        </w:tc>
        <w:tc>
          <w:tcPr>
            <w:tcW w:w="2551" w:type="dxa"/>
            <w:vAlign w:val="center"/>
          </w:tcPr>
          <w:p w:rsidR="00B11EC5" w:rsidRPr="00DF5769" w:rsidRDefault="00E12668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In an open-label dose-escalation study with 18 patients, 62% showed tumor shrinkage. Median progression-free survival was 1.9 months; overall survival data are still pending.</w:t>
            </w:r>
          </w:p>
        </w:tc>
        <w:tc>
          <w:tcPr>
            <w:tcW w:w="1563" w:type="dxa"/>
            <w:vAlign w:val="center"/>
          </w:tcPr>
          <w:p w:rsidR="00B11EC5" w:rsidRPr="00DF5769" w:rsidRDefault="00AF0F2B" w:rsidP="0060270A">
            <w:pPr>
              <w:pStyle w:val="Normalny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F5769">
              <w:rPr>
                <w:sz w:val="22"/>
                <w:szCs w:val="22"/>
              </w:rPr>
              <w:t>NCT05168423</w:t>
            </w:r>
          </w:p>
        </w:tc>
        <w:tc>
          <w:tcPr>
            <w:tcW w:w="1313" w:type="dxa"/>
            <w:vAlign w:val="center"/>
          </w:tcPr>
          <w:p w:rsidR="00B11EC5" w:rsidRPr="00DF5769" w:rsidRDefault="00E20E19" w:rsidP="007D2E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[</w:t>
            </w:r>
            <w:r w:rsidR="0023406E">
              <w:rPr>
                <w:rFonts w:ascii="Times New Roman" w:hAnsi="Times New Roman" w:cs="Times New Roman"/>
              </w:rPr>
              <w:t>122</w:t>
            </w:r>
            <w:r w:rsidRPr="00DF5769">
              <w:rPr>
                <w:rFonts w:ascii="Times New Roman" w:hAnsi="Times New Roman" w:cs="Times New Roman"/>
              </w:rPr>
              <w:t>]</w:t>
            </w:r>
          </w:p>
        </w:tc>
      </w:tr>
      <w:tr w:rsidR="00B11EC5" w:rsidRPr="00DF5769" w:rsidTr="0060270A">
        <w:trPr>
          <w:trHeight w:val="1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vAlign w:val="center"/>
          </w:tcPr>
          <w:p w:rsidR="00B11EC5" w:rsidRPr="00DF5769" w:rsidRDefault="007A6FFD" w:rsidP="002D0581">
            <w:pPr>
              <w:jc w:val="both"/>
              <w:rPr>
                <w:rFonts w:ascii="Times New Roman" w:hAnsi="Times New Roman" w:cs="Times New Roman"/>
                <w:b w:val="0"/>
              </w:rPr>
            </w:pPr>
            <w:r w:rsidRPr="00DF5769">
              <w:rPr>
                <w:rFonts w:ascii="Times New Roman" w:hAnsi="Times New Roman" w:cs="Times New Roman"/>
                <w:b w:val="0"/>
              </w:rPr>
              <w:t>GD2 CAR-T (Nature 2025)</w:t>
            </w:r>
          </w:p>
        </w:tc>
        <w:tc>
          <w:tcPr>
            <w:tcW w:w="1065" w:type="dxa"/>
            <w:vAlign w:val="center"/>
          </w:tcPr>
          <w:p w:rsidR="00B11EC5" w:rsidRPr="00DF5769" w:rsidRDefault="007A6FFD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253" w:type="dxa"/>
            <w:vAlign w:val="center"/>
          </w:tcPr>
          <w:p w:rsidR="00B11EC5" w:rsidRPr="00DF5769" w:rsidRDefault="00031F0A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51 p</w:t>
            </w:r>
            <w:r w:rsidR="007A6FFD" w:rsidRPr="00DF5769">
              <w:rPr>
                <w:rFonts w:ascii="Times New Roman" w:hAnsi="Times New Roman" w:cs="Times New Roman"/>
                <w:lang w:val="en-US"/>
              </w:rPr>
              <w:t>ediatric &amp; young adult patients with H3K27M-mutant DMG</w:t>
            </w:r>
          </w:p>
        </w:tc>
        <w:tc>
          <w:tcPr>
            <w:tcW w:w="2102" w:type="dxa"/>
            <w:vAlign w:val="center"/>
          </w:tcPr>
          <w:p w:rsidR="00B11EC5" w:rsidRPr="00DF5769" w:rsidRDefault="007656CC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GD2</w:t>
            </w:r>
          </w:p>
        </w:tc>
        <w:tc>
          <w:tcPr>
            <w:tcW w:w="2198" w:type="dxa"/>
            <w:vAlign w:val="center"/>
          </w:tcPr>
          <w:p w:rsidR="00B11EC5" w:rsidRPr="00DF5769" w:rsidRDefault="007656CC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Not specified</w:t>
            </w:r>
          </w:p>
        </w:tc>
        <w:tc>
          <w:tcPr>
            <w:tcW w:w="2551" w:type="dxa"/>
            <w:vAlign w:val="center"/>
          </w:tcPr>
          <w:p w:rsidR="00B11EC5" w:rsidRPr="00DF5769" w:rsidRDefault="007656CC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Substantial tumor regression; some survival ≥2 yrs; ≥1 complete durable remission</w:t>
            </w:r>
          </w:p>
        </w:tc>
        <w:tc>
          <w:tcPr>
            <w:tcW w:w="1563" w:type="dxa"/>
            <w:vAlign w:val="center"/>
          </w:tcPr>
          <w:p w:rsidR="00B11EC5" w:rsidRPr="004C7C55" w:rsidRDefault="00BE18E6" w:rsidP="004C7C55">
            <w:pPr>
              <w:tabs>
                <w:tab w:val="left" w:pos="13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NCT04196413</w:t>
            </w:r>
          </w:p>
        </w:tc>
        <w:tc>
          <w:tcPr>
            <w:tcW w:w="1313" w:type="dxa"/>
            <w:vAlign w:val="center"/>
          </w:tcPr>
          <w:p w:rsidR="00B11EC5" w:rsidRPr="00DF5769" w:rsidRDefault="00E20E19" w:rsidP="00690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[</w:t>
            </w:r>
            <w:r w:rsidR="0069054F">
              <w:rPr>
                <w:rFonts w:ascii="Times New Roman" w:hAnsi="Times New Roman" w:cs="Times New Roman"/>
              </w:rPr>
              <w:t>121</w:t>
            </w:r>
            <w:r w:rsidRPr="00DF5769">
              <w:rPr>
                <w:rFonts w:ascii="Times New Roman" w:hAnsi="Times New Roman" w:cs="Times New Roman"/>
              </w:rPr>
              <w:t>]</w:t>
            </w:r>
          </w:p>
        </w:tc>
      </w:tr>
      <w:tr w:rsidR="00B11EC5" w:rsidRPr="00DF5769" w:rsidTr="0060270A">
        <w:trPr>
          <w:trHeight w:val="1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vAlign w:val="center"/>
          </w:tcPr>
          <w:p w:rsidR="00B11EC5" w:rsidRPr="00DF5769" w:rsidRDefault="007A6FFD" w:rsidP="002D0581">
            <w:pPr>
              <w:jc w:val="both"/>
              <w:rPr>
                <w:rFonts w:ascii="Times New Roman" w:hAnsi="Times New Roman" w:cs="Times New Roman"/>
                <w:b w:val="0"/>
              </w:rPr>
            </w:pPr>
            <w:r w:rsidRPr="00DF5769">
              <w:rPr>
                <w:rFonts w:ascii="Times New Roman" w:hAnsi="Times New Roman" w:cs="Times New Roman"/>
                <w:b w:val="0"/>
              </w:rPr>
              <w:t>CARv3-TEAM-E</w:t>
            </w:r>
          </w:p>
        </w:tc>
        <w:tc>
          <w:tcPr>
            <w:tcW w:w="1065" w:type="dxa"/>
            <w:vAlign w:val="center"/>
          </w:tcPr>
          <w:p w:rsidR="00B11EC5" w:rsidRPr="00DF5769" w:rsidRDefault="007A6FFD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253" w:type="dxa"/>
            <w:vAlign w:val="center"/>
          </w:tcPr>
          <w:p w:rsidR="00B11EC5" w:rsidRPr="00DF5769" w:rsidRDefault="00031F0A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21</w:t>
            </w:r>
            <w:r w:rsidR="007656CC" w:rsidRPr="00DF5769">
              <w:rPr>
                <w:rFonts w:ascii="Times New Roman" w:hAnsi="Times New Roman" w:cs="Times New Roman"/>
              </w:rPr>
              <w:t xml:space="preserve"> adults with recurrent GBM</w:t>
            </w:r>
          </w:p>
        </w:tc>
        <w:tc>
          <w:tcPr>
            <w:tcW w:w="2102" w:type="dxa"/>
            <w:vAlign w:val="center"/>
          </w:tcPr>
          <w:p w:rsidR="00B11EC5" w:rsidRPr="00DF5769" w:rsidRDefault="007656CC" w:rsidP="002D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EGFRvIII (CAR) + EGFR (TEAM)</w:t>
            </w:r>
          </w:p>
        </w:tc>
        <w:tc>
          <w:tcPr>
            <w:tcW w:w="2198" w:type="dxa"/>
            <w:vAlign w:val="center"/>
          </w:tcPr>
          <w:p w:rsidR="00B11EC5" w:rsidRPr="00DF5769" w:rsidRDefault="007656CC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Intraventricular</w:t>
            </w:r>
          </w:p>
        </w:tc>
        <w:tc>
          <w:tcPr>
            <w:tcW w:w="2551" w:type="dxa"/>
            <w:vAlign w:val="center"/>
          </w:tcPr>
          <w:p w:rsidR="00B11EC5" w:rsidRPr="00DF5769" w:rsidRDefault="007656CC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No DLTs; grade 3 AEs; 1 transient regression; 1 sustained 150-day response; 1 near-complete regression with early relapse</w:t>
            </w:r>
          </w:p>
        </w:tc>
        <w:tc>
          <w:tcPr>
            <w:tcW w:w="1563" w:type="dxa"/>
            <w:vAlign w:val="center"/>
          </w:tcPr>
          <w:p w:rsidR="00B11EC5" w:rsidRPr="00DF5769" w:rsidRDefault="00BE18E6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NCT05660369</w:t>
            </w:r>
          </w:p>
        </w:tc>
        <w:tc>
          <w:tcPr>
            <w:tcW w:w="1313" w:type="dxa"/>
            <w:vAlign w:val="center"/>
          </w:tcPr>
          <w:p w:rsidR="00B11EC5" w:rsidRPr="00DF5769" w:rsidRDefault="00E20E19" w:rsidP="00B56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[</w:t>
            </w:r>
            <w:r w:rsidR="00F513A3">
              <w:rPr>
                <w:rFonts w:ascii="Times New Roman" w:hAnsi="Times New Roman" w:cs="Times New Roman"/>
              </w:rPr>
              <w:t>114</w:t>
            </w:r>
            <w:r w:rsidR="00037DC7">
              <w:rPr>
                <w:rFonts w:ascii="Times New Roman" w:hAnsi="Times New Roman" w:cs="Times New Roman"/>
              </w:rPr>
              <w:t>, 119</w:t>
            </w:r>
            <w:r w:rsidRPr="00DF5769">
              <w:rPr>
                <w:rFonts w:ascii="Times New Roman" w:hAnsi="Times New Roman" w:cs="Times New Roman"/>
              </w:rPr>
              <w:t>]</w:t>
            </w:r>
          </w:p>
        </w:tc>
      </w:tr>
      <w:tr w:rsidR="00B11EC5" w:rsidRPr="00DF5769" w:rsidTr="0060270A">
        <w:trPr>
          <w:trHeight w:val="1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vAlign w:val="center"/>
          </w:tcPr>
          <w:p w:rsidR="00B11EC5" w:rsidRPr="00DF5769" w:rsidRDefault="007A6FFD" w:rsidP="002D0581">
            <w:pPr>
              <w:jc w:val="both"/>
              <w:rPr>
                <w:rFonts w:ascii="Times New Roman" w:hAnsi="Times New Roman" w:cs="Times New Roman"/>
                <w:b w:val="0"/>
                <w:lang w:val="en-US"/>
              </w:rPr>
            </w:pPr>
            <w:r w:rsidRPr="00DF5769">
              <w:rPr>
                <w:rFonts w:ascii="Times New Roman" w:hAnsi="Times New Roman" w:cs="Times New Roman"/>
                <w:b w:val="0"/>
                <w:lang w:val="en-US"/>
              </w:rPr>
              <w:t>IL13R</w:t>
            </w:r>
            <w:r w:rsidRPr="00DF5769">
              <w:rPr>
                <w:rFonts w:ascii="Times New Roman" w:hAnsi="Times New Roman" w:cs="Times New Roman"/>
                <w:b w:val="0"/>
              </w:rPr>
              <w:t>α</w:t>
            </w:r>
            <w:r w:rsidRPr="00DF5769">
              <w:rPr>
                <w:rFonts w:ascii="Times New Roman" w:hAnsi="Times New Roman" w:cs="Times New Roman"/>
                <w:b w:val="0"/>
                <w:lang w:val="en-US"/>
              </w:rPr>
              <w:t>2 CAR-T (City of Hope)</w:t>
            </w:r>
          </w:p>
        </w:tc>
        <w:tc>
          <w:tcPr>
            <w:tcW w:w="1065" w:type="dxa"/>
            <w:vAlign w:val="center"/>
          </w:tcPr>
          <w:p w:rsidR="00B11EC5" w:rsidRPr="00DF5769" w:rsidRDefault="007A6FFD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253" w:type="dxa"/>
            <w:vAlign w:val="center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7656CC" w:rsidRPr="00DF5769" w:rsidTr="0060270A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:rsidR="007656CC" w:rsidRPr="00DF5769" w:rsidRDefault="007656CC" w:rsidP="00720B76">
                  <w:pPr>
                    <w:framePr w:hSpace="180" w:wrap="around" w:hAnchor="margin" w:y="552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</w:tr>
          </w:tbl>
          <w:p w:rsidR="007656CC" w:rsidRPr="00DF5769" w:rsidRDefault="007656CC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4"/>
            </w:tblGrid>
            <w:tr w:rsidR="007656CC" w:rsidRPr="00720B76" w:rsidTr="0060270A">
              <w:trPr>
                <w:trHeight w:val="1377"/>
                <w:tblCellSpacing w:w="15" w:type="dxa"/>
              </w:trPr>
              <w:tc>
                <w:tcPr>
                  <w:tcW w:w="1964" w:type="dxa"/>
                  <w:vAlign w:val="center"/>
                  <w:hideMark/>
                </w:tcPr>
                <w:p w:rsidR="007656CC" w:rsidRPr="00DF5769" w:rsidRDefault="007656CC" w:rsidP="00720B76">
                  <w:pPr>
                    <w:framePr w:hSpace="180" w:wrap="around" w:hAnchor="margin" w:y="552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DF5769">
                    <w:rPr>
                      <w:rFonts w:ascii="Times New Roman" w:eastAsia="Times New Roman" w:hAnsi="Times New Roman" w:cs="Times New Roman"/>
                      <w:lang w:val="en-US"/>
                    </w:rPr>
                    <w:t>65 patients with recurrent or refractory malignant glioma (only 1 recurrent multifocal GBM)</w:t>
                  </w:r>
                </w:p>
              </w:tc>
            </w:tr>
          </w:tbl>
          <w:p w:rsidR="00B11EC5" w:rsidRPr="00DF5769" w:rsidRDefault="00B11EC5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02" w:type="dxa"/>
            <w:vAlign w:val="center"/>
          </w:tcPr>
          <w:p w:rsidR="00B11EC5" w:rsidRPr="00DF5769" w:rsidRDefault="007656CC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IL13Rα2</w:t>
            </w:r>
          </w:p>
        </w:tc>
        <w:tc>
          <w:tcPr>
            <w:tcW w:w="2198" w:type="dxa"/>
            <w:vAlign w:val="center"/>
          </w:tcPr>
          <w:p w:rsidR="00B11EC5" w:rsidRPr="00DF5769" w:rsidRDefault="007656CC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Intraventricular + intracavitary</w:t>
            </w:r>
          </w:p>
        </w:tc>
        <w:tc>
          <w:tcPr>
            <w:tcW w:w="2551" w:type="dxa"/>
            <w:vAlign w:val="center"/>
          </w:tcPr>
          <w:p w:rsidR="00B11EC5" w:rsidRPr="00DF5769" w:rsidRDefault="007656CC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77–100% tumor reduction after intraventricular doses; no ≥ grade 3 toxicities; 7.5-month benefit</w:t>
            </w:r>
          </w:p>
        </w:tc>
        <w:tc>
          <w:tcPr>
            <w:tcW w:w="1563" w:type="dxa"/>
            <w:vAlign w:val="center"/>
          </w:tcPr>
          <w:p w:rsidR="00B11EC5" w:rsidRPr="00DF5769" w:rsidRDefault="00BE18E6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NCT02208362</w:t>
            </w:r>
          </w:p>
        </w:tc>
        <w:tc>
          <w:tcPr>
            <w:tcW w:w="1313" w:type="dxa"/>
            <w:vAlign w:val="center"/>
          </w:tcPr>
          <w:p w:rsidR="00B11EC5" w:rsidRPr="00DF5769" w:rsidRDefault="00950732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B56846">
              <w:rPr>
                <w:rFonts w:ascii="Times New Roman" w:hAnsi="Times New Roman" w:cs="Times New Roman"/>
              </w:rPr>
              <w:t>118</w:t>
            </w:r>
            <w:r w:rsidR="00BE18E6" w:rsidRPr="00DF5769">
              <w:rPr>
                <w:rFonts w:ascii="Times New Roman" w:hAnsi="Times New Roman" w:cs="Times New Roman"/>
              </w:rPr>
              <w:t>]</w:t>
            </w:r>
          </w:p>
        </w:tc>
      </w:tr>
      <w:tr w:rsidR="00B11EC5" w:rsidRPr="00DF5769" w:rsidTr="0060270A">
        <w:trPr>
          <w:trHeight w:val="1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vAlign w:val="center"/>
          </w:tcPr>
          <w:p w:rsidR="00B11EC5" w:rsidRPr="00DF5769" w:rsidRDefault="007A6FFD" w:rsidP="002D0581">
            <w:pPr>
              <w:jc w:val="both"/>
              <w:rPr>
                <w:rFonts w:ascii="Times New Roman" w:hAnsi="Times New Roman" w:cs="Times New Roman"/>
                <w:b w:val="0"/>
                <w:lang w:val="en-US"/>
              </w:rPr>
            </w:pPr>
            <w:r w:rsidRPr="00DF5769">
              <w:rPr>
                <w:rFonts w:ascii="Times New Roman" w:hAnsi="Times New Roman" w:cs="Times New Roman"/>
                <w:b w:val="0"/>
                <w:lang w:val="en-US"/>
              </w:rPr>
              <w:t>SL-701 Vaccine + poly-ICLC + bevacizumab</w:t>
            </w:r>
          </w:p>
        </w:tc>
        <w:tc>
          <w:tcPr>
            <w:tcW w:w="1065" w:type="dxa"/>
            <w:vAlign w:val="center"/>
          </w:tcPr>
          <w:p w:rsidR="00B11EC5" w:rsidRPr="00720B76" w:rsidRDefault="00720B76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highlight w:val="yellow"/>
              </w:rPr>
            </w:pPr>
            <w:r w:rsidRPr="00720B76">
              <w:rPr>
                <w:rFonts w:ascii="Times New Roman" w:hAnsi="Times New Roman" w:cs="Times New Roman"/>
                <w:highlight w:val="yellow"/>
              </w:rPr>
              <w:t>I/</w:t>
            </w:r>
            <w:r w:rsidR="007A6FFD" w:rsidRPr="00720B76">
              <w:rPr>
                <w:rFonts w:ascii="Times New Roman" w:hAnsi="Times New Roman" w:cs="Times New Roman"/>
                <w:highlight w:val="yellow"/>
              </w:rPr>
              <w:t>II</w:t>
            </w:r>
            <w:bookmarkStart w:id="0" w:name="_GoBack"/>
            <w:bookmarkEnd w:id="0"/>
          </w:p>
        </w:tc>
        <w:tc>
          <w:tcPr>
            <w:tcW w:w="2253" w:type="dxa"/>
            <w:vAlign w:val="center"/>
          </w:tcPr>
          <w:p w:rsidR="00B11EC5" w:rsidRPr="00DF5769" w:rsidRDefault="007656CC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Adults with recurrent GBM</w:t>
            </w:r>
            <w:r w:rsidR="008A486F" w:rsidRPr="00DF5769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="00BD7E25" w:rsidRPr="00DF5769">
              <w:rPr>
                <w:rFonts w:ascii="Times New Roman" w:hAnsi="Times New Roman" w:cs="Times New Roman"/>
                <w:color w:val="171716"/>
                <w:shd w:val="clear" w:color="auto" w:fill="FFFFFF"/>
                <w:lang w:val="en-US"/>
              </w:rPr>
              <w:t xml:space="preserve">74 </w:t>
            </w:r>
            <w:r w:rsidR="008A486F" w:rsidRPr="00DF5769">
              <w:rPr>
                <w:rFonts w:ascii="Times New Roman" w:hAnsi="Times New Roman" w:cs="Times New Roman"/>
                <w:color w:val="171716"/>
                <w:shd w:val="clear" w:color="auto" w:fill="FFFFFF"/>
                <w:lang w:val="en-US"/>
              </w:rPr>
              <w:t>participants were treated in the study, 46 in Stage 1 and 28 in Stage 2)</w:t>
            </w:r>
          </w:p>
        </w:tc>
        <w:tc>
          <w:tcPr>
            <w:tcW w:w="2102" w:type="dxa"/>
            <w:vAlign w:val="center"/>
          </w:tcPr>
          <w:p w:rsidR="00B11EC5" w:rsidRPr="00DF5769" w:rsidRDefault="007656CC" w:rsidP="002D05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>Peptide vaccine (IL-13R</w:t>
            </w:r>
            <w:r w:rsidRPr="00DF5769">
              <w:rPr>
                <w:rFonts w:ascii="Times New Roman" w:hAnsi="Times New Roman" w:cs="Times New Roman"/>
              </w:rPr>
              <w:t>α</w:t>
            </w:r>
            <w:r w:rsidRPr="00DF5769">
              <w:rPr>
                <w:rFonts w:ascii="Times New Roman" w:hAnsi="Times New Roman" w:cs="Times New Roman"/>
                <w:lang w:val="en-US"/>
              </w:rPr>
              <w:t>2, EphA2, Survivin)</w:t>
            </w:r>
          </w:p>
        </w:tc>
        <w:tc>
          <w:tcPr>
            <w:tcW w:w="2198" w:type="dxa"/>
            <w:vAlign w:val="center"/>
          </w:tcPr>
          <w:p w:rsidR="00B11EC5" w:rsidRPr="00DF5769" w:rsidRDefault="007656CC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Intradermal</w:t>
            </w:r>
          </w:p>
        </w:tc>
        <w:tc>
          <w:tcPr>
            <w:tcW w:w="2551" w:type="dxa"/>
            <w:vAlign w:val="center"/>
          </w:tcPr>
          <w:p w:rsidR="00B11EC5" w:rsidRPr="00DF5769" w:rsidRDefault="007656CC" w:rsidP="006027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F5769">
              <w:rPr>
                <w:rFonts w:ascii="Times New Roman" w:hAnsi="Times New Roman" w:cs="Times New Roman"/>
                <w:lang w:val="en-US"/>
              </w:rPr>
              <w:t xml:space="preserve">12-month </w:t>
            </w:r>
            <w:r w:rsidR="00464C77" w:rsidRPr="00DF5769">
              <w:rPr>
                <w:rFonts w:ascii="Times New Roman" w:hAnsi="Times New Roman" w:cs="Times New Roman"/>
                <w:lang w:val="en-US"/>
              </w:rPr>
              <w:t>*</w:t>
            </w:r>
            <w:r w:rsidRPr="00DF5769">
              <w:rPr>
                <w:rFonts w:ascii="Times New Roman" w:hAnsi="Times New Roman" w:cs="Times New Roman"/>
                <w:lang w:val="en-US"/>
              </w:rPr>
              <w:t>OS ≈ 50%; enrichment of CD8⁺ CD57⁺ CD107a⁺ PD-1⁻ T cells in long survivors</w:t>
            </w:r>
          </w:p>
        </w:tc>
        <w:tc>
          <w:tcPr>
            <w:tcW w:w="1563" w:type="dxa"/>
            <w:vAlign w:val="center"/>
          </w:tcPr>
          <w:p w:rsidR="00B11EC5" w:rsidRPr="00DF5769" w:rsidRDefault="00BE18E6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5769">
              <w:rPr>
                <w:rFonts w:ascii="Times New Roman" w:hAnsi="Times New Roman" w:cs="Times New Roman"/>
              </w:rPr>
              <w:t>NCT02078648</w:t>
            </w:r>
          </w:p>
        </w:tc>
        <w:tc>
          <w:tcPr>
            <w:tcW w:w="1313" w:type="dxa"/>
            <w:vAlign w:val="center"/>
          </w:tcPr>
          <w:p w:rsidR="00B11EC5" w:rsidRPr="00DF5769" w:rsidRDefault="00BE65D8" w:rsidP="00602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[117</w:t>
            </w:r>
            <w:r w:rsidR="0069054F">
              <w:rPr>
                <w:rFonts w:ascii="Times New Roman" w:hAnsi="Times New Roman" w:cs="Times New Roman"/>
              </w:rPr>
              <w:t>, 120</w:t>
            </w:r>
            <w:r w:rsidR="00BE18E6" w:rsidRPr="00DF5769">
              <w:rPr>
                <w:rFonts w:ascii="Times New Roman" w:hAnsi="Times New Roman" w:cs="Times New Roman"/>
              </w:rPr>
              <w:t>]</w:t>
            </w:r>
          </w:p>
        </w:tc>
      </w:tr>
    </w:tbl>
    <w:p w:rsidR="0060270A" w:rsidRPr="00160EBD" w:rsidRDefault="00160EBD" w:rsidP="00160EBD">
      <w:pPr>
        <w:rPr>
          <w:rFonts w:ascii="Times New Roman" w:eastAsia="Times New Roman" w:hAnsi="Times New Roman" w:cs="Times New Roman"/>
          <w:szCs w:val="20"/>
          <w:lang w:val="en-US"/>
        </w:rPr>
      </w:pPr>
      <w:r w:rsidRPr="00112972">
        <w:rPr>
          <w:rFonts w:ascii="Times New Roman" w:hAnsi="Times New Roman" w:cs="Times New Roman"/>
          <w:b/>
          <w:lang w:val="en-US"/>
        </w:rPr>
        <w:t>Supplementary</w:t>
      </w:r>
      <w:r w:rsidRPr="00112972">
        <w:rPr>
          <w:rFonts w:ascii="Times New Roman" w:hAnsi="Times New Roman" w:cs="Times New Roman"/>
          <w:b/>
          <w:i/>
          <w:lang w:val="en-US"/>
        </w:rPr>
        <w:t xml:space="preserve"> </w:t>
      </w:r>
      <w:r w:rsidR="00746A14" w:rsidRPr="00112972">
        <w:rPr>
          <w:rFonts w:ascii="Times New Roman" w:hAnsi="Times New Roman" w:cs="Times New Roman"/>
          <w:b/>
          <w:szCs w:val="20"/>
          <w:lang w:val="en-US"/>
        </w:rPr>
        <w:t>Table S7</w:t>
      </w:r>
      <w:r w:rsidR="0060270A" w:rsidRPr="00160EBD">
        <w:rPr>
          <w:rFonts w:ascii="Times New Roman" w:hAnsi="Times New Roman" w:cs="Times New Roman"/>
          <w:szCs w:val="20"/>
          <w:lang w:val="en-US"/>
        </w:rPr>
        <w:t xml:space="preserve"> Summary of Recent Early-phase CAR-T Cell Therapy Trials in Glioblastoma and Related CNS Tumors </w:t>
      </w:r>
    </w:p>
    <w:p w:rsidR="00464C77" w:rsidRPr="00DF5769" w:rsidRDefault="00464C77">
      <w:pPr>
        <w:rPr>
          <w:rFonts w:ascii="Times New Roman" w:hAnsi="Times New Roman" w:cs="Times New Roman"/>
        </w:rPr>
      </w:pPr>
      <w:r w:rsidRPr="00DF5769">
        <w:rPr>
          <w:rFonts w:ascii="Times New Roman" w:hAnsi="Times New Roman" w:cs="Times New Roman"/>
        </w:rPr>
        <w:t>*OS = Overall Survival</w:t>
      </w:r>
    </w:p>
    <w:sectPr w:rsidR="00464C77" w:rsidRPr="00DF5769" w:rsidSect="00B11EC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DB5" w:rsidRDefault="00695DB5" w:rsidP="008A486F">
      <w:pPr>
        <w:spacing w:after="0" w:line="240" w:lineRule="auto"/>
      </w:pPr>
      <w:r>
        <w:separator/>
      </w:r>
    </w:p>
  </w:endnote>
  <w:endnote w:type="continuationSeparator" w:id="0">
    <w:p w:rsidR="00695DB5" w:rsidRDefault="00695DB5" w:rsidP="008A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DB5" w:rsidRDefault="00695DB5" w:rsidP="008A486F">
      <w:pPr>
        <w:spacing w:after="0" w:line="240" w:lineRule="auto"/>
      </w:pPr>
      <w:r>
        <w:separator/>
      </w:r>
    </w:p>
  </w:footnote>
  <w:footnote w:type="continuationSeparator" w:id="0">
    <w:p w:rsidR="00695DB5" w:rsidRDefault="00695DB5" w:rsidP="008A48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C5"/>
    <w:rsid w:val="00031F0A"/>
    <w:rsid w:val="00037DC7"/>
    <w:rsid w:val="000D3B4E"/>
    <w:rsid w:val="000E49D8"/>
    <w:rsid w:val="00111882"/>
    <w:rsid w:val="00112972"/>
    <w:rsid w:val="00135A6B"/>
    <w:rsid w:val="00160EBD"/>
    <w:rsid w:val="001968EF"/>
    <w:rsid w:val="0023406E"/>
    <w:rsid w:val="002D0581"/>
    <w:rsid w:val="00332261"/>
    <w:rsid w:val="00464C77"/>
    <w:rsid w:val="004C7C55"/>
    <w:rsid w:val="00534A57"/>
    <w:rsid w:val="00535700"/>
    <w:rsid w:val="00546E99"/>
    <w:rsid w:val="0060270A"/>
    <w:rsid w:val="0069054F"/>
    <w:rsid w:val="00695DB5"/>
    <w:rsid w:val="006C127E"/>
    <w:rsid w:val="00720B76"/>
    <w:rsid w:val="00746A14"/>
    <w:rsid w:val="007656CC"/>
    <w:rsid w:val="00781972"/>
    <w:rsid w:val="007A6FFD"/>
    <w:rsid w:val="007B7557"/>
    <w:rsid w:val="007D2EBF"/>
    <w:rsid w:val="008A486F"/>
    <w:rsid w:val="00950732"/>
    <w:rsid w:val="00A00C89"/>
    <w:rsid w:val="00AB75CA"/>
    <w:rsid w:val="00AF0F2B"/>
    <w:rsid w:val="00B02D36"/>
    <w:rsid w:val="00B11EC5"/>
    <w:rsid w:val="00B56846"/>
    <w:rsid w:val="00BC12D9"/>
    <w:rsid w:val="00BD6FD2"/>
    <w:rsid w:val="00BD7E25"/>
    <w:rsid w:val="00BE18E6"/>
    <w:rsid w:val="00BE65D8"/>
    <w:rsid w:val="00BF6056"/>
    <w:rsid w:val="00C26B78"/>
    <w:rsid w:val="00D55CA9"/>
    <w:rsid w:val="00DF5769"/>
    <w:rsid w:val="00DF5ABB"/>
    <w:rsid w:val="00E12668"/>
    <w:rsid w:val="00E20E19"/>
    <w:rsid w:val="00E41E5B"/>
    <w:rsid w:val="00EB2D63"/>
    <w:rsid w:val="00F2522F"/>
    <w:rsid w:val="00F513A3"/>
    <w:rsid w:val="00FB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46B03"/>
  <w15:chartTrackingRefBased/>
  <w15:docId w15:val="{9828FEE5-AFA5-49C2-8491-3E1BF336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11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8A48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A486F"/>
  </w:style>
  <w:style w:type="paragraph" w:styleId="Stopka">
    <w:name w:val="footer"/>
    <w:basedOn w:val="Normalny"/>
    <w:link w:val="StopkaZnak"/>
    <w:uiPriority w:val="99"/>
    <w:unhideWhenUsed/>
    <w:rsid w:val="008A48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A486F"/>
  </w:style>
  <w:style w:type="paragraph" w:styleId="NormalnyWeb">
    <w:name w:val="Normal (Web)"/>
    <w:basedOn w:val="Normalny"/>
    <w:uiPriority w:val="99"/>
    <w:unhideWhenUsed/>
    <w:rsid w:val="00AF0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elasiatki1jasna">
    <w:name w:val="Grid Table 1 Light"/>
    <w:basedOn w:val="Standardowy"/>
    <w:uiPriority w:val="46"/>
    <w:rsid w:val="00E1266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krolikowskaleksandra@gmail.com</dc:creator>
  <cp:keywords/>
  <dc:description/>
  <cp:lastModifiedBy>krolikowskaleksandra@gmail.com</cp:lastModifiedBy>
  <cp:revision>4</cp:revision>
  <dcterms:created xsi:type="dcterms:W3CDTF">2025-09-26T12:41:00Z</dcterms:created>
  <dcterms:modified xsi:type="dcterms:W3CDTF">2025-10-27T16:00:00Z</dcterms:modified>
</cp:coreProperties>
</file>