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DB4539" w14:textId="1A9CFF9F" w:rsidR="004A650C" w:rsidRDefault="004A650C" w:rsidP="004A650C">
      <w:pPr>
        <w:jc w:val="center"/>
        <w:rPr>
          <w:rFonts w:asciiTheme="majorBidi" w:hAnsiTheme="majorBidi" w:cstheme="majorBidi"/>
          <w:b/>
          <w:bCs/>
        </w:rPr>
      </w:pPr>
      <w:r w:rsidRPr="004A650C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81EB98D" wp14:editId="3AEE156E">
            <wp:extent cx="6283960" cy="6926239"/>
            <wp:effectExtent l="0" t="0" r="2540" b="8255"/>
            <wp:docPr id="1" name="Picture 1" descr="F:\In process\مقالات\Dr. Mohammad Amin Habibi\The Safety and Efficacy of CAR-T Cells for Patients with Neuroblastoma\بعد از ویرایش\Revise 2\Figures\Figure S1.R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In process\مقالات\Dr. Mohammad Amin Habibi\The Safety and Efficacy of CAR-T Cells for Patients with Neuroblastoma\بعد از ویرایش\Revise 2\Figures\Figure S1.R2.t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65" cy="695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B35A" w14:textId="7A29563A" w:rsidR="003A7F18" w:rsidRPr="007E7F7E" w:rsidRDefault="007F3DB8" w:rsidP="005D79D6">
      <w:pPr>
        <w:jc w:val="both"/>
        <w:rPr>
          <w:rFonts w:asciiTheme="majorBidi" w:hAnsiTheme="majorBidi" w:cstheme="majorBidi"/>
          <w:sz w:val="24"/>
          <w:szCs w:val="24"/>
        </w:rPr>
      </w:pPr>
      <w:r w:rsidRPr="007E7F7E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Figure S1.</w:t>
      </w:r>
      <w:r w:rsidRPr="007E7F7E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r w:rsidR="007D257A" w:rsidRPr="007E7F7E">
        <w:rPr>
          <w:rFonts w:asciiTheme="majorBidi" w:hAnsiTheme="majorBidi" w:cstheme="majorBidi"/>
          <w:sz w:val="24"/>
          <w:szCs w:val="24"/>
          <w:highlight w:val="yellow"/>
        </w:rPr>
        <w:t>Funnel plots for a</w:t>
      </w:r>
      <w:r w:rsidRPr="007E7F7E">
        <w:rPr>
          <w:rFonts w:asciiTheme="majorBidi" w:hAnsiTheme="majorBidi" w:cstheme="majorBidi"/>
          <w:sz w:val="24"/>
          <w:szCs w:val="24"/>
          <w:highlight w:val="yellow"/>
        </w:rPr>
        <w:t>ny grade and grade ≥ 3 AEs following CAR T-cell therapy in all doses f</w:t>
      </w:r>
      <w:r w:rsidR="00074C29" w:rsidRPr="007E7F7E">
        <w:rPr>
          <w:rFonts w:asciiTheme="majorBidi" w:hAnsiTheme="majorBidi" w:cstheme="majorBidi"/>
          <w:sz w:val="24"/>
          <w:szCs w:val="24"/>
          <w:highlight w:val="yellow"/>
        </w:rPr>
        <w:t>or patients with Neuroblastoma.</w:t>
      </w:r>
    </w:p>
    <w:p w14:paraId="7C8C53C3" w14:textId="77777777" w:rsidR="001879C1" w:rsidRDefault="001879C1" w:rsidP="007F3DB8">
      <w:pPr>
        <w:jc w:val="both"/>
      </w:pPr>
    </w:p>
    <w:p w14:paraId="748CC5E5" w14:textId="7E7B4CA6" w:rsidR="001879C1" w:rsidRDefault="001879C1" w:rsidP="007F3DB8">
      <w:pPr>
        <w:jc w:val="both"/>
      </w:pPr>
    </w:p>
    <w:p w14:paraId="2F6A4E03" w14:textId="64EC244A" w:rsidR="005D79D6" w:rsidRDefault="005D79D6" w:rsidP="005D79D6">
      <w:pPr>
        <w:jc w:val="center"/>
        <w:rPr>
          <w:rFonts w:asciiTheme="majorBidi" w:hAnsiTheme="majorBidi" w:cstheme="majorBidi"/>
          <w:b/>
          <w:bCs/>
        </w:rPr>
      </w:pPr>
      <w:r w:rsidRPr="005D79D6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18F208F5" wp14:editId="79287999">
            <wp:extent cx="6423763" cy="6939887"/>
            <wp:effectExtent l="0" t="0" r="0" b="0"/>
            <wp:docPr id="2" name="Picture 2" descr="F:\In process\مقالات\Dr. Mohammad Amin Habibi\The Safety and Efficacy of CAR-T Cells for Patients with Neuroblastoma\بعد از ویرایش\Revise 2\Figures\Figure S2.R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In process\مقالات\Dr. Mohammad Amin Habibi\The Safety and Efficacy of CAR-T Cells for Patients with Neuroblastoma\بعد از ویرایش\Revise 2\Figures\Figure S2.R2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997" cy="69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5293" w14:textId="7714DB67" w:rsidR="001879C1" w:rsidRPr="005E6B36" w:rsidRDefault="007909BC" w:rsidP="005E6B36">
      <w:pPr>
        <w:jc w:val="both"/>
        <w:rPr>
          <w:rFonts w:asciiTheme="majorBidi" w:hAnsiTheme="majorBidi" w:cstheme="majorBidi"/>
          <w:sz w:val="24"/>
          <w:szCs w:val="24"/>
        </w:rPr>
      </w:pPr>
      <w:r w:rsidRPr="005E6B36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Figure S2</w:t>
      </w:r>
      <w:r w:rsidRPr="005E6B36">
        <w:rPr>
          <w:rFonts w:asciiTheme="majorBidi" w:hAnsiTheme="majorBidi" w:cstheme="majorBidi"/>
          <w:sz w:val="24"/>
          <w:szCs w:val="24"/>
          <w:highlight w:val="yellow"/>
        </w:rPr>
        <w:t>. Sens</w:t>
      </w:r>
      <w:r w:rsidR="005D79D6" w:rsidRPr="005E6B36">
        <w:rPr>
          <w:rFonts w:asciiTheme="majorBidi" w:hAnsiTheme="majorBidi" w:cstheme="majorBidi"/>
          <w:sz w:val="24"/>
          <w:szCs w:val="24"/>
          <w:highlight w:val="yellow"/>
        </w:rPr>
        <w:t xml:space="preserve">itivity analysis for any grade, </w:t>
      </w:r>
      <w:r w:rsidRPr="005E6B36">
        <w:rPr>
          <w:rFonts w:asciiTheme="majorBidi" w:hAnsiTheme="majorBidi" w:cstheme="majorBidi"/>
          <w:sz w:val="24"/>
          <w:szCs w:val="24"/>
          <w:highlight w:val="yellow"/>
        </w:rPr>
        <w:t>and grade ≥ 3 AEs following CAR T-cell therapy in all doses f</w:t>
      </w:r>
      <w:r w:rsidR="005D79D6" w:rsidRPr="005E6B36">
        <w:rPr>
          <w:rFonts w:asciiTheme="majorBidi" w:hAnsiTheme="majorBidi" w:cstheme="majorBidi"/>
          <w:sz w:val="24"/>
          <w:szCs w:val="24"/>
          <w:highlight w:val="yellow"/>
        </w:rPr>
        <w:t>or patients with Neuroblastoma.</w:t>
      </w:r>
    </w:p>
    <w:p w14:paraId="07CE42EF" w14:textId="38DEB979" w:rsidR="008421B6" w:rsidRDefault="008421B6" w:rsidP="00953E92">
      <w:pPr>
        <w:jc w:val="both"/>
      </w:pPr>
    </w:p>
    <w:p w14:paraId="537E38BD" w14:textId="3380C514" w:rsidR="009904F5" w:rsidRDefault="009904F5" w:rsidP="00953E92">
      <w:pPr>
        <w:jc w:val="both"/>
      </w:pPr>
    </w:p>
    <w:p w14:paraId="6E15665B" w14:textId="58B0E262" w:rsidR="009904F5" w:rsidRDefault="009904F5" w:rsidP="00953E92">
      <w:pPr>
        <w:jc w:val="both"/>
      </w:pPr>
      <w:r w:rsidRPr="009904F5">
        <w:rPr>
          <w:noProof/>
        </w:rPr>
        <w:lastRenderedPageBreak/>
        <w:drawing>
          <wp:inline distT="0" distB="0" distL="0" distR="0" wp14:anchorId="2AF6BB4B" wp14:editId="6AE22368">
            <wp:extent cx="6094489" cy="4580626"/>
            <wp:effectExtent l="0" t="0" r="1905" b="0"/>
            <wp:docPr id="3" name="Picture 3" descr="F:\In process\مقالات\Dr. Mohammad Amin Habibi\The Safety and Efficacy of CAR-T Cells for Patients with Neuroblastoma\بعد از ویرایش\Revise 2\Figures\Figure S3.R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In process\مقالات\Dr. Mohammad Amin Habibi\The Safety and Efficacy of CAR-T Cells for Patients with Neuroblastoma\بعد از ویرایش\Revise 2\Figures\Figure S3.R2.t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567" cy="460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1A58" w14:textId="088A645F" w:rsidR="008421B6" w:rsidRPr="009904F5" w:rsidRDefault="00953E92" w:rsidP="009904F5">
      <w:pPr>
        <w:jc w:val="both"/>
        <w:rPr>
          <w:rFonts w:asciiTheme="majorBidi" w:hAnsiTheme="majorBidi" w:cstheme="majorBidi"/>
          <w:sz w:val="24"/>
          <w:szCs w:val="24"/>
        </w:rPr>
      </w:pPr>
      <w:r w:rsidRPr="009904F5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Figure S3.</w:t>
      </w:r>
      <w:r w:rsidRPr="009904F5">
        <w:rPr>
          <w:rFonts w:asciiTheme="majorBidi" w:hAnsiTheme="majorBidi" w:cstheme="majorBidi"/>
          <w:sz w:val="24"/>
          <w:szCs w:val="24"/>
          <w:highlight w:val="yellow"/>
        </w:rPr>
        <w:t xml:space="preserve"> Sensitivity analysis for all evaluable response rates following receiving CAR T cell therapy in all doses for patients with Neuroblastoma. A) CR, B) </w:t>
      </w:r>
      <w:r w:rsidR="009904F5" w:rsidRPr="009904F5">
        <w:rPr>
          <w:rFonts w:asciiTheme="majorBidi" w:hAnsiTheme="majorBidi" w:cstheme="majorBidi"/>
          <w:sz w:val="24"/>
          <w:szCs w:val="24"/>
          <w:highlight w:val="yellow"/>
        </w:rPr>
        <w:t>PR</w:t>
      </w:r>
      <w:r w:rsidRPr="009904F5">
        <w:rPr>
          <w:rFonts w:asciiTheme="majorBidi" w:hAnsiTheme="majorBidi" w:cstheme="majorBidi"/>
          <w:sz w:val="24"/>
          <w:szCs w:val="24"/>
          <w:highlight w:val="yellow"/>
        </w:rPr>
        <w:t xml:space="preserve">, C) PD, and D) </w:t>
      </w:r>
      <w:r w:rsidR="009904F5" w:rsidRPr="009904F5">
        <w:rPr>
          <w:rFonts w:asciiTheme="majorBidi" w:hAnsiTheme="majorBidi" w:cstheme="majorBidi"/>
          <w:sz w:val="24"/>
          <w:szCs w:val="24"/>
          <w:highlight w:val="yellow"/>
        </w:rPr>
        <w:t>SD</w:t>
      </w:r>
      <w:r w:rsidRPr="009904F5">
        <w:rPr>
          <w:rFonts w:asciiTheme="majorBidi" w:hAnsiTheme="majorBidi" w:cstheme="majorBidi"/>
          <w:sz w:val="24"/>
          <w:szCs w:val="24"/>
          <w:highlight w:val="yellow"/>
        </w:rPr>
        <w:t>.</w:t>
      </w:r>
    </w:p>
    <w:p w14:paraId="12F50461" w14:textId="77777777" w:rsidR="008421B6" w:rsidRDefault="008421B6" w:rsidP="007F3DB8">
      <w:pPr>
        <w:jc w:val="both"/>
      </w:pPr>
    </w:p>
    <w:p w14:paraId="423D8329" w14:textId="77777777" w:rsidR="008421B6" w:rsidRDefault="008421B6" w:rsidP="007F3DB8">
      <w:pPr>
        <w:jc w:val="both"/>
      </w:pPr>
    </w:p>
    <w:p w14:paraId="6AF44868" w14:textId="77777777" w:rsidR="008421B6" w:rsidRDefault="008421B6" w:rsidP="007F3DB8">
      <w:pPr>
        <w:jc w:val="both"/>
      </w:pPr>
    </w:p>
    <w:p w14:paraId="3CAD2978" w14:textId="77777777" w:rsidR="008421B6" w:rsidRDefault="008421B6" w:rsidP="007F3DB8">
      <w:pPr>
        <w:jc w:val="both"/>
      </w:pPr>
    </w:p>
    <w:p w14:paraId="1D148FE2" w14:textId="77777777" w:rsidR="008421B6" w:rsidRDefault="008421B6" w:rsidP="007F3DB8">
      <w:pPr>
        <w:jc w:val="both"/>
      </w:pPr>
    </w:p>
    <w:p w14:paraId="1BDA2A72" w14:textId="77777777" w:rsidR="008421B6" w:rsidRDefault="008421B6" w:rsidP="007F3DB8">
      <w:pPr>
        <w:jc w:val="both"/>
      </w:pPr>
    </w:p>
    <w:p w14:paraId="259EC2C5" w14:textId="77777777" w:rsidR="008421B6" w:rsidRDefault="008421B6" w:rsidP="007F3DB8">
      <w:pPr>
        <w:jc w:val="both"/>
      </w:pPr>
    </w:p>
    <w:p w14:paraId="3DCC3B5D" w14:textId="77777777" w:rsidR="008421B6" w:rsidRDefault="008421B6" w:rsidP="007F3DB8">
      <w:pPr>
        <w:jc w:val="both"/>
      </w:pPr>
    </w:p>
    <w:p w14:paraId="3DADDA2C" w14:textId="77777777" w:rsidR="008421B6" w:rsidRDefault="008421B6" w:rsidP="007F3DB8">
      <w:pPr>
        <w:jc w:val="both"/>
      </w:pPr>
    </w:p>
    <w:p w14:paraId="3EFF23A6" w14:textId="77777777" w:rsidR="008421B6" w:rsidRDefault="008421B6" w:rsidP="007F3DB8">
      <w:pPr>
        <w:jc w:val="both"/>
      </w:pPr>
    </w:p>
    <w:p w14:paraId="7EC0AA50" w14:textId="77777777" w:rsidR="008421B6" w:rsidRDefault="008421B6" w:rsidP="007F3DB8">
      <w:pPr>
        <w:jc w:val="both"/>
      </w:pPr>
    </w:p>
    <w:p w14:paraId="3FFC56D6" w14:textId="2C3BFC2F" w:rsidR="008421B6" w:rsidRDefault="00752ADB" w:rsidP="00752ADB">
      <w:pPr>
        <w:jc w:val="center"/>
      </w:pPr>
      <w:r w:rsidRPr="00752ADB">
        <w:rPr>
          <w:noProof/>
        </w:rPr>
        <w:lastRenderedPageBreak/>
        <w:drawing>
          <wp:inline distT="0" distB="0" distL="0" distR="0" wp14:anchorId="4AFD279B" wp14:editId="35430CCF">
            <wp:extent cx="6443345" cy="6219645"/>
            <wp:effectExtent l="0" t="0" r="0" b="0"/>
            <wp:docPr id="4" name="Picture 4" descr="F:\In process\مقالات\Dr. Mohammad Amin Habibi\The Safety and Efficacy of CAR-T Cells for Patients with Neuroblastoma\بعد از ویرایش\Revise 2\Figures\Figure S4.R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In process\مقالات\Dr. Mohammad Amin Habibi\The Safety and Efficacy of CAR-T Cells for Patients with Neuroblastoma\بعد از ویرایش\Revise 2\Figures\Figure S4.R2.t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035" cy="622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CC8E" w14:textId="1F6EB18B" w:rsidR="008421B6" w:rsidRPr="00752ADB" w:rsidRDefault="00953E92" w:rsidP="00752ADB">
      <w:pPr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 w:rsidRPr="00752AD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Figure S4.</w:t>
      </w:r>
      <w:r w:rsidRPr="00752ADB">
        <w:rPr>
          <w:rFonts w:asciiTheme="majorBidi" w:hAnsiTheme="majorBidi" w:cstheme="majorBidi"/>
          <w:sz w:val="24"/>
          <w:szCs w:val="24"/>
          <w:highlight w:val="yellow"/>
        </w:rPr>
        <w:t xml:space="preserve"> Funnel plots for all evaluable response rates following receiving CAR T cell therapy in all doses for patients with Neuroblastoma. A) CR, B) </w:t>
      </w:r>
      <w:r w:rsidR="00752ADB" w:rsidRPr="00752ADB">
        <w:rPr>
          <w:rFonts w:asciiTheme="majorBidi" w:hAnsiTheme="majorBidi" w:cstheme="majorBidi"/>
          <w:sz w:val="24"/>
          <w:szCs w:val="24"/>
          <w:highlight w:val="yellow"/>
        </w:rPr>
        <w:t>PR</w:t>
      </w:r>
      <w:r w:rsidRPr="00752ADB">
        <w:rPr>
          <w:rFonts w:asciiTheme="majorBidi" w:hAnsiTheme="majorBidi" w:cstheme="majorBidi"/>
          <w:sz w:val="24"/>
          <w:szCs w:val="24"/>
          <w:highlight w:val="yellow"/>
        </w:rPr>
        <w:t xml:space="preserve">, C) PD, and D) </w:t>
      </w:r>
      <w:r w:rsidR="00752ADB" w:rsidRPr="00752ADB">
        <w:rPr>
          <w:rFonts w:asciiTheme="majorBidi" w:hAnsiTheme="majorBidi" w:cstheme="majorBidi"/>
          <w:sz w:val="24"/>
          <w:szCs w:val="24"/>
          <w:highlight w:val="yellow"/>
        </w:rPr>
        <w:t>SD</w:t>
      </w:r>
      <w:r w:rsidRPr="00752ADB">
        <w:rPr>
          <w:rFonts w:asciiTheme="majorBidi" w:hAnsiTheme="majorBidi" w:cstheme="majorBidi"/>
          <w:sz w:val="24"/>
          <w:szCs w:val="24"/>
          <w:highlight w:val="yellow"/>
        </w:rPr>
        <w:t>.</w:t>
      </w:r>
    </w:p>
    <w:p w14:paraId="44B7AE97" w14:textId="1733FF53" w:rsidR="008421B6" w:rsidRDefault="008421B6" w:rsidP="007F3DB8">
      <w:pPr>
        <w:jc w:val="both"/>
      </w:pPr>
    </w:p>
    <w:p w14:paraId="1A7BA95E" w14:textId="66F7B19E" w:rsidR="008421B6" w:rsidRDefault="008421B6" w:rsidP="007F3DB8">
      <w:pPr>
        <w:jc w:val="both"/>
      </w:pPr>
    </w:p>
    <w:p w14:paraId="1E1944B3" w14:textId="30403294" w:rsidR="008421B6" w:rsidRDefault="008421B6" w:rsidP="007F3DB8">
      <w:pPr>
        <w:jc w:val="both"/>
      </w:pPr>
    </w:p>
    <w:p w14:paraId="601EA259" w14:textId="197DCBB9" w:rsidR="008421B6" w:rsidRDefault="008421B6" w:rsidP="007F3DB8">
      <w:pPr>
        <w:jc w:val="both"/>
      </w:pPr>
    </w:p>
    <w:sectPr w:rsidR="00842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39C"/>
    <w:rsid w:val="00001C9F"/>
    <w:rsid w:val="00074C29"/>
    <w:rsid w:val="00143B1C"/>
    <w:rsid w:val="00150129"/>
    <w:rsid w:val="001879C1"/>
    <w:rsid w:val="001A554B"/>
    <w:rsid w:val="003A7F18"/>
    <w:rsid w:val="004145A5"/>
    <w:rsid w:val="004A650C"/>
    <w:rsid w:val="005D79D6"/>
    <w:rsid w:val="005E6B36"/>
    <w:rsid w:val="006F4815"/>
    <w:rsid w:val="00752ADB"/>
    <w:rsid w:val="007909BC"/>
    <w:rsid w:val="007D257A"/>
    <w:rsid w:val="007E7F7E"/>
    <w:rsid w:val="007F3DB8"/>
    <w:rsid w:val="008421B6"/>
    <w:rsid w:val="009104AA"/>
    <w:rsid w:val="00953E92"/>
    <w:rsid w:val="009904F5"/>
    <w:rsid w:val="009B5F1C"/>
    <w:rsid w:val="00A1539C"/>
    <w:rsid w:val="00B70E1C"/>
    <w:rsid w:val="00C41DED"/>
    <w:rsid w:val="00CB4C1E"/>
    <w:rsid w:val="00D31B72"/>
    <w:rsid w:val="00DE1CA2"/>
    <w:rsid w:val="00E358A7"/>
    <w:rsid w:val="00FA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185EBD9"/>
  <w15:chartTrackingRefBased/>
  <w15:docId w15:val="{17F6C28C-4C5E-4125-9F60-19D9F951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zand</dc:creator>
  <cp:keywords/>
  <dc:description/>
  <cp:lastModifiedBy>General</cp:lastModifiedBy>
  <cp:revision>10</cp:revision>
  <dcterms:created xsi:type="dcterms:W3CDTF">2025-07-19T05:53:00Z</dcterms:created>
  <dcterms:modified xsi:type="dcterms:W3CDTF">2025-11-12T07:41:00Z</dcterms:modified>
</cp:coreProperties>
</file>