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54AB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5E584EE8" w14:textId="77777777" w:rsidR="00994A3D" w:rsidRDefault="00654E8F" w:rsidP="0001436A">
      <w:pPr>
        <w:pStyle w:val="Heading1"/>
      </w:pPr>
      <w:r w:rsidRPr="00994A3D">
        <w:t>Supplementary Figures and Tables</w:t>
      </w:r>
    </w:p>
    <w:p w14:paraId="1E73FD97" w14:textId="77777777" w:rsidR="00025050" w:rsidRDefault="00025050" w:rsidP="00025050">
      <w:pPr>
        <w:pStyle w:val="NormalWeb"/>
        <w:jc w:val="center"/>
        <w:rPr>
          <w:b/>
        </w:rPr>
      </w:pPr>
      <w:r>
        <w:rPr>
          <w:noProof/>
        </w:rPr>
        <w:drawing>
          <wp:inline distT="0" distB="0" distL="0" distR="0" wp14:anchorId="06C28F34" wp14:editId="70FC837F">
            <wp:extent cx="4472940" cy="2621280"/>
            <wp:effectExtent l="0" t="0" r="3810" b="7620"/>
            <wp:docPr id="343611791" name="Image 4" descr="Une image contenant texte, diagramme, croquis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1791" name="Image 4" descr="Une image contenant texte, diagramme, croquis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16" b="69567"/>
                    <a:stretch/>
                  </pic:blipFill>
                  <pic:spPr bwMode="auto">
                    <a:xfrm>
                      <a:off x="0" y="0"/>
                      <a:ext cx="44729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454B5" w14:textId="4FF49BC4" w:rsidR="00025050" w:rsidRDefault="00025050" w:rsidP="00025050">
      <w:pPr>
        <w:pStyle w:val="NormalWeb"/>
        <w:jc w:val="both"/>
      </w:pPr>
      <w:r w:rsidRPr="0001436A">
        <w:rPr>
          <w:b/>
        </w:rPr>
        <w:t xml:space="preserve">Supplementary Figure </w:t>
      </w:r>
      <w:r>
        <w:rPr>
          <w:b/>
        </w:rPr>
        <w:t>1</w:t>
      </w:r>
      <w:r w:rsidRPr="0001436A">
        <w:rPr>
          <w:b/>
        </w:rPr>
        <w:t>.</w:t>
      </w:r>
      <w:r w:rsidRPr="001549D3">
        <w:t xml:space="preserve"> </w:t>
      </w:r>
      <w:r w:rsidRPr="004C1822">
        <w:t>Expression of B7-H3 (A) and PD-L1 (B) on live cells was measured by flow cytometry.</w:t>
      </w:r>
      <w:r>
        <w:t xml:space="preserve"> </w:t>
      </w:r>
    </w:p>
    <w:p w14:paraId="23FAF160" w14:textId="6A66371B" w:rsidR="00BD19E0" w:rsidRDefault="00BD19E0">
      <w:pPr>
        <w:spacing w:before="0" w:after="200" w:line="276" w:lineRule="auto"/>
        <w:rPr>
          <w:b/>
        </w:rPr>
      </w:pPr>
      <w:r>
        <w:rPr>
          <w:b/>
        </w:rPr>
        <w:br w:type="page"/>
      </w:r>
    </w:p>
    <w:p w14:paraId="36E13063" w14:textId="77777777" w:rsidR="00025050" w:rsidRPr="00BD19E0" w:rsidRDefault="00025050" w:rsidP="00025050">
      <w:pPr>
        <w:jc w:val="center"/>
      </w:pPr>
      <w:r>
        <w:rPr>
          <w:rFonts w:eastAsia="Times New Roman" w:cs="Times New Roman"/>
          <w:b/>
          <w:szCs w:val="24"/>
        </w:rPr>
        <w:object w:dxaOrig="8031" w:dyaOrig="4392" w14:anchorId="5ED545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1.55pt;height:219.6pt" o:ole="" filled="t">
            <v:imagedata r:id="rId13" o:title=""/>
          </v:shape>
          <o:OLEObject Type="Embed" ProgID="Prism9.Document" ShapeID="_x0000_i1025" DrawAspect="Content" ObjectID="_1807959665" r:id="rId14"/>
        </w:object>
      </w:r>
    </w:p>
    <w:p w14:paraId="780A1FCD" w14:textId="40B0FBA9" w:rsidR="00025050" w:rsidRDefault="00025050" w:rsidP="00025050">
      <w:pPr>
        <w:spacing w:before="0" w:after="200" w:line="276" w:lineRule="auto"/>
        <w:jc w:val="both"/>
        <w:rPr>
          <w:bCs/>
        </w:rPr>
      </w:pPr>
      <w:r>
        <w:rPr>
          <w:b/>
        </w:rPr>
        <w:t xml:space="preserve">Supplementary Figure 2. </w:t>
      </w:r>
      <w:r>
        <w:rPr>
          <w:bCs/>
        </w:rPr>
        <w:t xml:space="preserve">Titers of LV particles </w:t>
      </w:r>
      <w:proofErr w:type="spellStart"/>
      <w:r>
        <w:rPr>
          <w:bCs/>
        </w:rPr>
        <w:t>pseudotyped</w:t>
      </w:r>
      <w:proofErr w:type="spellEnd"/>
      <w:r>
        <w:rPr>
          <w:bCs/>
        </w:rPr>
        <w:t xml:space="preserve"> with either the BaEV or the VSV-G envelop. SupT1 T cells were transduced with serial dilutions of BaEV LVs or VSV-G LVs. The transduction efficiency was measured by flow cytometry and used to calculate the titer in TU/ml.</w:t>
      </w:r>
    </w:p>
    <w:p w14:paraId="07E36C1F" w14:textId="77777777" w:rsidR="00BD19E0" w:rsidRDefault="00BD19E0">
      <w:pPr>
        <w:spacing w:before="0" w:after="200" w:line="276" w:lineRule="auto"/>
        <w:rPr>
          <w:rFonts w:eastAsia="Times New Roman" w:cs="Times New Roman"/>
          <w:szCs w:val="24"/>
        </w:rPr>
      </w:pPr>
      <w:r>
        <w:br w:type="page"/>
      </w:r>
    </w:p>
    <w:p w14:paraId="526AEEE8" w14:textId="7AF1EC91" w:rsidR="00025050" w:rsidRDefault="00025050">
      <w:pPr>
        <w:spacing w:before="0" w:after="200" w:line="276" w:lineRule="auto"/>
        <w:rPr>
          <w:highlight w:val="yellow"/>
        </w:rPr>
      </w:pPr>
    </w:p>
    <w:p w14:paraId="56541EF3" w14:textId="62FBC0EE" w:rsidR="00C03C1E" w:rsidRDefault="00C03C1E" w:rsidP="00C03C1E">
      <w:pPr>
        <w:spacing w:before="0" w:after="200" w:line="276" w:lineRule="auto"/>
        <w:jc w:val="center"/>
        <w:rPr>
          <w:highlight w:val="yellow"/>
        </w:rPr>
      </w:pPr>
      <w:r>
        <w:rPr>
          <w:highlight w:val="yellow"/>
        </w:rPr>
        <w:object w:dxaOrig="5971" w:dyaOrig="4392" w14:anchorId="6D371BAA">
          <v:shape id="_x0000_i1026" type="#_x0000_t75" style="width:298.85pt;height:219.6pt" o:ole="" filled="t">
            <v:imagedata r:id="rId15" o:title=""/>
          </v:shape>
          <o:OLEObject Type="Embed" ProgID="Prism9.Document" ShapeID="_x0000_i1026" DrawAspect="Content" ObjectID="_1807959666" r:id="rId16"/>
        </w:object>
      </w:r>
    </w:p>
    <w:p w14:paraId="59F211F8" w14:textId="1C28F53E" w:rsidR="00025050" w:rsidRDefault="00025050">
      <w:pPr>
        <w:spacing w:before="0" w:after="200" w:line="276" w:lineRule="auto"/>
        <w:rPr>
          <w:rFonts w:eastAsia="Times New Roman" w:cs="Times New Roman"/>
          <w:szCs w:val="24"/>
        </w:rPr>
      </w:pPr>
      <w:r w:rsidRPr="00C03C1E">
        <w:rPr>
          <w:b/>
          <w:bCs/>
        </w:rPr>
        <w:t>Supplementary Figure 3.</w:t>
      </w:r>
      <w:r>
        <w:t xml:space="preserve"> </w:t>
      </w:r>
      <w:r w:rsidR="00C03C1E">
        <w:t xml:space="preserve">The transduction efficiency of </w:t>
      </w:r>
      <w:proofErr w:type="spellStart"/>
      <w:r w:rsidR="00C03C1E" w:rsidRPr="004C1822">
        <w:t>γδ</w:t>
      </w:r>
      <w:proofErr w:type="spellEnd"/>
      <w:r w:rsidR="00C03C1E" w:rsidRPr="004C1822">
        <w:t xml:space="preserve"> </w:t>
      </w:r>
      <w:r w:rsidR="00C03C1E">
        <w:t>T cells with a B7H3 CAR by VSV-G LV in presence or absence of VF-1 was determined by flow cytometry 10 days after transduction.</w:t>
      </w:r>
      <w:r>
        <w:br w:type="page"/>
      </w:r>
    </w:p>
    <w:p w14:paraId="3D221AB0" w14:textId="60B34F32" w:rsidR="004C1822" w:rsidRDefault="004C1822" w:rsidP="004C1822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5A9FBCFD" wp14:editId="4C2B064E">
            <wp:extent cx="5570220" cy="4389120"/>
            <wp:effectExtent l="0" t="0" r="0" b="0"/>
            <wp:docPr id="866563055" name="Image 5" descr="Une image contenant texte, diagramme, Pl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3055" name="Image 5" descr="Une image contenant texte, diagramme, Plan, Parallè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591" b="49041"/>
                    <a:stretch/>
                  </pic:blipFill>
                  <pic:spPr bwMode="auto">
                    <a:xfrm>
                      <a:off x="0" y="0"/>
                      <a:ext cx="55702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7523B" w14:textId="7152657D" w:rsidR="004C1822" w:rsidRPr="001549D3" w:rsidRDefault="004C1822" w:rsidP="00654E8F">
      <w:pPr>
        <w:spacing w:before="240"/>
      </w:pPr>
      <w:r w:rsidRPr="004C1822">
        <w:rPr>
          <w:b/>
          <w:bCs/>
        </w:rPr>
        <w:t xml:space="preserve">Supplementary Figure </w:t>
      </w:r>
      <w:r w:rsidR="00025050">
        <w:rPr>
          <w:b/>
          <w:bCs/>
        </w:rPr>
        <w:t>4</w:t>
      </w:r>
      <w:r w:rsidRPr="004C1822">
        <w:rPr>
          <w:b/>
          <w:bCs/>
        </w:rPr>
        <w:t>.</w:t>
      </w:r>
      <w:r w:rsidRPr="004C1822">
        <w:t xml:space="preserve"> </w:t>
      </w:r>
      <w:proofErr w:type="spellStart"/>
      <w:r w:rsidRPr="004C1822">
        <w:t>γδ</w:t>
      </w:r>
      <w:proofErr w:type="spellEnd"/>
      <w:r w:rsidRPr="004C1822">
        <w:t xml:space="preserve"> T cells exhibit increased cytotoxicity upon CAR transduction. Cytolysis mediated by </w:t>
      </w:r>
      <w:proofErr w:type="spellStart"/>
      <w:r w:rsidRPr="004C1822">
        <w:t>γδ</w:t>
      </w:r>
      <w:proofErr w:type="spellEnd"/>
      <w:r w:rsidRPr="004C1822">
        <w:t xml:space="preserve"> CAR T cells, was analyzed by co-culture with hematological tumor cell lines. (A-B) Expression of luciferase by Luc+ RS4-11 cocultured with UTD and CD19-CAR </w:t>
      </w:r>
      <w:proofErr w:type="spellStart"/>
      <w:r w:rsidRPr="004C1822">
        <w:t>γδ</w:t>
      </w:r>
      <w:proofErr w:type="spellEnd"/>
      <w:r w:rsidRPr="004C1822">
        <w:t xml:space="preserve"> T cells (A, n=3) and OCI-AML3 WT or CD33 KO cocultured with UTD and CD33 CAR </w:t>
      </w:r>
      <w:proofErr w:type="spellStart"/>
      <w:r w:rsidRPr="004C1822">
        <w:t>γδ</w:t>
      </w:r>
      <w:proofErr w:type="spellEnd"/>
      <w:r w:rsidRPr="004C1822">
        <w:t xml:space="preserve"> T cells (B) was measured at different E:T ratios. (C-E) The expression of GFP by GFP+ RS4-11 (C), OCI-AML3 (D) and OCI-AML3 CD33 KO (E) was measured in an </w:t>
      </w:r>
      <w:proofErr w:type="spellStart"/>
      <w:r w:rsidRPr="004C1822">
        <w:t>Incucyte</w:t>
      </w:r>
      <w:proofErr w:type="spellEnd"/>
      <w:r w:rsidRPr="004C1822">
        <w:t xml:space="preserve"> instrument with and without </w:t>
      </w:r>
      <w:proofErr w:type="spellStart"/>
      <w:r w:rsidRPr="004C1822">
        <w:t>γδ</w:t>
      </w:r>
      <w:proofErr w:type="spellEnd"/>
      <w:r w:rsidRPr="004C1822">
        <w:t xml:space="preserve"> T cells at </w:t>
      </w:r>
      <w:proofErr w:type="gramStart"/>
      <w:r w:rsidRPr="004C1822">
        <w:t>an</w:t>
      </w:r>
      <w:proofErr w:type="gramEnd"/>
      <w:r w:rsidRPr="004C1822">
        <w:t xml:space="preserve"> 1:1 E:T ratio. Error bars = SEM.</w:t>
      </w:r>
    </w:p>
    <w:sectPr w:rsidR="004C1822" w:rsidRPr="001549D3" w:rsidSect="0093429D">
      <w:headerReference w:type="even" r:id="rId18"/>
      <w:footerReference w:type="even" r:id="rId19"/>
      <w:footerReference w:type="default" r:id="rId20"/>
      <w:headerReference w:type="first" r:id="rId2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5A4E8" w14:textId="77777777" w:rsidR="00527144" w:rsidRDefault="00527144" w:rsidP="00117666">
      <w:pPr>
        <w:spacing w:after="0"/>
      </w:pPr>
      <w:r>
        <w:separator/>
      </w:r>
    </w:p>
  </w:endnote>
  <w:endnote w:type="continuationSeparator" w:id="0">
    <w:p w14:paraId="62A55C89" w14:textId="77777777" w:rsidR="00527144" w:rsidRDefault="00527144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AB28" w14:textId="77777777" w:rsidR="00E604A3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E604A3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E604A3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2FF27" w14:textId="77777777" w:rsidR="00E604A3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E604A3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E604A3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F1574" w14:textId="77777777" w:rsidR="00527144" w:rsidRDefault="00527144" w:rsidP="00117666">
      <w:pPr>
        <w:spacing w:after="0"/>
      </w:pPr>
      <w:r>
        <w:separator/>
      </w:r>
    </w:p>
  </w:footnote>
  <w:footnote w:type="continuationSeparator" w:id="0">
    <w:p w14:paraId="259B2C13" w14:textId="77777777" w:rsidR="00527144" w:rsidRDefault="00527144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1EDBA" w14:textId="77777777" w:rsidR="00E604A3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1A5B" w14:textId="77777777" w:rsidR="00E604A3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25050"/>
    <w:rsid w:val="00034304"/>
    <w:rsid w:val="00035434"/>
    <w:rsid w:val="00052A14"/>
    <w:rsid w:val="00065246"/>
    <w:rsid w:val="00077D53"/>
    <w:rsid w:val="000E3760"/>
    <w:rsid w:val="000F2B8D"/>
    <w:rsid w:val="00105FD9"/>
    <w:rsid w:val="00117666"/>
    <w:rsid w:val="001549D3"/>
    <w:rsid w:val="00160065"/>
    <w:rsid w:val="00177D84"/>
    <w:rsid w:val="00267D18"/>
    <w:rsid w:val="002868E2"/>
    <w:rsid w:val="002869C3"/>
    <w:rsid w:val="002936E4"/>
    <w:rsid w:val="002B4A57"/>
    <w:rsid w:val="002C74CA"/>
    <w:rsid w:val="00322736"/>
    <w:rsid w:val="003544FB"/>
    <w:rsid w:val="003A2929"/>
    <w:rsid w:val="003A5229"/>
    <w:rsid w:val="003D2D47"/>
    <w:rsid w:val="003D2F2D"/>
    <w:rsid w:val="00401590"/>
    <w:rsid w:val="00447801"/>
    <w:rsid w:val="00452E9C"/>
    <w:rsid w:val="004735C8"/>
    <w:rsid w:val="004961FF"/>
    <w:rsid w:val="004C1822"/>
    <w:rsid w:val="00517A89"/>
    <w:rsid w:val="005250F2"/>
    <w:rsid w:val="00527144"/>
    <w:rsid w:val="00593EEA"/>
    <w:rsid w:val="005A5EEE"/>
    <w:rsid w:val="005E09D8"/>
    <w:rsid w:val="005E73C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03D24"/>
    <w:rsid w:val="00817DD6"/>
    <w:rsid w:val="00885156"/>
    <w:rsid w:val="009151AA"/>
    <w:rsid w:val="0093429D"/>
    <w:rsid w:val="00943573"/>
    <w:rsid w:val="00970F7D"/>
    <w:rsid w:val="00994A3D"/>
    <w:rsid w:val="009C2B12"/>
    <w:rsid w:val="009C70F3"/>
    <w:rsid w:val="00A174D9"/>
    <w:rsid w:val="00A569CD"/>
    <w:rsid w:val="00AB5EE2"/>
    <w:rsid w:val="00AB6715"/>
    <w:rsid w:val="00B1671E"/>
    <w:rsid w:val="00B25EB8"/>
    <w:rsid w:val="00B34A4D"/>
    <w:rsid w:val="00B354E1"/>
    <w:rsid w:val="00B37F4D"/>
    <w:rsid w:val="00BD19E0"/>
    <w:rsid w:val="00C03C1E"/>
    <w:rsid w:val="00C52A7B"/>
    <w:rsid w:val="00C56BAF"/>
    <w:rsid w:val="00C679AA"/>
    <w:rsid w:val="00C75972"/>
    <w:rsid w:val="00CC0A3A"/>
    <w:rsid w:val="00CD066B"/>
    <w:rsid w:val="00CE4FEE"/>
    <w:rsid w:val="00D37A3F"/>
    <w:rsid w:val="00D41A0A"/>
    <w:rsid w:val="00D931FE"/>
    <w:rsid w:val="00DB59C3"/>
    <w:rsid w:val="00DC259A"/>
    <w:rsid w:val="00DE23E8"/>
    <w:rsid w:val="00E52377"/>
    <w:rsid w:val="00E604A3"/>
    <w:rsid w:val="00E64E17"/>
    <w:rsid w:val="00E866C9"/>
    <w:rsid w:val="00EA3D3C"/>
    <w:rsid w:val="00F21A46"/>
    <w:rsid w:val="00F25299"/>
    <w:rsid w:val="00F46900"/>
    <w:rsid w:val="00F61D89"/>
    <w:rsid w:val="00FA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emf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2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0</TotalTime>
  <Pages>4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José Alberto Villacorta Hidalgo</cp:lastModifiedBy>
  <cp:revision>2</cp:revision>
  <cp:lastPrinted>2013-10-03T12:51:00Z</cp:lastPrinted>
  <dcterms:created xsi:type="dcterms:W3CDTF">2025-05-05T12:15:00Z</dcterms:created>
  <dcterms:modified xsi:type="dcterms:W3CDTF">2025-05-05T12:15:00Z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